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 xml:space="preserve">Procedury postępowania w przypadku podejrzenia zakażenia u osoby mającej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B94EC3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9D45" w14:textId="77777777" w:rsidR="005C7E8D" w:rsidRDefault="005C7E8D" w:rsidP="00986D6A">
      <w:pPr>
        <w:spacing w:after="0" w:line="240" w:lineRule="auto"/>
      </w:pPr>
      <w:r>
        <w:separator/>
      </w:r>
    </w:p>
  </w:endnote>
  <w:endnote w:type="continuationSeparator" w:id="0">
    <w:p w14:paraId="7408DD0E" w14:textId="77777777" w:rsidR="005C7E8D" w:rsidRDefault="005C7E8D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0695" w14:textId="77777777" w:rsidR="005C7E8D" w:rsidRDefault="005C7E8D" w:rsidP="00986D6A">
      <w:pPr>
        <w:spacing w:after="0" w:line="240" w:lineRule="auto"/>
      </w:pPr>
      <w:r>
        <w:separator/>
      </w:r>
    </w:p>
  </w:footnote>
  <w:footnote w:type="continuationSeparator" w:id="0">
    <w:p w14:paraId="059325AB" w14:textId="77777777" w:rsidR="005C7E8D" w:rsidRDefault="005C7E8D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B94EC3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b/>
          <w:bCs/>
          <w:color w:val="FF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</w:t>
      </w:r>
      <w:proofErr w:type="spellStart"/>
      <w:r w:rsidRPr="00986D6A">
        <w:rPr>
          <w:rFonts w:ascii="Arial" w:hAnsi="Arial"/>
          <w:sz w:val="20"/>
          <w:szCs w:val="20"/>
        </w:rPr>
        <w:t>Covid</w:t>
      </w:r>
      <w:proofErr w:type="spellEnd"/>
      <w:r w:rsidRPr="00986D6A">
        <w:rPr>
          <w:rFonts w:ascii="Arial" w:hAnsi="Arial"/>
          <w:sz w:val="20"/>
          <w:szCs w:val="20"/>
        </w:rPr>
        <w:t xml:space="preserve">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</w:t>
      </w:r>
      <w:r w:rsidRPr="00B94EC3">
        <w:rPr>
          <w:rFonts w:ascii="Arial" w:hAnsi="Arial"/>
          <w:b/>
          <w:bCs/>
          <w:color w:val="FF0000"/>
          <w:sz w:val="20"/>
          <w:szCs w:val="20"/>
        </w:rPr>
        <w:t xml:space="preserve">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B94EC3" w:rsidRDefault="00986D6A">
      <w:pPr>
        <w:pStyle w:val="Tekstprzypisudolnego"/>
        <w:rPr>
          <w:rFonts w:ascii="Arial" w:hAnsi="Arial" w:cs="Arial"/>
          <w:b/>
          <w:b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62E39"/>
    <w:rsid w:val="00B668CE"/>
    <w:rsid w:val="00B73955"/>
    <w:rsid w:val="00B94EC3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FD86B-D254-4809-BF0C-C693165C6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Jadwiga Holik</cp:lastModifiedBy>
  <cp:revision>3</cp:revision>
  <cp:lastPrinted>2021-06-01T06:23:00Z</cp:lastPrinted>
  <dcterms:created xsi:type="dcterms:W3CDTF">2021-06-01T06:23:00Z</dcterms:created>
  <dcterms:modified xsi:type="dcterms:W3CDTF">2021-06-01T06:53:00Z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