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34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510"/>
        <w:gridCol w:w="3402"/>
      </w:tblGrid>
      <w:tr w:rsidR="004B2E0F" w:rsidRPr="004B2E0F" w14:paraId="0EB5DFC7" w14:textId="77777777" w:rsidTr="00452CAF">
        <w:tc>
          <w:tcPr>
            <w:tcW w:w="2376" w:type="dxa"/>
            <w:shd w:val="clear" w:color="auto" w:fill="auto"/>
          </w:tcPr>
          <w:p w14:paraId="5AF0094C" w14:textId="3F40FD83" w:rsidR="004B2E0F" w:rsidRPr="004B2E0F" w:rsidRDefault="004B2E0F" w:rsidP="004B2E0F">
            <w:pPr>
              <w:spacing w:after="0" w:line="240" w:lineRule="auto"/>
              <w:rPr>
                <w:rFonts w:ascii="Century" w:eastAsia="Times New Roman" w:hAnsi="Century" w:cs="Times New Roman"/>
                <w:sz w:val="16"/>
                <w:szCs w:val="16"/>
                <w:lang w:eastAsia="pl-PL"/>
              </w:rPr>
            </w:pPr>
          </w:p>
          <w:p w14:paraId="49A7DB7C" w14:textId="4EC50EAB" w:rsidR="004B2E0F" w:rsidRPr="004B2E0F" w:rsidRDefault="004B2E0F" w:rsidP="004B2E0F">
            <w:pPr>
              <w:spacing w:after="0" w:line="240" w:lineRule="auto"/>
              <w:rPr>
                <w:rFonts w:ascii="Century" w:eastAsia="Times New Roman" w:hAnsi="Century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0" w:type="dxa"/>
            <w:shd w:val="clear" w:color="auto" w:fill="auto"/>
          </w:tcPr>
          <w:p w14:paraId="479BF75E" w14:textId="23855871" w:rsidR="004B2E0F" w:rsidRPr="004B2E0F" w:rsidRDefault="004B2E0F" w:rsidP="004B2E0F">
            <w:pPr>
              <w:spacing w:after="0" w:line="240" w:lineRule="auto"/>
              <w:rPr>
                <w:rFonts w:ascii="Century" w:eastAsia="Times New Roman" w:hAnsi="Century" w:cs="Times New Roman"/>
                <w:iCs/>
                <w:spacing w:val="24"/>
                <w:sz w:val="16"/>
                <w:szCs w:val="16"/>
                <w:lang w:eastAsia="pl-PL"/>
              </w:rPr>
            </w:pPr>
          </w:p>
          <w:p w14:paraId="456DAA63" w14:textId="70FFA2F9" w:rsidR="004B2E0F" w:rsidRPr="00A83E86" w:rsidRDefault="004B2E0F" w:rsidP="004B2E0F">
            <w:pPr>
              <w:spacing w:after="0" w:line="240" w:lineRule="auto"/>
              <w:rPr>
                <w:rFonts w:ascii="Century" w:eastAsia="Times New Roman" w:hAnsi="Century" w:cs="Times New Roman"/>
                <w:iCs/>
                <w:spacing w:val="24"/>
                <w:lang w:eastAsia="pl-PL"/>
              </w:rPr>
            </w:pPr>
            <w:r w:rsidRPr="004B2E0F">
              <w:rPr>
                <w:rFonts w:ascii="Century" w:eastAsia="Times New Roman" w:hAnsi="Century" w:cs="Times New Roman"/>
                <w:iCs/>
                <w:spacing w:val="24"/>
                <w:sz w:val="16"/>
                <w:szCs w:val="16"/>
                <w:lang w:eastAsia="pl-PL"/>
              </w:rPr>
              <w:t xml:space="preserve">        </w:t>
            </w:r>
            <w:r>
              <w:rPr>
                <w:rFonts w:ascii="Century" w:eastAsia="Times New Roman" w:hAnsi="Century" w:cs="Times New Roman"/>
                <w:iCs/>
                <w:spacing w:val="24"/>
                <w:sz w:val="16"/>
                <w:szCs w:val="16"/>
                <w:lang w:eastAsia="pl-PL"/>
              </w:rPr>
              <w:t xml:space="preserve">        </w:t>
            </w:r>
            <w:bookmarkStart w:id="0" w:name="_Hlk78781180"/>
          </w:p>
          <w:p w14:paraId="1B2E7E9F" w14:textId="3DD1EE23" w:rsidR="004B2E0F" w:rsidRPr="004B2E0F" w:rsidRDefault="004B2E0F" w:rsidP="004B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83E86">
              <w:rPr>
                <w:rFonts w:ascii="Century" w:eastAsia="Times New Roman" w:hAnsi="Century" w:cs="Times New Roman"/>
                <w:iCs/>
                <w:lang w:eastAsia="pl-PL"/>
              </w:rPr>
              <w:t xml:space="preserve">                      </w:t>
            </w:r>
            <w:r w:rsidR="005212CA">
              <w:rPr>
                <w:rFonts w:ascii="Century" w:eastAsia="Times New Roman" w:hAnsi="Century" w:cs="Times New Roman"/>
                <w:iCs/>
                <w:lang w:eastAsia="pl-PL"/>
              </w:rPr>
              <w:t xml:space="preserve"> </w:t>
            </w:r>
            <w:bookmarkEnd w:id="0"/>
          </w:p>
        </w:tc>
        <w:tc>
          <w:tcPr>
            <w:tcW w:w="3402" w:type="dxa"/>
            <w:shd w:val="clear" w:color="auto" w:fill="auto"/>
          </w:tcPr>
          <w:p w14:paraId="5F38F5F9" w14:textId="231D7A5B" w:rsidR="004B2E0F" w:rsidRPr="004B2E0F" w:rsidRDefault="004B2E0F" w:rsidP="004B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14:paraId="274149B8" w14:textId="697724D6" w:rsidR="004B2E0F" w:rsidRPr="004B2E0F" w:rsidRDefault="004B2E0F" w:rsidP="004B2E0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</w:tbl>
    <w:p w14:paraId="49867538" w14:textId="0991B278" w:rsidR="00E9172D" w:rsidRPr="001A7BBA" w:rsidRDefault="00E9172D" w:rsidP="00B24899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64BCE05" w14:textId="77777777" w:rsidR="00054F78" w:rsidRPr="001A7BBA" w:rsidRDefault="00054F78" w:rsidP="00B24899">
      <w:pPr>
        <w:pStyle w:val="Nagwek1"/>
        <w:spacing w:befor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FA4221" w14:textId="7B94D456" w:rsidR="00054F78" w:rsidRPr="00E248B3" w:rsidRDefault="00054F78" w:rsidP="00A83E86">
      <w:pPr>
        <w:pStyle w:val="Nagwek1"/>
        <w:spacing w:before="0"/>
        <w:ind w:left="2836"/>
        <w:jc w:val="both"/>
        <w:rPr>
          <w:rFonts w:ascii="Times New Roman" w:hAnsi="Times New Roman" w:cs="Times New Roman"/>
          <w:iCs/>
          <w:color w:val="auto"/>
          <w:sz w:val="24"/>
        </w:rPr>
      </w:pPr>
      <w:r w:rsidRPr="00E248B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</w:t>
      </w:r>
      <w:r w:rsidRPr="00E248B3">
        <w:rPr>
          <w:rFonts w:ascii="Times New Roman" w:hAnsi="Times New Roman" w:cs="Times New Roman"/>
          <w:iCs/>
          <w:color w:val="auto"/>
          <w:spacing w:val="24"/>
          <w:sz w:val="24"/>
        </w:rPr>
        <w:t xml:space="preserve">   </w:t>
      </w:r>
      <w:r w:rsidR="00A52D40" w:rsidRPr="00E248B3">
        <w:rPr>
          <w:rFonts w:ascii="Times New Roman" w:hAnsi="Times New Roman" w:cs="Times New Roman"/>
          <w:iCs/>
          <w:color w:val="auto"/>
          <w:spacing w:val="24"/>
          <w:sz w:val="24"/>
        </w:rPr>
        <w:t xml:space="preserve"> </w:t>
      </w:r>
    </w:p>
    <w:p w14:paraId="37C7B7AB" w14:textId="77777777" w:rsidR="00E9172D" w:rsidRPr="001A7BBA" w:rsidRDefault="00E9172D" w:rsidP="00B248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DDE022" w14:textId="77777777" w:rsidR="00054F78" w:rsidRPr="001A7BBA" w:rsidRDefault="00054F78" w:rsidP="00B248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EC36FD" w14:textId="77777777" w:rsidR="00054F78" w:rsidRPr="001A7BBA" w:rsidRDefault="00054F78" w:rsidP="00B248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6826C" w14:textId="77777777" w:rsidR="00D60121" w:rsidRPr="001A7BBA" w:rsidRDefault="00D60121" w:rsidP="00B24899">
      <w:pPr>
        <w:spacing w:after="0"/>
        <w:jc w:val="both"/>
        <w:rPr>
          <w:rFonts w:ascii="Times New Roman" w:hAnsi="Times New Roman" w:cs="Times New Roman"/>
          <w:b/>
          <w:bCs/>
          <w:i/>
          <w:smallCaps/>
          <w:noProof/>
          <w:u w:val="single"/>
        </w:rPr>
      </w:pPr>
    </w:p>
    <w:p w14:paraId="2AC61C1D" w14:textId="77777777" w:rsidR="00D60121" w:rsidRPr="001A7BBA" w:rsidRDefault="00D60121" w:rsidP="00B24899">
      <w:pPr>
        <w:spacing w:after="0"/>
        <w:jc w:val="both"/>
        <w:rPr>
          <w:rFonts w:ascii="Times New Roman" w:hAnsi="Times New Roman" w:cs="Times New Roman"/>
          <w:b/>
          <w:bCs/>
          <w:i/>
          <w:smallCaps/>
          <w:noProof/>
          <w:u w:val="single"/>
        </w:rPr>
      </w:pPr>
    </w:p>
    <w:p w14:paraId="6A5C1A3E" w14:textId="77777777" w:rsidR="00D60121" w:rsidRPr="001A7BBA" w:rsidRDefault="00D60121" w:rsidP="00B24899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A67B4C8" w14:textId="77777777" w:rsidR="00D60121" w:rsidRPr="001A7BBA" w:rsidRDefault="00D60121" w:rsidP="00B24899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278F4AF4" w14:textId="77777777" w:rsidR="00E9172D" w:rsidRPr="00023B7F" w:rsidRDefault="00DE0D21" w:rsidP="00023B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23B7F">
        <w:rPr>
          <w:rFonts w:ascii="Times New Roman" w:hAnsi="Times New Roman" w:cs="Times New Roman"/>
          <w:b/>
          <w:bCs/>
          <w:sz w:val="32"/>
          <w:szCs w:val="32"/>
        </w:rPr>
        <w:t xml:space="preserve">PROGRAM </w:t>
      </w:r>
      <w:r w:rsidR="00FD2270" w:rsidRPr="00023B7F">
        <w:rPr>
          <w:rFonts w:ascii="Times New Roman" w:hAnsi="Times New Roman" w:cs="Times New Roman"/>
          <w:b/>
          <w:bCs/>
          <w:sz w:val="32"/>
          <w:szCs w:val="32"/>
        </w:rPr>
        <w:t>FUNDUSZE EUROPEJSKIE</w:t>
      </w:r>
    </w:p>
    <w:p w14:paraId="43EE0E70" w14:textId="2DC9E319" w:rsidR="00235E1D" w:rsidRDefault="00A756C0" w:rsidP="00023B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NA</w:t>
      </w:r>
      <w:r w:rsidR="00235E1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23807" w:rsidRPr="00023B7F">
        <w:rPr>
          <w:rFonts w:ascii="Times New Roman" w:hAnsi="Times New Roman" w:cs="Times New Roman"/>
          <w:b/>
          <w:bCs/>
          <w:sz w:val="32"/>
          <w:szCs w:val="32"/>
        </w:rPr>
        <w:t>POMOC ŻYWNOŚCIOW</w:t>
      </w:r>
      <w:r>
        <w:rPr>
          <w:rFonts w:ascii="Times New Roman" w:hAnsi="Times New Roman" w:cs="Times New Roman"/>
          <w:b/>
          <w:bCs/>
          <w:sz w:val="32"/>
          <w:szCs w:val="32"/>
        </w:rPr>
        <w:t>Ą DLA</w:t>
      </w:r>
    </w:p>
    <w:p w14:paraId="3F3B3481" w14:textId="25A3DB00" w:rsidR="00204435" w:rsidRPr="00023B7F" w:rsidRDefault="00235E1D" w:rsidP="00023B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NAJBARDZIEJ POTRZEBUJĄCY</w:t>
      </w:r>
      <w:r w:rsidR="00A756C0">
        <w:rPr>
          <w:rFonts w:ascii="Times New Roman" w:hAnsi="Times New Roman" w:cs="Times New Roman"/>
          <w:b/>
          <w:bCs/>
          <w:sz w:val="32"/>
          <w:szCs w:val="32"/>
        </w:rPr>
        <w:t>CH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D5A05BD" w14:textId="4C1AB570" w:rsidR="00204435" w:rsidRDefault="00204435" w:rsidP="00023B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23B7F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FD2270" w:rsidRPr="00023B7F"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Pr="00023B7F">
        <w:rPr>
          <w:rFonts w:ascii="Times New Roman" w:hAnsi="Times New Roman" w:cs="Times New Roman"/>
          <w:b/>
          <w:bCs/>
          <w:sz w:val="32"/>
          <w:szCs w:val="32"/>
        </w:rPr>
        <w:t xml:space="preserve"> – 202</w:t>
      </w:r>
      <w:r w:rsidR="00FD2270" w:rsidRPr="00023B7F">
        <w:rPr>
          <w:rFonts w:ascii="Times New Roman" w:hAnsi="Times New Roman" w:cs="Times New Roman"/>
          <w:b/>
          <w:bCs/>
          <w:sz w:val="32"/>
          <w:szCs w:val="32"/>
        </w:rPr>
        <w:t>7</w:t>
      </w:r>
    </w:p>
    <w:p w14:paraId="7EC6CFDA" w14:textId="77777777" w:rsidR="006626EF" w:rsidRDefault="006626EF" w:rsidP="00023B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9AA557" w14:textId="24918C79" w:rsidR="006626EF" w:rsidRDefault="006626EF" w:rsidP="00023B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(nazwa skrócona: </w:t>
      </w:r>
    </w:p>
    <w:p w14:paraId="3C4C03FA" w14:textId="77777777" w:rsidR="006626EF" w:rsidRDefault="006626EF" w:rsidP="00023B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FUNDUSZE EUROPEJSKIE </w:t>
      </w:r>
    </w:p>
    <w:p w14:paraId="37AF6540" w14:textId="76EAB0E7" w:rsidR="006626EF" w:rsidRPr="00023B7F" w:rsidRDefault="006626EF" w:rsidP="00023B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POMOC ŻYWNOŚCIOWA 2021-2027)</w:t>
      </w:r>
    </w:p>
    <w:p w14:paraId="619B0B6F" w14:textId="77777777" w:rsidR="00ED20BE" w:rsidRPr="00023B7F" w:rsidRDefault="00ED20BE" w:rsidP="00023B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12911F" w14:textId="77777777" w:rsidR="002762FE" w:rsidRPr="00023B7F" w:rsidRDefault="002762FE" w:rsidP="00023B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756060A" w14:textId="77777777" w:rsidR="00E9172D" w:rsidRPr="00023B7F" w:rsidRDefault="00E9172D" w:rsidP="00023B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3274D1" w14:textId="77777777" w:rsidR="00E9172D" w:rsidRPr="00023B7F" w:rsidRDefault="00E9172D" w:rsidP="00023B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B83ED4" w14:textId="77777777" w:rsidR="00582826" w:rsidRPr="00023B7F" w:rsidRDefault="00582826" w:rsidP="00023B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6A0830" w14:textId="77777777" w:rsidR="001A7BBA" w:rsidRPr="00023B7F" w:rsidRDefault="001A7BBA" w:rsidP="006626E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DC916A4" w14:textId="77777777" w:rsidR="00023B7F" w:rsidRPr="00417381" w:rsidRDefault="00C16873" w:rsidP="00023B7F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381">
        <w:rPr>
          <w:rFonts w:ascii="Times New Roman" w:hAnsi="Times New Roman" w:cs="Times New Roman"/>
          <w:sz w:val="28"/>
          <w:szCs w:val="28"/>
        </w:rPr>
        <w:t>Warszawa</w:t>
      </w:r>
      <w:r w:rsidR="002232AD" w:rsidRPr="00417381">
        <w:rPr>
          <w:rFonts w:ascii="Times New Roman" w:hAnsi="Times New Roman" w:cs="Times New Roman"/>
          <w:sz w:val="28"/>
          <w:szCs w:val="28"/>
        </w:rPr>
        <w:t xml:space="preserve">  </w:t>
      </w:r>
      <w:r w:rsidR="00054F78" w:rsidRPr="00417381">
        <w:rPr>
          <w:rFonts w:ascii="Times New Roman" w:hAnsi="Times New Roman" w:cs="Times New Roman"/>
          <w:sz w:val="28"/>
          <w:szCs w:val="28"/>
        </w:rPr>
        <w:t>20</w:t>
      </w:r>
      <w:r w:rsidR="00FD2270" w:rsidRPr="00417381">
        <w:rPr>
          <w:rFonts w:ascii="Times New Roman" w:hAnsi="Times New Roman" w:cs="Times New Roman"/>
          <w:sz w:val="28"/>
          <w:szCs w:val="28"/>
        </w:rPr>
        <w:t>21</w:t>
      </w:r>
      <w:r w:rsidR="00054F78" w:rsidRPr="00417381">
        <w:rPr>
          <w:rFonts w:ascii="Times New Roman" w:hAnsi="Times New Roman" w:cs="Times New Roman"/>
          <w:sz w:val="28"/>
          <w:szCs w:val="28"/>
        </w:rPr>
        <w:t xml:space="preserve"> r</w:t>
      </w:r>
      <w:r w:rsidR="00E9172D" w:rsidRPr="00417381">
        <w:rPr>
          <w:rFonts w:ascii="Times New Roman" w:hAnsi="Times New Roman" w:cs="Times New Roman"/>
          <w:sz w:val="28"/>
          <w:szCs w:val="28"/>
        </w:rPr>
        <w:t>.</w:t>
      </w:r>
    </w:p>
    <w:p w14:paraId="0B3D642E" w14:textId="77777777" w:rsidR="003B54AF" w:rsidRDefault="003B54AF" w:rsidP="00A31E3D">
      <w:pPr>
        <w:pStyle w:val="Podtytu"/>
        <w:rPr>
          <w:rFonts w:ascii="Times New Roman" w:hAnsi="Times New Roman" w:cs="Times New Roman"/>
          <w:b/>
          <w:bCs/>
        </w:rPr>
      </w:pPr>
    </w:p>
    <w:p w14:paraId="1A03AA8A" w14:textId="77777777" w:rsidR="003B54AF" w:rsidRDefault="003B54AF" w:rsidP="00A31E3D">
      <w:pPr>
        <w:pStyle w:val="Podtytu"/>
        <w:rPr>
          <w:rFonts w:ascii="Times New Roman" w:hAnsi="Times New Roman" w:cs="Times New Roman"/>
          <w:b/>
          <w:bCs/>
        </w:rPr>
      </w:pPr>
    </w:p>
    <w:p w14:paraId="63ECF3BF" w14:textId="77777777" w:rsidR="003B54AF" w:rsidRDefault="003B54AF" w:rsidP="00A31E3D">
      <w:pPr>
        <w:pStyle w:val="Podtytu"/>
        <w:rPr>
          <w:rFonts w:ascii="Times New Roman" w:hAnsi="Times New Roman" w:cs="Times New Roman"/>
          <w:b/>
          <w:bCs/>
        </w:rPr>
      </w:pPr>
    </w:p>
    <w:p w14:paraId="277B84F2" w14:textId="19B23020" w:rsidR="00023B7F" w:rsidRPr="00A31E3D" w:rsidRDefault="001719F5" w:rsidP="00A31E3D">
      <w:pPr>
        <w:pStyle w:val="Podtytu"/>
        <w:rPr>
          <w:rFonts w:ascii="Times New Roman" w:hAnsi="Times New Roman" w:cs="Times New Roman"/>
          <w:b/>
          <w:bCs/>
        </w:rPr>
      </w:pPr>
      <w:r w:rsidRPr="00A31E3D">
        <w:rPr>
          <w:rFonts w:ascii="Times New Roman" w:hAnsi="Times New Roman" w:cs="Times New Roman"/>
          <w:b/>
          <w:bCs/>
        </w:rPr>
        <w:lastRenderedPageBreak/>
        <w:t>Wykaz Skrótów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8"/>
      </w:tblGrid>
      <w:tr w:rsidR="00350841" w:rsidRPr="00A31E3D" w14:paraId="47FC7377" w14:textId="77777777" w:rsidTr="005A7AC2">
        <w:tc>
          <w:tcPr>
            <w:tcW w:w="1555" w:type="dxa"/>
            <w:vAlign w:val="center"/>
          </w:tcPr>
          <w:p w14:paraId="48A80610" w14:textId="77777777" w:rsidR="00350841" w:rsidRPr="00A31E3D" w:rsidRDefault="00350841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EFS+</w:t>
            </w:r>
          </w:p>
        </w:tc>
        <w:tc>
          <w:tcPr>
            <w:tcW w:w="7508" w:type="dxa"/>
            <w:vAlign w:val="center"/>
          </w:tcPr>
          <w:p w14:paraId="70FD7EF5" w14:textId="77777777" w:rsidR="00350841" w:rsidRPr="00A31E3D" w:rsidRDefault="00350841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Europejski Fundusz Społeczny Plus</w:t>
            </w:r>
          </w:p>
        </w:tc>
      </w:tr>
      <w:tr w:rsidR="00D22543" w:rsidRPr="00A31E3D" w14:paraId="7021C52A" w14:textId="77777777" w:rsidTr="005A7AC2">
        <w:tc>
          <w:tcPr>
            <w:tcW w:w="1555" w:type="dxa"/>
            <w:vAlign w:val="center"/>
          </w:tcPr>
          <w:p w14:paraId="3AE67CD0" w14:textId="46515046" w:rsidR="00D22543" w:rsidRPr="00A31E3D" w:rsidRDefault="00D22543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FEPŻ</w:t>
            </w:r>
          </w:p>
        </w:tc>
        <w:tc>
          <w:tcPr>
            <w:tcW w:w="7508" w:type="dxa"/>
            <w:vAlign w:val="center"/>
          </w:tcPr>
          <w:p w14:paraId="374F1693" w14:textId="3411927A" w:rsidR="00D22543" w:rsidRPr="00A31E3D" w:rsidRDefault="00D22543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 xml:space="preserve">Program Fundusze Europejskie </w:t>
            </w:r>
            <w:r w:rsidR="00FE7A1F">
              <w:rPr>
                <w:sz w:val="22"/>
                <w:szCs w:val="22"/>
              </w:rPr>
              <w:t xml:space="preserve">na </w:t>
            </w:r>
            <w:r w:rsidRPr="00A31E3D">
              <w:rPr>
                <w:sz w:val="22"/>
                <w:szCs w:val="22"/>
              </w:rPr>
              <w:t>Pomoc Żywnościow</w:t>
            </w:r>
            <w:r w:rsidR="00FE7A1F">
              <w:rPr>
                <w:sz w:val="22"/>
                <w:szCs w:val="22"/>
              </w:rPr>
              <w:t xml:space="preserve">ą dla Najbardziej Potrzebujących </w:t>
            </w:r>
            <w:r w:rsidR="002B6644">
              <w:rPr>
                <w:sz w:val="22"/>
                <w:szCs w:val="22"/>
              </w:rPr>
              <w:t xml:space="preserve">(Fundusze Europejskie Pomoc Żywnościowa) </w:t>
            </w:r>
          </w:p>
        </w:tc>
      </w:tr>
      <w:tr w:rsidR="00350841" w:rsidRPr="00A31E3D" w14:paraId="69A1C0FD" w14:textId="77777777" w:rsidTr="005A7AC2">
        <w:tc>
          <w:tcPr>
            <w:tcW w:w="1555" w:type="dxa"/>
            <w:vAlign w:val="center"/>
          </w:tcPr>
          <w:p w14:paraId="5A95CC33" w14:textId="388176A1" w:rsidR="00350841" w:rsidRPr="00A31E3D" w:rsidRDefault="00350841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FERS</w:t>
            </w:r>
          </w:p>
        </w:tc>
        <w:tc>
          <w:tcPr>
            <w:tcW w:w="7508" w:type="dxa"/>
            <w:vAlign w:val="center"/>
          </w:tcPr>
          <w:p w14:paraId="3FC7A8C1" w14:textId="77777777" w:rsidR="00350841" w:rsidRPr="00A31E3D" w:rsidRDefault="00350841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 xml:space="preserve">Program Fundusze Europejskie dla Rozwoju Społecznego </w:t>
            </w:r>
          </w:p>
        </w:tc>
      </w:tr>
      <w:tr w:rsidR="00350841" w:rsidRPr="00A31E3D" w14:paraId="44C6AE4A" w14:textId="77777777" w:rsidTr="005A7AC2">
        <w:tc>
          <w:tcPr>
            <w:tcW w:w="1555" w:type="dxa"/>
            <w:vAlign w:val="center"/>
          </w:tcPr>
          <w:p w14:paraId="7D7591AF" w14:textId="77777777" w:rsidR="00350841" w:rsidRPr="00A31E3D" w:rsidRDefault="00350841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FEAD</w:t>
            </w:r>
          </w:p>
        </w:tc>
        <w:tc>
          <w:tcPr>
            <w:tcW w:w="7508" w:type="dxa"/>
            <w:vAlign w:val="center"/>
          </w:tcPr>
          <w:p w14:paraId="2262D65F" w14:textId="77777777" w:rsidR="00350841" w:rsidRPr="00A31E3D" w:rsidRDefault="00350841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Europejski Fundusz Pomocy Najbardziej Potrzebującym</w:t>
            </w:r>
          </w:p>
        </w:tc>
      </w:tr>
      <w:tr w:rsidR="00350841" w:rsidRPr="00A31E3D" w14:paraId="36B48A5A" w14:textId="77777777" w:rsidTr="005A7AC2">
        <w:tc>
          <w:tcPr>
            <w:tcW w:w="1555" w:type="dxa"/>
            <w:vAlign w:val="center"/>
          </w:tcPr>
          <w:p w14:paraId="15191411" w14:textId="77777777" w:rsidR="00350841" w:rsidRPr="00A31E3D" w:rsidRDefault="00350841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IA</w:t>
            </w:r>
          </w:p>
        </w:tc>
        <w:tc>
          <w:tcPr>
            <w:tcW w:w="7508" w:type="dxa"/>
            <w:vAlign w:val="center"/>
          </w:tcPr>
          <w:p w14:paraId="7E239914" w14:textId="77777777" w:rsidR="00350841" w:rsidRPr="00A31E3D" w:rsidRDefault="00350841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Instytucja Audytowa</w:t>
            </w:r>
          </w:p>
        </w:tc>
      </w:tr>
      <w:tr w:rsidR="00E36425" w:rsidRPr="00A31E3D" w14:paraId="3D5B9692" w14:textId="77777777" w:rsidTr="005A7AC2">
        <w:tc>
          <w:tcPr>
            <w:tcW w:w="1555" w:type="dxa"/>
            <w:vAlign w:val="center"/>
          </w:tcPr>
          <w:p w14:paraId="472C82B9" w14:textId="77777777" w:rsidR="00E36425" w:rsidRPr="00A31E3D" w:rsidRDefault="00E36425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IKW</w:t>
            </w:r>
          </w:p>
        </w:tc>
        <w:tc>
          <w:tcPr>
            <w:tcW w:w="7508" w:type="dxa"/>
            <w:vAlign w:val="center"/>
          </w:tcPr>
          <w:p w14:paraId="119FDFDB" w14:textId="77777777" w:rsidR="00E36425" w:rsidRPr="00A31E3D" w:rsidRDefault="00E36425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Instytucja wykonująca zadania w zakresie księgowania wydatków</w:t>
            </w:r>
          </w:p>
        </w:tc>
      </w:tr>
      <w:tr w:rsidR="00350841" w:rsidRPr="00A31E3D" w14:paraId="167DB331" w14:textId="77777777" w:rsidTr="005A7AC2">
        <w:tc>
          <w:tcPr>
            <w:tcW w:w="1555" w:type="dxa"/>
            <w:vAlign w:val="center"/>
          </w:tcPr>
          <w:p w14:paraId="7DAC39D9" w14:textId="77777777" w:rsidR="00350841" w:rsidRPr="00A31E3D" w:rsidRDefault="00350841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IP</w:t>
            </w:r>
          </w:p>
        </w:tc>
        <w:tc>
          <w:tcPr>
            <w:tcW w:w="7508" w:type="dxa"/>
            <w:vAlign w:val="center"/>
          </w:tcPr>
          <w:p w14:paraId="53343FBA" w14:textId="77777777" w:rsidR="00350841" w:rsidRPr="00A31E3D" w:rsidRDefault="00350841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Instytucja Pośrednicząca</w:t>
            </w:r>
          </w:p>
        </w:tc>
      </w:tr>
      <w:tr w:rsidR="00350841" w:rsidRPr="00A31E3D" w14:paraId="29FD8F5E" w14:textId="77777777" w:rsidTr="005A7AC2">
        <w:tc>
          <w:tcPr>
            <w:tcW w:w="1555" w:type="dxa"/>
            <w:vAlign w:val="center"/>
          </w:tcPr>
          <w:p w14:paraId="6F501280" w14:textId="7DC164B1" w:rsidR="00350841" w:rsidRPr="00A31E3D" w:rsidRDefault="00350841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IZ</w:t>
            </w:r>
          </w:p>
        </w:tc>
        <w:tc>
          <w:tcPr>
            <w:tcW w:w="7508" w:type="dxa"/>
            <w:vAlign w:val="center"/>
          </w:tcPr>
          <w:p w14:paraId="6DE29F13" w14:textId="77777777" w:rsidR="00350841" w:rsidRPr="00A31E3D" w:rsidRDefault="00350841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Instytucja Zarządzająca</w:t>
            </w:r>
          </w:p>
        </w:tc>
      </w:tr>
      <w:tr w:rsidR="00350841" w:rsidRPr="00A31E3D" w14:paraId="75F0878B" w14:textId="77777777" w:rsidTr="005A7AC2">
        <w:tc>
          <w:tcPr>
            <w:tcW w:w="1555" w:type="dxa"/>
            <w:vAlign w:val="center"/>
          </w:tcPr>
          <w:p w14:paraId="7F71DF8A" w14:textId="77777777" w:rsidR="00350841" w:rsidRPr="00A31E3D" w:rsidRDefault="00350841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KOWR</w:t>
            </w:r>
          </w:p>
        </w:tc>
        <w:tc>
          <w:tcPr>
            <w:tcW w:w="7508" w:type="dxa"/>
            <w:vAlign w:val="center"/>
          </w:tcPr>
          <w:p w14:paraId="4E999B88" w14:textId="77777777" w:rsidR="00350841" w:rsidRPr="00A31E3D" w:rsidRDefault="00350841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Krajowy Ośrodek Wsparcia Rolnictwa</w:t>
            </w:r>
          </w:p>
        </w:tc>
      </w:tr>
      <w:tr w:rsidR="00350841" w:rsidRPr="00A31E3D" w14:paraId="7F189F45" w14:textId="77777777" w:rsidTr="005A7AC2">
        <w:tc>
          <w:tcPr>
            <w:tcW w:w="1555" w:type="dxa"/>
            <w:vAlign w:val="center"/>
          </w:tcPr>
          <w:p w14:paraId="278CE937" w14:textId="77777777" w:rsidR="00350841" w:rsidRPr="00A31E3D" w:rsidRDefault="00350841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OPL</w:t>
            </w:r>
          </w:p>
        </w:tc>
        <w:tc>
          <w:tcPr>
            <w:tcW w:w="7508" w:type="dxa"/>
            <w:vAlign w:val="center"/>
          </w:tcPr>
          <w:p w14:paraId="63DBB76C" w14:textId="77777777" w:rsidR="00350841" w:rsidRPr="00A31E3D" w:rsidRDefault="00350841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organizacja partnerska lokalna</w:t>
            </w:r>
          </w:p>
        </w:tc>
      </w:tr>
      <w:tr w:rsidR="00350841" w:rsidRPr="00A31E3D" w14:paraId="65B84185" w14:textId="77777777" w:rsidTr="005A7AC2">
        <w:tc>
          <w:tcPr>
            <w:tcW w:w="1555" w:type="dxa"/>
            <w:vAlign w:val="center"/>
          </w:tcPr>
          <w:p w14:paraId="6EA30FA0" w14:textId="77777777" w:rsidR="00350841" w:rsidRPr="00A31E3D" w:rsidRDefault="00350841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OPO</w:t>
            </w:r>
          </w:p>
        </w:tc>
        <w:tc>
          <w:tcPr>
            <w:tcW w:w="7508" w:type="dxa"/>
            <w:vAlign w:val="center"/>
          </w:tcPr>
          <w:p w14:paraId="009B6D2F" w14:textId="77777777" w:rsidR="00350841" w:rsidRPr="00A31E3D" w:rsidRDefault="00350841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organizacja partnerska ogólnopolska</w:t>
            </w:r>
          </w:p>
        </w:tc>
      </w:tr>
      <w:tr w:rsidR="00350841" w:rsidRPr="00A31E3D" w14:paraId="5477C9F4" w14:textId="77777777" w:rsidTr="005A7AC2">
        <w:tc>
          <w:tcPr>
            <w:tcW w:w="1555" w:type="dxa"/>
            <w:vAlign w:val="center"/>
          </w:tcPr>
          <w:p w14:paraId="68B673EA" w14:textId="77777777" w:rsidR="00350841" w:rsidRPr="00A31E3D" w:rsidRDefault="00350841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OPR</w:t>
            </w:r>
          </w:p>
        </w:tc>
        <w:tc>
          <w:tcPr>
            <w:tcW w:w="7508" w:type="dxa"/>
            <w:vAlign w:val="center"/>
          </w:tcPr>
          <w:p w14:paraId="3A89D331" w14:textId="77777777" w:rsidR="00350841" w:rsidRPr="00A31E3D" w:rsidRDefault="00350841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organizacja partnerska regionalna</w:t>
            </w:r>
          </w:p>
        </w:tc>
      </w:tr>
      <w:tr w:rsidR="00350841" w:rsidRPr="00A31E3D" w14:paraId="56832F0F" w14:textId="77777777" w:rsidTr="005A7AC2">
        <w:tc>
          <w:tcPr>
            <w:tcW w:w="1555" w:type="dxa"/>
            <w:vAlign w:val="center"/>
          </w:tcPr>
          <w:p w14:paraId="128B769A" w14:textId="77777777" w:rsidR="00350841" w:rsidRPr="00A31E3D" w:rsidRDefault="00350841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OPS</w:t>
            </w:r>
          </w:p>
        </w:tc>
        <w:tc>
          <w:tcPr>
            <w:tcW w:w="7508" w:type="dxa"/>
            <w:vAlign w:val="center"/>
          </w:tcPr>
          <w:p w14:paraId="0B51A713" w14:textId="77777777" w:rsidR="00350841" w:rsidRPr="00A31E3D" w:rsidRDefault="00350841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ośrodek pomocy społecznej</w:t>
            </w:r>
          </w:p>
        </w:tc>
      </w:tr>
      <w:tr w:rsidR="00442BE0" w:rsidRPr="00A31E3D" w14:paraId="4CDD51FD" w14:textId="77777777" w:rsidTr="005A7AC2">
        <w:tc>
          <w:tcPr>
            <w:tcW w:w="1555" w:type="dxa"/>
            <w:vAlign w:val="center"/>
          </w:tcPr>
          <w:p w14:paraId="01B14445" w14:textId="77777777" w:rsidR="00442BE0" w:rsidRPr="00A31E3D" w:rsidRDefault="00442BE0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Program</w:t>
            </w:r>
          </w:p>
        </w:tc>
        <w:tc>
          <w:tcPr>
            <w:tcW w:w="7508" w:type="dxa"/>
            <w:vAlign w:val="center"/>
          </w:tcPr>
          <w:p w14:paraId="0894BB2D" w14:textId="77777777" w:rsidR="00442BE0" w:rsidRPr="00A31E3D" w:rsidRDefault="00442BE0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Program Fundusze Europejskie Pomoc Żywnościowa</w:t>
            </w:r>
            <w:r w:rsidR="00A75E24" w:rsidRPr="00A31E3D">
              <w:rPr>
                <w:sz w:val="22"/>
                <w:szCs w:val="22"/>
              </w:rPr>
              <w:t xml:space="preserve"> 2021-2027</w:t>
            </w:r>
          </w:p>
        </w:tc>
      </w:tr>
      <w:tr w:rsidR="00350841" w:rsidRPr="00A31E3D" w14:paraId="1FAF0AD2" w14:textId="77777777" w:rsidTr="005A7AC2">
        <w:tc>
          <w:tcPr>
            <w:tcW w:w="1555" w:type="dxa"/>
            <w:vAlign w:val="center"/>
          </w:tcPr>
          <w:p w14:paraId="619F40EC" w14:textId="77777777" w:rsidR="00350841" w:rsidRPr="00A31E3D" w:rsidRDefault="00350841" w:rsidP="00023B7F">
            <w:pPr>
              <w:rPr>
                <w:sz w:val="22"/>
                <w:szCs w:val="22"/>
              </w:rPr>
            </w:pPr>
            <w:proofErr w:type="spellStart"/>
            <w:r w:rsidRPr="00A31E3D">
              <w:rPr>
                <w:sz w:val="22"/>
                <w:szCs w:val="22"/>
              </w:rPr>
              <w:t>rozp</w:t>
            </w:r>
            <w:proofErr w:type="spellEnd"/>
            <w:r w:rsidRPr="00A31E3D">
              <w:rPr>
                <w:sz w:val="22"/>
                <w:szCs w:val="22"/>
              </w:rPr>
              <w:t>. EFS+</w:t>
            </w:r>
          </w:p>
        </w:tc>
        <w:tc>
          <w:tcPr>
            <w:tcW w:w="7508" w:type="dxa"/>
            <w:vAlign w:val="center"/>
          </w:tcPr>
          <w:p w14:paraId="358A8F7A" w14:textId="418D7CA2" w:rsidR="00350841" w:rsidRPr="00A31E3D" w:rsidRDefault="00350841" w:rsidP="002B6644">
            <w:pPr>
              <w:jc w:val="both"/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Rozporządzenie Parlamentu Europejskiego i Rady (UE) 2021/1057 z dnia 24</w:t>
            </w:r>
            <w:r w:rsidR="00332D1A" w:rsidRPr="00A31E3D">
              <w:rPr>
                <w:sz w:val="22"/>
                <w:szCs w:val="22"/>
              </w:rPr>
              <w:t> </w:t>
            </w:r>
            <w:r w:rsidRPr="00A31E3D">
              <w:rPr>
                <w:sz w:val="22"/>
                <w:szCs w:val="22"/>
              </w:rPr>
              <w:t xml:space="preserve">czerwca 2021 r.  </w:t>
            </w:r>
            <w:r w:rsidR="00C85F7C" w:rsidRPr="00A31E3D">
              <w:rPr>
                <w:sz w:val="22"/>
                <w:szCs w:val="22"/>
              </w:rPr>
              <w:t>ustanawiające Europejski Fundusz Społeczny Plus (EFS+) oraz uchylające rozporządzenie (UE) nr 1296/2013</w:t>
            </w:r>
            <w:r w:rsidR="00755D28">
              <w:rPr>
                <w:sz w:val="22"/>
                <w:szCs w:val="22"/>
              </w:rPr>
              <w:t xml:space="preserve"> </w:t>
            </w:r>
            <w:r w:rsidR="00755D28" w:rsidRPr="00755D28">
              <w:rPr>
                <w:sz w:val="22"/>
                <w:szCs w:val="22"/>
              </w:rPr>
              <w:t>(Dz</w:t>
            </w:r>
            <w:r w:rsidR="00755D28">
              <w:rPr>
                <w:sz w:val="22"/>
                <w:szCs w:val="22"/>
              </w:rPr>
              <w:t xml:space="preserve">. </w:t>
            </w:r>
            <w:r w:rsidR="00755D28" w:rsidRPr="00755D28">
              <w:rPr>
                <w:sz w:val="22"/>
                <w:szCs w:val="22"/>
              </w:rPr>
              <w:t>Urz. UE L 231 z 30.06.2021 r.).</w:t>
            </w:r>
          </w:p>
        </w:tc>
      </w:tr>
      <w:tr w:rsidR="00350841" w:rsidRPr="00A31E3D" w14:paraId="52C8716B" w14:textId="77777777" w:rsidTr="005A7AC2">
        <w:tc>
          <w:tcPr>
            <w:tcW w:w="1555" w:type="dxa"/>
            <w:vAlign w:val="center"/>
          </w:tcPr>
          <w:p w14:paraId="193EE96B" w14:textId="77777777" w:rsidR="00350841" w:rsidRPr="00A31E3D" w:rsidRDefault="00350841" w:rsidP="00023B7F">
            <w:pPr>
              <w:rPr>
                <w:sz w:val="22"/>
                <w:szCs w:val="22"/>
              </w:rPr>
            </w:pPr>
            <w:proofErr w:type="spellStart"/>
            <w:r w:rsidRPr="00A31E3D">
              <w:rPr>
                <w:sz w:val="22"/>
                <w:szCs w:val="22"/>
              </w:rPr>
              <w:t>rozp</w:t>
            </w:r>
            <w:proofErr w:type="spellEnd"/>
            <w:r w:rsidRPr="00A31E3D">
              <w:rPr>
                <w:sz w:val="22"/>
                <w:szCs w:val="22"/>
              </w:rPr>
              <w:t>. ogólne</w:t>
            </w:r>
          </w:p>
        </w:tc>
        <w:tc>
          <w:tcPr>
            <w:tcW w:w="7508" w:type="dxa"/>
            <w:vAlign w:val="center"/>
          </w:tcPr>
          <w:p w14:paraId="1D8D5A28" w14:textId="5F0C98E7" w:rsidR="00350841" w:rsidRPr="00A31E3D" w:rsidRDefault="00350841" w:rsidP="002B6644">
            <w:pPr>
              <w:jc w:val="both"/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Rozporządzenie Parlamentu Europejskiego i Rady (UE) 2021/1060 z dnia 24</w:t>
            </w:r>
            <w:r w:rsidR="00332D1A" w:rsidRPr="00A31E3D">
              <w:rPr>
                <w:sz w:val="22"/>
                <w:szCs w:val="22"/>
              </w:rPr>
              <w:t> </w:t>
            </w:r>
            <w:r w:rsidRPr="00A31E3D">
              <w:rPr>
                <w:sz w:val="22"/>
                <w:szCs w:val="22"/>
              </w:rPr>
              <w:t>czerwca 2021 r.  ustanawiające wspólne przepisy dotyczące Europejskiego Funduszu Rozwoju Regionalnego, Europejskiego Funduszu Społecznego Plus, Funduszu Spójności, Funduszu na rzecz Sprawiedliwej Transformacji i</w:t>
            </w:r>
            <w:r w:rsidR="00332D1A" w:rsidRPr="00A31E3D">
              <w:rPr>
                <w:sz w:val="22"/>
                <w:szCs w:val="22"/>
              </w:rPr>
              <w:t> </w:t>
            </w:r>
            <w:r w:rsidRPr="00A31E3D">
              <w:rPr>
                <w:sz w:val="22"/>
                <w:szCs w:val="22"/>
              </w:rPr>
              <w:t>Europejskiego Funduszu Morskiego, Rybackiego i Akwakultury, a także przepisy</w:t>
            </w:r>
            <w:r w:rsidR="00332D1A" w:rsidRPr="00A31E3D">
              <w:rPr>
                <w:sz w:val="22"/>
                <w:szCs w:val="22"/>
              </w:rPr>
              <w:t> </w:t>
            </w:r>
            <w:r w:rsidRPr="00A31E3D">
              <w:rPr>
                <w:sz w:val="22"/>
                <w:szCs w:val="22"/>
              </w:rPr>
              <w:t>finansowe na potrzeby tych funduszy oraz na potrzeby Funduszu Azylu, Migracji i Integracji, Funduszu Bezpieczeństwa Wewnętrznego i Instrumentu Wsparcia Finansowego na rzecz Zarządzania Granicami i Polityki Wizowej</w:t>
            </w:r>
            <w:r w:rsidR="00755D28">
              <w:rPr>
                <w:sz w:val="22"/>
                <w:szCs w:val="22"/>
              </w:rPr>
              <w:t xml:space="preserve"> </w:t>
            </w:r>
            <w:r w:rsidR="00755D28" w:rsidRPr="00755D28">
              <w:rPr>
                <w:sz w:val="22"/>
                <w:szCs w:val="22"/>
              </w:rPr>
              <w:t>(Dz.</w:t>
            </w:r>
            <w:r w:rsidR="00755D28">
              <w:rPr>
                <w:sz w:val="22"/>
                <w:szCs w:val="22"/>
              </w:rPr>
              <w:t xml:space="preserve"> </w:t>
            </w:r>
            <w:r w:rsidR="00755D28" w:rsidRPr="00755D28">
              <w:rPr>
                <w:sz w:val="22"/>
                <w:szCs w:val="22"/>
              </w:rPr>
              <w:t>Urz. UE L 231 z 30.06.2021 r.).</w:t>
            </w:r>
          </w:p>
        </w:tc>
      </w:tr>
    </w:tbl>
    <w:p w14:paraId="6EB3FB3F" w14:textId="77777777" w:rsidR="001719F5" w:rsidRPr="00023B7F" w:rsidRDefault="001719F5" w:rsidP="00023B7F">
      <w:pPr>
        <w:rPr>
          <w:rFonts w:ascii="Times New Roman" w:hAnsi="Times New Roman" w:cs="Times New Roman"/>
        </w:rPr>
      </w:pPr>
    </w:p>
    <w:p w14:paraId="09BA96E0" w14:textId="77777777" w:rsidR="001235EB" w:rsidRPr="00A31E3D" w:rsidRDefault="003626BE" w:rsidP="00A31E3D">
      <w:pPr>
        <w:pStyle w:val="Podtytu"/>
        <w:rPr>
          <w:rFonts w:ascii="Times New Roman" w:hAnsi="Times New Roman" w:cs="Times New Roman"/>
          <w:b/>
          <w:bCs/>
        </w:rPr>
      </w:pPr>
      <w:r w:rsidRPr="00A31E3D">
        <w:rPr>
          <w:rFonts w:ascii="Times New Roman" w:hAnsi="Times New Roman" w:cs="Times New Roman"/>
          <w:b/>
          <w:bCs/>
        </w:rPr>
        <w:t xml:space="preserve">1. </w:t>
      </w:r>
      <w:r w:rsidR="00D02775" w:rsidRPr="00A31E3D">
        <w:rPr>
          <w:rFonts w:ascii="Times New Roman" w:hAnsi="Times New Roman" w:cs="Times New Roman"/>
          <w:b/>
          <w:bCs/>
        </w:rPr>
        <w:t>O</w:t>
      </w:r>
      <w:r w:rsidR="001235EB" w:rsidRPr="00A31E3D">
        <w:rPr>
          <w:rFonts w:ascii="Times New Roman" w:hAnsi="Times New Roman" w:cs="Times New Roman"/>
          <w:b/>
          <w:bCs/>
        </w:rPr>
        <w:t xml:space="preserve">kreślenie </w:t>
      </w:r>
      <w:r w:rsidR="00D02775" w:rsidRPr="00A31E3D">
        <w:rPr>
          <w:rFonts w:ascii="Times New Roman" w:hAnsi="Times New Roman" w:cs="Times New Roman"/>
          <w:b/>
          <w:bCs/>
        </w:rPr>
        <w:t>P</w:t>
      </w:r>
      <w:r w:rsidR="001235EB" w:rsidRPr="00A31E3D">
        <w:rPr>
          <w:rFonts w:ascii="Times New Roman" w:hAnsi="Times New Roman" w:cs="Times New Roman"/>
          <w:b/>
          <w:bCs/>
        </w:rPr>
        <w:t>rogramu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4"/>
      </w:tblGrid>
      <w:tr w:rsidR="007F08EF" w:rsidRPr="00A31E3D" w14:paraId="452ECB1C" w14:textId="77777777" w:rsidTr="003C2456">
        <w:tc>
          <w:tcPr>
            <w:tcW w:w="3539" w:type="dxa"/>
            <w:vAlign w:val="center"/>
          </w:tcPr>
          <w:p w14:paraId="563AD3EF" w14:textId="77777777" w:rsidR="007F08EF" w:rsidRPr="00A31E3D" w:rsidRDefault="00660D1F" w:rsidP="00023B7F">
            <w:pPr>
              <w:rPr>
                <w:sz w:val="22"/>
                <w:szCs w:val="22"/>
              </w:rPr>
            </w:pPr>
            <w:bookmarkStart w:id="1" w:name="_Hlk78176336"/>
            <w:r w:rsidRPr="00A31E3D">
              <w:rPr>
                <w:sz w:val="22"/>
                <w:szCs w:val="22"/>
              </w:rPr>
              <w:t>CCI</w:t>
            </w:r>
          </w:p>
        </w:tc>
        <w:tc>
          <w:tcPr>
            <w:tcW w:w="5524" w:type="dxa"/>
            <w:vAlign w:val="center"/>
          </w:tcPr>
          <w:p w14:paraId="29E15962" w14:textId="77777777" w:rsidR="007F08EF" w:rsidRPr="00A31E3D" w:rsidRDefault="00B9760C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Zostanie nadany po złożeniu w systemie SFC</w:t>
            </w:r>
          </w:p>
        </w:tc>
      </w:tr>
      <w:tr w:rsidR="007F08EF" w:rsidRPr="007A7357" w14:paraId="1E1A077F" w14:textId="77777777" w:rsidTr="003C2456">
        <w:tc>
          <w:tcPr>
            <w:tcW w:w="3539" w:type="dxa"/>
            <w:vAlign w:val="center"/>
          </w:tcPr>
          <w:p w14:paraId="2F32C817" w14:textId="77777777" w:rsidR="007F08EF" w:rsidRPr="00A31E3D" w:rsidRDefault="007F08EF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Tytuł w języku angielskim</w:t>
            </w:r>
          </w:p>
        </w:tc>
        <w:tc>
          <w:tcPr>
            <w:tcW w:w="5524" w:type="dxa"/>
            <w:vAlign w:val="center"/>
          </w:tcPr>
          <w:p w14:paraId="4A32E8CE" w14:textId="77777777" w:rsidR="007F08EF" w:rsidRPr="00E248B3" w:rsidRDefault="00660D1F" w:rsidP="00023B7F">
            <w:pPr>
              <w:rPr>
                <w:sz w:val="22"/>
                <w:szCs w:val="22"/>
                <w:lang w:val="en-US"/>
              </w:rPr>
            </w:pPr>
            <w:r w:rsidRPr="00E248B3">
              <w:rPr>
                <w:sz w:val="22"/>
                <w:szCs w:val="22"/>
                <w:lang w:val="en-US"/>
              </w:rPr>
              <w:t>European Funds for Food Aid 2021-2027</w:t>
            </w:r>
          </w:p>
        </w:tc>
      </w:tr>
      <w:tr w:rsidR="007F08EF" w:rsidRPr="00A31E3D" w14:paraId="13EDE96F" w14:textId="77777777" w:rsidTr="003C2456">
        <w:tc>
          <w:tcPr>
            <w:tcW w:w="3539" w:type="dxa"/>
            <w:vAlign w:val="center"/>
          </w:tcPr>
          <w:p w14:paraId="679E52C0" w14:textId="77777777" w:rsidR="007F08EF" w:rsidRPr="00A31E3D" w:rsidRDefault="00A31E3D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Tytuł</w:t>
            </w:r>
            <w:r w:rsidR="00660D1F" w:rsidRPr="00A31E3D">
              <w:rPr>
                <w:sz w:val="22"/>
                <w:szCs w:val="22"/>
              </w:rPr>
              <w:t xml:space="preserve"> w języku polskim</w:t>
            </w:r>
          </w:p>
        </w:tc>
        <w:tc>
          <w:tcPr>
            <w:tcW w:w="5524" w:type="dxa"/>
            <w:vAlign w:val="center"/>
          </w:tcPr>
          <w:p w14:paraId="3FD971C2" w14:textId="77777777" w:rsidR="007F08EF" w:rsidRPr="00A31E3D" w:rsidRDefault="00660D1F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Fundusze Europej</w:t>
            </w:r>
            <w:r w:rsidR="00A75E24" w:rsidRPr="00A31E3D">
              <w:rPr>
                <w:sz w:val="22"/>
                <w:szCs w:val="22"/>
              </w:rPr>
              <w:t>s</w:t>
            </w:r>
            <w:r w:rsidRPr="00A31E3D">
              <w:rPr>
                <w:sz w:val="22"/>
                <w:szCs w:val="22"/>
              </w:rPr>
              <w:t>kie Pomoc Żywnościowa 2021-2027</w:t>
            </w:r>
          </w:p>
        </w:tc>
      </w:tr>
      <w:tr w:rsidR="007F08EF" w:rsidRPr="00A31E3D" w14:paraId="332AF732" w14:textId="77777777" w:rsidTr="003C2456">
        <w:tc>
          <w:tcPr>
            <w:tcW w:w="3539" w:type="dxa"/>
            <w:vAlign w:val="center"/>
          </w:tcPr>
          <w:p w14:paraId="29210584" w14:textId="77777777" w:rsidR="007F08EF" w:rsidRPr="00A31E3D" w:rsidRDefault="00660D1F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Wersja</w:t>
            </w:r>
          </w:p>
        </w:tc>
        <w:tc>
          <w:tcPr>
            <w:tcW w:w="5524" w:type="dxa"/>
            <w:vAlign w:val="center"/>
          </w:tcPr>
          <w:p w14:paraId="72DD69A6" w14:textId="77777777" w:rsidR="007F08EF" w:rsidRPr="00A31E3D" w:rsidRDefault="00660D1F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I</w:t>
            </w:r>
          </w:p>
        </w:tc>
      </w:tr>
      <w:tr w:rsidR="007F08EF" w:rsidRPr="00A31E3D" w14:paraId="1E88106A" w14:textId="77777777" w:rsidTr="003C2456">
        <w:tc>
          <w:tcPr>
            <w:tcW w:w="3539" w:type="dxa"/>
            <w:vAlign w:val="center"/>
          </w:tcPr>
          <w:p w14:paraId="125A169A" w14:textId="77777777" w:rsidR="007F08EF" w:rsidRPr="00A31E3D" w:rsidRDefault="00660D1F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Pierwszy rok</w:t>
            </w:r>
          </w:p>
        </w:tc>
        <w:tc>
          <w:tcPr>
            <w:tcW w:w="5524" w:type="dxa"/>
            <w:vAlign w:val="center"/>
          </w:tcPr>
          <w:p w14:paraId="2521D8D4" w14:textId="77777777" w:rsidR="007F08EF" w:rsidRPr="00A31E3D" w:rsidRDefault="00B9760C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2023</w:t>
            </w:r>
          </w:p>
        </w:tc>
      </w:tr>
      <w:tr w:rsidR="007F08EF" w:rsidRPr="00A31E3D" w14:paraId="3F8ED471" w14:textId="77777777" w:rsidTr="003C2456">
        <w:tc>
          <w:tcPr>
            <w:tcW w:w="3539" w:type="dxa"/>
            <w:vAlign w:val="center"/>
          </w:tcPr>
          <w:p w14:paraId="64EA6C5A" w14:textId="77777777" w:rsidR="007F08EF" w:rsidRPr="00A31E3D" w:rsidRDefault="00660D1F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Ostatni rok</w:t>
            </w:r>
          </w:p>
        </w:tc>
        <w:tc>
          <w:tcPr>
            <w:tcW w:w="5524" w:type="dxa"/>
            <w:vAlign w:val="center"/>
          </w:tcPr>
          <w:p w14:paraId="104B9B3B" w14:textId="77777777" w:rsidR="007F08EF" w:rsidRPr="00A31E3D" w:rsidRDefault="00B9760C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2029</w:t>
            </w:r>
          </w:p>
        </w:tc>
      </w:tr>
      <w:tr w:rsidR="007F08EF" w:rsidRPr="00A31E3D" w14:paraId="447DA659" w14:textId="77777777" w:rsidTr="003C2456">
        <w:tc>
          <w:tcPr>
            <w:tcW w:w="3539" w:type="dxa"/>
            <w:vAlign w:val="center"/>
          </w:tcPr>
          <w:p w14:paraId="6578BAC1" w14:textId="77777777" w:rsidR="007F08EF" w:rsidRPr="00A31E3D" w:rsidRDefault="00660D1F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Kwalifikowalny od</w:t>
            </w:r>
          </w:p>
        </w:tc>
        <w:tc>
          <w:tcPr>
            <w:tcW w:w="5524" w:type="dxa"/>
            <w:vAlign w:val="center"/>
          </w:tcPr>
          <w:p w14:paraId="63A177CC" w14:textId="77777777" w:rsidR="007F08EF" w:rsidRPr="00A31E3D" w:rsidRDefault="00B9760C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2021</w:t>
            </w:r>
          </w:p>
        </w:tc>
      </w:tr>
      <w:tr w:rsidR="007F08EF" w:rsidRPr="00A31E3D" w14:paraId="3AF5D4BA" w14:textId="77777777" w:rsidTr="003C2456">
        <w:tc>
          <w:tcPr>
            <w:tcW w:w="3539" w:type="dxa"/>
            <w:vAlign w:val="center"/>
          </w:tcPr>
          <w:p w14:paraId="23638AFC" w14:textId="77777777" w:rsidR="007F08EF" w:rsidRPr="00A31E3D" w:rsidRDefault="00660D1F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Kwalifikowalny do</w:t>
            </w:r>
          </w:p>
        </w:tc>
        <w:tc>
          <w:tcPr>
            <w:tcW w:w="5524" w:type="dxa"/>
            <w:vAlign w:val="center"/>
          </w:tcPr>
          <w:p w14:paraId="3CD7B98B" w14:textId="77777777" w:rsidR="007F08EF" w:rsidRPr="00A31E3D" w:rsidRDefault="00B9760C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2029</w:t>
            </w:r>
          </w:p>
        </w:tc>
      </w:tr>
      <w:tr w:rsidR="007F08EF" w:rsidRPr="00A31E3D" w14:paraId="7B56C4BD" w14:textId="77777777" w:rsidTr="003C2456">
        <w:tc>
          <w:tcPr>
            <w:tcW w:w="3539" w:type="dxa"/>
            <w:vAlign w:val="center"/>
          </w:tcPr>
          <w:p w14:paraId="03EEA523" w14:textId="77777777" w:rsidR="007F08EF" w:rsidRPr="00A31E3D" w:rsidRDefault="00660D1F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Numer decyzji zmieniającej w sprawie państwa członkowskiego</w:t>
            </w:r>
          </w:p>
        </w:tc>
        <w:tc>
          <w:tcPr>
            <w:tcW w:w="5524" w:type="dxa"/>
            <w:vAlign w:val="center"/>
          </w:tcPr>
          <w:p w14:paraId="7541E0B7" w14:textId="77777777" w:rsidR="007F08EF" w:rsidRPr="00A31E3D" w:rsidRDefault="007F08EF" w:rsidP="00023B7F">
            <w:pPr>
              <w:rPr>
                <w:sz w:val="22"/>
                <w:szCs w:val="22"/>
              </w:rPr>
            </w:pPr>
          </w:p>
        </w:tc>
      </w:tr>
      <w:tr w:rsidR="007F08EF" w:rsidRPr="00A31E3D" w14:paraId="07B5074A" w14:textId="77777777" w:rsidTr="003C2456">
        <w:tc>
          <w:tcPr>
            <w:tcW w:w="3539" w:type="dxa"/>
            <w:vAlign w:val="center"/>
          </w:tcPr>
          <w:p w14:paraId="4AC67507" w14:textId="77777777" w:rsidR="007F08EF" w:rsidRPr="00A31E3D" w:rsidRDefault="00660D1F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Data wejścia w życie decyzji zmieniającej w sprawie państwa członkowskiego</w:t>
            </w:r>
          </w:p>
        </w:tc>
        <w:tc>
          <w:tcPr>
            <w:tcW w:w="5524" w:type="dxa"/>
            <w:vAlign w:val="center"/>
          </w:tcPr>
          <w:p w14:paraId="3A847CD0" w14:textId="77777777" w:rsidR="007F08EF" w:rsidRPr="00A31E3D" w:rsidRDefault="007F08EF" w:rsidP="00023B7F">
            <w:pPr>
              <w:rPr>
                <w:sz w:val="22"/>
                <w:szCs w:val="22"/>
              </w:rPr>
            </w:pPr>
          </w:p>
        </w:tc>
      </w:tr>
      <w:tr w:rsidR="007F08EF" w:rsidRPr="00A31E3D" w14:paraId="60F5BF3D" w14:textId="77777777" w:rsidTr="003C2456">
        <w:tc>
          <w:tcPr>
            <w:tcW w:w="3539" w:type="dxa"/>
            <w:vAlign w:val="center"/>
          </w:tcPr>
          <w:p w14:paraId="46E55F8C" w14:textId="59B0D93A" w:rsidR="007F08EF" w:rsidRPr="00A31E3D" w:rsidRDefault="00660D1F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 xml:space="preserve">Przesunięcie inne niż istotne (art. </w:t>
            </w:r>
            <w:r w:rsidR="00361F36">
              <w:rPr>
                <w:sz w:val="22"/>
                <w:szCs w:val="22"/>
              </w:rPr>
              <w:t>24</w:t>
            </w:r>
            <w:r w:rsidRPr="00A31E3D">
              <w:rPr>
                <w:sz w:val="22"/>
                <w:szCs w:val="22"/>
              </w:rPr>
              <w:t>.5)</w:t>
            </w:r>
          </w:p>
        </w:tc>
        <w:tc>
          <w:tcPr>
            <w:tcW w:w="5524" w:type="dxa"/>
            <w:vAlign w:val="center"/>
          </w:tcPr>
          <w:p w14:paraId="688F6A81" w14:textId="77777777" w:rsidR="007F08EF" w:rsidRPr="00A31E3D" w:rsidRDefault="00660D1F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TAK/NIE</w:t>
            </w:r>
          </w:p>
        </w:tc>
      </w:tr>
      <w:tr w:rsidR="007F08EF" w:rsidRPr="00A31E3D" w14:paraId="41371674" w14:textId="77777777" w:rsidTr="003C2456">
        <w:tc>
          <w:tcPr>
            <w:tcW w:w="3539" w:type="dxa"/>
            <w:vAlign w:val="center"/>
          </w:tcPr>
          <w:p w14:paraId="4EB661F9" w14:textId="77777777" w:rsidR="007F08EF" w:rsidRPr="00A31E3D" w:rsidRDefault="00660D1F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Regiony NUTS objęte Programem</w:t>
            </w:r>
          </w:p>
        </w:tc>
        <w:tc>
          <w:tcPr>
            <w:tcW w:w="5524" w:type="dxa"/>
            <w:vAlign w:val="center"/>
          </w:tcPr>
          <w:p w14:paraId="45D96CFE" w14:textId="77777777" w:rsidR="007F08EF" w:rsidRPr="00A31E3D" w:rsidRDefault="00B9760C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Nie dotyczy – poziom ogólnokrajowy</w:t>
            </w:r>
          </w:p>
        </w:tc>
      </w:tr>
      <w:tr w:rsidR="007F08EF" w:rsidRPr="00A31E3D" w14:paraId="46A127CA" w14:textId="77777777" w:rsidTr="003C2456">
        <w:tc>
          <w:tcPr>
            <w:tcW w:w="3539" w:type="dxa"/>
            <w:vAlign w:val="center"/>
          </w:tcPr>
          <w:p w14:paraId="7965333C" w14:textId="77777777" w:rsidR="007F08EF" w:rsidRPr="00A31E3D" w:rsidRDefault="00660D1F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Fundusz</w:t>
            </w:r>
          </w:p>
        </w:tc>
        <w:tc>
          <w:tcPr>
            <w:tcW w:w="5524" w:type="dxa"/>
            <w:vAlign w:val="center"/>
          </w:tcPr>
          <w:p w14:paraId="3A6B6F7F" w14:textId="77777777" w:rsidR="007F08EF" w:rsidRPr="00A31E3D" w:rsidRDefault="00660D1F" w:rsidP="00023B7F">
            <w:pPr>
              <w:rPr>
                <w:sz w:val="22"/>
                <w:szCs w:val="22"/>
              </w:rPr>
            </w:pPr>
            <w:r w:rsidRPr="00A31E3D">
              <w:rPr>
                <w:sz w:val="22"/>
                <w:szCs w:val="22"/>
              </w:rPr>
              <w:t>EFS+</w:t>
            </w:r>
          </w:p>
        </w:tc>
      </w:tr>
      <w:bookmarkEnd w:id="1"/>
    </w:tbl>
    <w:p w14:paraId="2F804341" w14:textId="77777777" w:rsidR="00B24899" w:rsidRPr="00023B7F" w:rsidRDefault="00B24899" w:rsidP="00023B7F">
      <w:pPr>
        <w:rPr>
          <w:rFonts w:ascii="Times New Roman" w:hAnsi="Times New Roman" w:cs="Times New Roman"/>
        </w:rPr>
      </w:pPr>
    </w:p>
    <w:p w14:paraId="66A0EA67" w14:textId="3B4929B9" w:rsidR="000913BE" w:rsidRDefault="000913BE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Niniejszy Program</w:t>
      </w:r>
      <w:r w:rsidR="00936447" w:rsidRPr="00A31E3D">
        <w:rPr>
          <w:rFonts w:ascii="Times New Roman" w:hAnsi="Times New Roman" w:cs="Times New Roman"/>
          <w:sz w:val="24"/>
          <w:szCs w:val="24"/>
        </w:rPr>
        <w:t xml:space="preserve"> </w:t>
      </w:r>
      <w:r w:rsidRPr="00A31E3D">
        <w:rPr>
          <w:rFonts w:ascii="Times New Roman" w:hAnsi="Times New Roman" w:cs="Times New Roman"/>
          <w:sz w:val="24"/>
          <w:szCs w:val="24"/>
        </w:rPr>
        <w:t xml:space="preserve">jest krajowym programem </w:t>
      </w:r>
      <w:r w:rsidR="001235EB" w:rsidRPr="00A31E3D">
        <w:rPr>
          <w:rFonts w:ascii="Times New Roman" w:hAnsi="Times New Roman" w:cs="Times New Roman"/>
          <w:sz w:val="24"/>
          <w:szCs w:val="24"/>
        </w:rPr>
        <w:t>wdrażającym cel szczegółowy dotyczący przeciwdziałania deprywacji</w:t>
      </w:r>
      <w:r w:rsidR="001301BC" w:rsidRPr="00A31E3D">
        <w:rPr>
          <w:rFonts w:ascii="Times New Roman" w:hAnsi="Times New Roman" w:cs="Times New Roman"/>
          <w:sz w:val="24"/>
          <w:szCs w:val="24"/>
        </w:rPr>
        <w:t xml:space="preserve"> materialnej</w:t>
      </w:r>
      <w:r w:rsidRPr="00A31E3D">
        <w:rPr>
          <w:rFonts w:ascii="Times New Roman" w:hAnsi="Times New Roman" w:cs="Times New Roman"/>
          <w:sz w:val="24"/>
          <w:szCs w:val="24"/>
        </w:rPr>
        <w:t>, o którym mowa</w:t>
      </w:r>
      <w:r w:rsidR="002468B7" w:rsidRPr="00A31E3D">
        <w:rPr>
          <w:rFonts w:ascii="Times New Roman" w:hAnsi="Times New Roman" w:cs="Times New Roman"/>
          <w:sz w:val="24"/>
          <w:szCs w:val="24"/>
        </w:rPr>
        <w:t xml:space="preserve"> w art. 4 ust. 1 lit. m)</w:t>
      </w:r>
      <w:r w:rsidR="00AC4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E3D">
        <w:rPr>
          <w:rFonts w:ascii="Times New Roman" w:hAnsi="Times New Roman" w:cs="Times New Roman"/>
          <w:sz w:val="24"/>
          <w:szCs w:val="24"/>
        </w:rPr>
        <w:t>rozp</w:t>
      </w:r>
      <w:proofErr w:type="spellEnd"/>
      <w:r w:rsidR="000A21D0" w:rsidRPr="00A31E3D">
        <w:rPr>
          <w:rFonts w:ascii="Times New Roman" w:hAnsi="Times New Roman" w:cs="Times New Roman"/>
          <w:sz w:val="24"/>
          <w:szCs w:val="24"/>
        </w:rPr>
        <w:t>.</w:t>
      </w:r>
      <w:r w:rsidR="001235EB" w:rsidRPr="00A31E3D">
        <w:rPr>
          <w:rFonts w:ascii="Times New Roman" w:hAnsi="Times New Roman" w:cs="Times New Roman"/>
          <w:sz w:val="24"/>
          <w:szCs w:val="24"/>
        </w:rPr>
        <w:t xml:space="preserve"> EFS+.</w:t>
      </w:r>
      <w:r w:rsidRPr="00A31E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93C14" w14:textId="77777777" w:rsidR="002B6644" w:rsidRDefault="002B6644" w:rsidP="00A31E3D">
      <w:pPr>
        <w:pStyle w:val="Podtytu"/>
        <w:rPr>
          <w:rFonts w:ascii="Times New Roman" w:hAnsi="Times New Roman" w:cs="Times New Roman"/>
          <w:b/>
          <w:bCs/>
        </w:rPr>
      </w:pPr>
      <w:bookmarkStart w:id="2" w:name="_Hlk78263044"/>
    </w:p>
    <w:p w14:paraId="464D70CC" w14:textId="212D141C" w:rsidR="00E9172D" w:rsidRPr="00A31E3D" w:rsidRDefault="00E9172D" w:rsidP="00A31E3D">
      <w:pPr>
        <w:pStyle w:val="Podtytu"/>
        <w:rPr>
          <w:rFonts w:ascii="Times New Roman" w:hAnsi="Times New Roman" w:cs="Times New Roman"/>
          <w:b/>
          <w:bCs/>
        </w:rPr>
      </w:pPr>
      <w:r w:rsidRPr="00A31E3D">
        <w:rPr>
          <w:rFonts w:ascii="Times New Roman" w:hAnsi="Times New Roman" w:cs="Times New Roman"/>
          <w:b/>
          <w:bCs/>
        </w:rPr>
        <w:lastRenderedPageBreak/>
        <w:t>2. S</w:t>
      </w:r>
      <w:r w:rsidR="00677451" w:rsidRPr="00A31E3D">
        <w:rPr>
          <w:rFonts w:ascii="Times New Roman" w:hAnsi="Times New Roman" w:cs="Times New Roman"/>
          <w:b/>
          <w:bCs/>
        </w:rPr>
        <w:t>trategia Programu – główne wyzwania</w:t>
      </w:r>
    </w:p>
    <w:bookmarkEnd w:id="2"/>
    <w:p w14:paraId="23ED13DC" w14:textId="2F594C8A" w:rsidR="00B678A0" w:rsidRPr="00A31E3D" w:rsidRDefault="00B678A0" w:rsidP="00A31E3D">
      <w:pPr>
        <w:pStyle w:val="Podtytu"/>
        <w:rPr>
          <w:rFonts w:ascii="Times New Roman" w:hAnsi="Times New Roman" w:cs="Times New Roman"/>
          <w:b/>
          <w:bCs/>
        </w:rPr>
      </w:pPr>
      <w:r w:rsidRPr="00A31E3D">
        <w:rPr>
          <w:rFonts w:ascii="Times New Roman" w:hAnsi="Times New Roman" w:cs="Times New Roman"/>
          <w:b/>
          <w:bCs/>
        </w:rPr>
        <w:t xml:space="preserve">2.1. </w:t>
      </w:r>
      <w:r w:rsidR="008213BA">
        <w:rPr>
          <w:rFonts w:ascii="Times New Roman" w:hAnsi="Times New Roman" w:cs="Times New Roman"/>
          <w:b/>
          <w:bCs/>
        </w:rPr>
        <w:t>Doświadczenia</w:t>
      </w:r>
      <w:r w:rsidR="00500CE5">
        <w:rPr>
          <w:rFonts w:ascii="Times New Roman" w:hAnsi="Times New Roman" w:cs="Times New Roman"/>
          <w:b/>
          <w:bCs/>
        </w:rPr>
        <w:t xml:space="preserve"> z wdrażania</w:t>
      </w:r>
      <w:r w:rsidR="008213BA">
        <w:rPr>
          <w:rFonts w:ascii="Times New Roman" w:hAnsi="Times New Roman" w:cs="Times New Roman"/>
          <w:b/>
          <w:bCs/>
        </w:rPr>
        <w:t xml:space="preserve"> </w:t>
      </w:r>
      <w:r w:rsidRPr="00A31E3D">
        <w:rPr>
          <w:rFonts w:ascii="Times New Roman" w:hAnsi="Times New Roman" w:cs="Times New Roman"/>
          <w:b/>
          <w:bCs/>
        </w:rPr>
        <w:t>Program</w:t>
      </w:r>
      <w:r w:rsidR="008213BA">
        <w:rPr>
          <w:rFonts w:ascii="Times New Roman" w:hAnsi="Times New Roman" w:cs="Times New Roman"/>
          <w:b/>
          <w:bCs/>
        </w:rPr>
        <w:t>u</w:t>
      </w:r>
      <w:r w:rsidRPr="00A31E3D">
        <w:rPr>
          <w:rFonts w:ascii="Times New Roman" w:hAnsi="Times New Roman" w:cs="Times New Roman"/>
          <w:b/>
          <w:bCs/>
        </w:rPr>
        <w:t xml:space="preserve"> Operacyjn</w:t>
      </w:r>
      <w:r w:rsidR="008213BA">
        <w:rPr>
          <w:rFonts w:ascii="Times New Roman" w:hAnsi="Times New Roman" w:cs="Times New Roman"/>
          <w:b/>
          <w:bCs/>
        </w:rPr>
        <w:t xml:space="preserve">ego </w:t>
      </w:r>
      <w:r w:rsidRPr="00A31E3D">
        <w:rPr>
          <w:rFonts w:ascii="Times New Roman" w:hAnsi="Times New Roman" w:cs="Times New Roman"/>
          <w:b/>
          <w:bCs/>
        </w:rPr>
        <w:t xml:space="preserve"> Pomoc Żywnościowa 2014-2020</w:t>
      </w:r>
    </w:p>
    <w:p w14:paraId="591F98EA" w14:textId="741BC64A" w:rsidR="00B26BF6" w:rsidRPr="00A31E3D" w:rsidRDefault="00B678A0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W perspektywie finansowej</w:t>
      </w:r>
      <w:r w:rsidR="004943FD" w:rsidRPr="00A31E3D">
        <w:rPr>
          <w:rFonts w:ascii="Times New Roman" w:hAnsi="Times New Roman" w:cs="Times New Roman"/>
          <w:sz w:val="24"/>
          <w:szCs w:val="24"/>
        </w:rPr>
        <w:t xml:space="preserve"> Unii Europejskiej</w:t>
      </w:r>
      <w:r w:rsidRPr="00A31E3D">
        <w:rPr>
          <w:rFonts w:ascii="Times New Roman" w:hAnsi="Times New Roman" w:cs="Times New Roman"/>
          <w:sz w:val="24"/>
          <w:szCs w:val="24"/>
        </w:rPr>
        <w:t xml:space="preserve"> na lata 2014-2020 wsparcie w formie podstawowej pomocy żywnościowej dla osób w najtrudniejszej sytuacji zapewniał </w:t>
      </w:r>
      <w:r w:rsidR="00417D60">
        <w:rPr>
          <w:rFonts w:ascii="Times New Roman" w:hAnsi="Times New Roman" w:cs="Times New Roman"/>
          <w:sz w:val="24"/>
          <w:szCs w:val="24"/>
        </w:rPr>
        <w:t>FEAD</w:t>
      </w:r>
      <w:r w:rsidRPr="00A31E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3A397A" w14:textId="19229810" w:rsidR="00B678A0" w:rsidRPr="00A31E3D" w:rsidRDefault="00B678A0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Podstawę wdrażania FEAD w Polsce stanowił Program Operacyjny Pomoc Żywnościowa 2014-2020 (PO PŻ). Realizacja PO PŻ przebiegała w formie odrębnych podprogramów trwających ok. 1 roku</w:t>
      </w:r>
      <w:r w:rsidRPr="00A31E3D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A31E3D">
        <w:rPr>
          <w:rFonts w:ascii="Times New Roman" w:hAnsi="Times New Roman" w:cs="Times New Roman"/>
          <w:sz w:val="24"/>
          <w:szCs w:val="24"/>
        </w:rPr>
        <w:t>.</w:t>
      </w:r>
      <w:r w:rsidR="00360482" w:rsidRPr="00A31E3D">
        <w:rPr>
          <w:rFonts w:ascii="Times New Roman" w:hAnsi="Times New Roman" w:cs="Times New Roman"/>
          <w:sz w:val="24"/>
          <w:szCs w:val="24"/>
        </w:rPr>
        <w:t xml:space="preserve"> Łącznie w latach 2014-2020</w:t>
      </w:r>
      <w:r w:rsidR="005F4F1F" w:rsidRPr="00A31E3D">
        <w:rPr>
          <w:rFonts w:ascii="Times New Roman" w:hAnsi="Times New Roman" w:cs="Times New Roman"/>
          <w:sz w:val="24"/>
          <w:szCs w:val="24"/>
        </w:rPr>
        <w:t xml:space="preserve"> </w:t>
      </w:r>
      <w:r w:rsidR="00360482" w:rsidRPr="00A31E3D">
        <w:rPr>
          <w:rFonts w:ascii="Times New Roman" w:hAnsi="Times New Roman" w:cs="Times New Roman"/>
          <w:sz w:val="24"/>
          <w:szCs w:val="24"/>
        </w:rPr>
        <w:t>do odbiorców końcowych Programu trafiło ponad 370</w:t>
      </w:r>
      <w:r w:rsidR="00C8181F">
        <w:rPr>
          <w:rFonts w:ascii="Times New Roman" w:hAnsi="Times New Roman" w:cs="Times New Roman"/>
          <w:sz w:val="24"/>
          <w:szCs w:val="24"/>
        </w:rPr>
        <w:t xml:space="preserve"> tys.</w:t>
      </w:r>
      <w:r w:rsidR="00360482" w:rsidRPr="00A31E3D">
        <w:rPr>
          <w:rFonts w:ascii="Times New Roman" w:hAnsi="Times New Roman" w:cs="Times New Roman"/>
          <w:sz w:val="24"/>
          <w:szCs w:val="24"/>
        </w:rPr>
        <w:t xml:space="preserve"> ton żywności</w:t>
      </w:r>
      <w:r w:rsidR="005F4F1F" w:rsidRPr="00A31E3D">
        <w:rPr>
          <w:rFonts w:ascii="Times New Roman" w:hAnsi="Times New Roman" w:cs="Times New Roman"/>
          <w:sz w:val="24"/>
          <w:szCs w:val="24"/>
        </w:rPr>
        <w:t xml:space="preserve"> współfinansowanej z FEAD</w:t>
      </w:r>
      <w:r w:rsidR="00D87EC8" w:rsidRPr="00A31E3D">
        <w:rPr>
          <w:rFonts w:ascii="Times New Roman" w:hAnsi="Times New Roman" w:cs="Times New Roman"/>
          <w:sz w:val="24"/>
          <w:szCs w:val="24"/>
        </w:rPr>
        <w:t xml:space="preserve"> o łącznej wartości ok. 1,6 mld zł</w:t>
      </w:r>
      <w:r w:rsidR="005F4F1F" w:rsidRPr="00A31E3D">
        <w:rPr>
          <w:rFonts w:ascii="Times New Roman" w:hAnsi="Times New Roman" w:cs="Times New Roman"/>
          <w:sz w:val="24"/>
          <w:szCs w:val="24"/>
        </w:rPr>
        <w:t xml:space="preserve"> w formie prawie 38 mln paczek żywnościowych oraz ok. 10 mln posiłków</w:t>
      </w:r>
      <w:r w:rsidR="00B26BF6" w:rsidRPr="00A31E3D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="005F4F1F" w:rsidRPr="00A31E3D">
        <w:rPr>
          <w:rFonts w:ascii="Times New Roman" w:hAnsi="Times New Roman" w:cs="Times New Roman"/>
          <w:sz w:val="24"/>
          <w:szCs w:val="24"/>
        </w:rPr>
        <w:t>.</w:t>
      </w:r>
    </w:p>
    <w:p w14:paraId="50BBC972" w14:textId="77777777" w:rsidR="000064E0" w:rsidRPr="00A31E3D" w:rsidRDefault="000064E0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Pomoc żywnościową otrzymywało średniorocznie ok. 1,3 mln osób, w tym średnio ok. 28% stanowiły dzieci poniżej 15 roku życia, ok. 8,5% - osoby starsze powyżej 65 roku życia, ok. 16% osoby z niepełnosprawnościami, ok. 2% osoby bezdomne, a ok. 0,7% migranci i osoby obcego pochodzenia.</w:t>
      </w:r>
      <w:r w:rsidR="00454D78" w:rsidRPr="00A31E3D">
        <w:rPr>
          <w:rFonts w:ascii="Times New Roman" w:hAnsi="Times New Roman" w:cs="Times New Roman"/>
          <w:sz w:val="24"/>
          <w:szCs w:val="24"/>
        </w:rPr>
        <w:t xml:space="preserve"> Do otrzymania pomocy w ramach PO PŻ uprawniało łączne spełnienie dwóch warunków: kryterium dochodowego oraz jednej z przesłanek trudnej sytuacji życiowej, określonych w art. 7 ustawy o pomocy społecznej. W latach 2014-2016 obowiązywało kryterium dochodowe na poziomie 150% kryterium ustawowego uprawniającego do pomocy społecznej, podwyższone w latach 2017-2020 do 200%</w:t>
      </w:r>
      <w:r w:rsidR="00242EAD" w:rsidRPr="00A31E3D">
        <w:rPr>
          <w:rFonts w:ascii="Times New Roman" w:hAnsi="Times New Roman" w:cs="Times New Roman"/>
          <w:sz w:val="24"/>
          <w:szCs w:val="24"/>
        </w:rPr>
        <w:t>, a następnie do 220%.</w:t>
      </w:r>
    </w:p>
    <w:p w14:paraId="4F2C093B" w14:textId="5622F440" w:rsidR="00AD4B46" w:rsidRPr="00A31E3D" w:rsidRDefault="004233E5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Odbiorcy pomocy żywnościowej korzystali również z dodatkowej formy wsparcia – warsztatów prowadzonych w ramach tzw. działań towarzyszących, których celem było przede wszystkim zwiększenie samodzielności osób zagrożonych wykluczeniem społecznym. Tematyka warsztatów była związana </w:t>
      </w:r>
      <w:r w:rsidR="00F527D1">
        <w:rPr>
          <w:rFonts w:ascii="Times New Roman" w:hAnsi="Times New Roman" w:cs="Times New Roman"/>
          <w:sz w:val="24"/>
          <w:szCs w:val="24"/>
        </w:rPr>
        <w:t xml:space="preserve">z </w:t>
      </w:r>
      <w:r w:rsidRPr="00A31E3D">
        <w:rPr>
          <w:rFonts w:ascii="Times New Roman" w:hAnsi="Times New Roman" w:cs="Times New Roman"/>
          <w:sz w:val="24"/>
          <w:szCs w:val="24"/>
        </w:rPr>
        <w:t>żywnością i prowadzeniem gospodarstwa domowego (przygotowywanie posiłków, dietetyka i zdrowe odżywianie, przeciwdziałanie marnowaniu żywności), a także</w:t>
      </w:r>
      <w:r w:rsidR="00123670">
        <w:rPr>
          <w:rFonts w:ascii="Times New Roman" w:hAnsi="Times New Roman" w:cs="Times New Roman"/>
          <w:sz w:val="24"/>
          <w:szCs w:val="24"/>
        </w:rPr>
        <w:t xml:space="preserve"> z </w:t>
      </w:r>
      <w:r w:rsidRPr="00A31E3D">
        <w:rPr>
          <w:rFonts w:ascii="Times New Roman" w:hAnsi="Times New Roman" w:cs="Times New Roman"/>
          <w:sz w:val="24"/>
          <w:szCs w:val="24"/>
        </w:rPr>
        <w:t xml:space="preserve">odpowiednim zarządzaniem zasobami finansowymi (warsztaty ekonomiczne z </w:t>
      </w:r>
      <w:r w:rsidR="00A31E3D" w:rsidRPr="00A31E3D">
        <w:rPr>
          <w:rFonts w:ascii="Times New Roman" w:hAnsi="Times New Roman" w:cs="Times New Roman"/>
          <w:sz w:val="24"/>
          <w:szCs w:val="24"/>
        </w:rPr>
        <w:t>zakresu</w:t>
      </w:r>
      <w:r w:rsidRPr="00A31E3D">
        <w:rPr>
          <w:rFonts w:ascii="Times New Roman" w:hAnsi="Times New Roman" w:cs="Times New Roman"/>
          <w:sz w:val="24"/>
          <w:szCs w:val="24"/>
        </w:rPr>
        <w:t xml:space="preserve"> oszczędzania, planowania wydatków, unikania pułapek finansowych).</w:t>
      </w:r>
      <w:r w:rsidR="00A504EA" w:rsidRPr="00A31E3D">
        <w:rPr>
          <w:rFonts w:ascii="Times New Roman" w:hAnsi="Times New Roman" w:cs="Times New Roman"/>
          <w:sz w:val="24"/>
          <w:szCs w:val="24"/>
        </w:rPr>
        <w:t xml:space="preserve"> Od 2019 r. zakres tematyczny warsztatów został rozszerzony </w:t>
      </w:r>
      <w:r w:rsidR="00144F18" w:rsidRPr="00A31E3D">
        <w:rPr>
          <w:rFonts w:ascii="Times New Roman" w:hAnsi="Times New Roman" w:cs="Times New Roman"/>
          <w:sz w:val="24"/>
          <w:szCs w:val="24"/>
        </w:rPr>
        <w:t>o inne działania na rzecz włączenia społecznego odbiorców</w:t>
      </w:r>
      <w:r w:rsidR="00FC6AD2" w:rsidRPr="00A31E3D">
        <w:rPr>
          <w:rFonts w:ascii="Times New Roman" w:hAnsi="Times New Roman" w:cs="Times New Roman"/>
          <w:sz w:val="24"/>
          <w:szCs w:val="24"/>
        </w:rPr>
        <w:t xml:space="preserve"> końcowych</w:t>
      </w:r>
      <w:r w:rsidR="00144F18" w:rsidRPr="00A31E3D">
        <w:rPr>
          <w:rFonts w:ascii="Times New Roman" w:hAnsi="Times New Roman" w:cs="Times New Roman"/>
          <w:sz w:val="24"/>
          <w:szCs w:val="24"/>
        </w:rPr>
        <w:t xml:space="preserve"> </w:t>
      </w:r>
      <w:r w:rsidR="00FC6AD2" w:rsidRPr="00A31E3D">
        <w:rPr>
          <w:rFonts w:ascii="Times New Roman" w:hAnsi="Times New Roman" w:cs="Times New Roman"/>
          <w:sz w:val="24"/>
          <w:szCs w:val="24"/>
        </w:rPr>
        <w:t xml:space="preserve">PO PŻ, </w:t>
      </w:r>
      <w:r w:rsidR="00C8334B" w:rsidRPr="00A31E3D">
        <w:rPr>
          <w:rFonts w:ascii="Times New Roman" w:hAnsi="Times New Roman" w:cs="Times New Roman"/>
          <w:sz w:val="24"/>
          <w:szCs w:val="24"/>
        </w:rPr>
        <w:t>w tym m.in. o wsparcie psychologiczne, prawne, pedagogiczne, komunikację, bezpieczeństwo cyfrowe, kul</w:t>
      </w:r>
      <w:r w:rsidR="00390DF2" w:rsidRPr="00A31E3D">
        <w:rPr>
          <w:rFonts w:ascii="Times New Roman" w:hAnsi="Times New Roman" w:cs="Times New Roman"/>
          <w:sz w:val="24"/>
          <w:szCs w:val="24"/>
        </w:rPr>
        <w:t>t</w:t>
      </w:r>
      <w:r w:rsidR="00C8334B" w:rsidRPr="00A31E3D">
        <w:rPr>
          <w:rFonts w:ascii="Times New Roman" w:hAnsi="Times New Roman" w:cs="Times New Roman"/>
          <w:sz w:val="24"/>
          <w:szCs w:val="24"/>
        </w:rPr>
        <w:t>urę</w:t>
      </w:r>
      <w:r w:rsidR="00041E97" w:rsidRPr="00A31E3D">
        <w:rPr>
          <w:rFonts w:ascii="Times New Roman" w:hAnsi="Times New Roman" w:cs="Times New Roman"/>
          <w:sz w:val="24"/>
          <w:szCs w:val="24"/>
        </w:rPr>
        <w:t xml:space="preserve"> czy </w:t>
      </w:r>
      <w:r w:rsidR="00C8334B" w:rsidRPr="00A31E3D">
        <w:rPr>
          <w:rFonts w:ascii="Times New Roman" w:hAnsi="Times New Roman" w:cs="Times New Roman"/>
          <w:sz w:val="24"/>
          <w:szCs w:val="24"/>
        </w:rPr>
        <w:t>profilaktykę chorób.</w:t>
      </w:r>
      <w:r w:rsidR="00AD4B46" w:rsidRPr="00A31E3D">
        <w:rPr>
          <w:rFonts w:ascii="Times New Roman" w:hAnsi="Times New Roman" w:cs="Times New Roman"/>
          <w:sz w:val="24"/>
          <w:szCs w:val="24"/>
        </w:rPr>
        <w:t xml:space="preserve"> Średniorocznie organizacje partnerskie prowadziły ok. 9 tys. działań towarzyszących, w</w:t>
      </w:r>
      <w:r w:rsidR="00EB5AC9" w:rsidRPr="00A31E3D">
        <w:rPr>
          <w:rFonts w:ascii="Times New Roman" w:hAnsi="Times New Roman" w:cs="Times New Roman"/>
          <w:sz w:val="24"/>
          <w:szCs w:val="24"/>
        </w:rPr>
        <w:t> </w:t>
      </w:r>
      <w:r w:rsidR="00AD4B46" w:rsidRPr="00A31E3D">
        <w:rPr>
          <w:rFonts w:ascii="Times New Roman" w:hAnsi="Times New Roman" w:cs="Times New Roman"/>
          <w:sz w:val="24"/>
          <w:szCs w:val="24"/>
        </w:rPr>
        <w:t>których uczestniczyło</w:t>
      </w:r>
      <w:r w:rsidR="00041E97" w:rsidRPr="00A31E3D">
        <w:rPr>
          <w:rFonts w:ascii="Times New Roman" w:hAnsi="Times New Roman" w:cs="Times New Roman"/>
          <w:sz w:val="24"/>
          <w:szCs w:val="24"/>
        </w:rPr>
        <w:t xml:space="preserve"> </w:t>
      </w:r>
      <w:r w:rsidR="00AD4B46" w:rsidRPr="00A31E3D">
        <w:rPr>
          <w:rFonts w:ascii="Times New Roman" w:hAnsi="Times New Roman" w:cs="Times New Roman"/>
          <w:sz w:val="24"/>
          <w:szCs w:val="24"/>
        </w:rPr>
        <w:t>ok. 150 tys. osób.</w:t>
      </w:r>
      <w:r w:rsidR="00481713">
        <w:rPr>
          <w:rFonts w:ascii="Times New Roman" w:hAnsi="Times New Roman" w:cs="Times New Roman"/>
          <w:sz w:val="24"/>
          <w:szCs w:val="24"/>
        </w:rPr>
        <w:t xml:space="preserve"> Średniorocznie ok. 10%-12% odbiorców pomocy żywnościowej było jednocześnie uczestnikami działań towarzyszących.</w:t>
      </w:r>
    </w:p>
    <w:p w14:paraId="676B0F12" w14:textId="2CE9A704" w:rsidR="008B4202" w:rsidRPr="00A31E3D" w:rsidRDefault="000A28FE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Odbiorcy końcowi PO PŻ otrzymywali </w:t>
      </w:r>
      <w:r w:rsidR="00C95755" w:rsidRPr="00A31E3D">
        <w:rPr>
          <w:rFonts w:ascii="Times New Roman" w:hAnsi="Times New Roman" w:cs="Times New Roman"/>
          <w:sz w:val="24"/>
          <w:szCs w:val="24"/>
        </w:rPr>
        <w:t xml:space="preserve">także </w:t>
      </w:r>
      <w:r w:rsidRPr="00A31E3D">
        <w:rPr>
          <w:rFonts w:ascii="Times New Roman" w:hAnsi="Times New Roman" w:cs="Times New Roman"/>
          <w:sz w:val="24"/>
          <w:szCs w:val="24"/>
        </w:rPr>
        <w:t>żywność dodatkową, niefinansowaną z PO PŻ, pochodzącą z darowizn, głównie w ramach współpracy organizacji pozarządowych ze sprzedawcami żywności (m.in. artykuły z krótkim terminem przydatności do spożycia).</w:t>
      </w:r>
      <w:r w:rsidR="006C199E" w:rsidRPr="00A31E3D">
        <w:rPr>
          <w:rFonts w:ascii="Times New Roman" w:hAnsi="Times New Roman" w:cs="Times New Roman"/>
          <w:sz w:val="24"/>
          <w:szCs w:val="24"/>
        </w:rPr>
        <w:t xml:space="preserve"> Żywność ze źródeł zewnętrznych stanowiła średniorocznie </w:t>
      </w:r>
      <w:r w:rsidR="004F733B" w:rsidRPr="00A31E3D">
        <w:rPr>
          <w:rFonts w:ascii="Times New Roman" w:hAnsi="Times New Roman" w:cs="Times New Roman"/>
          <w:sz w:val="24"/>
          <w:szCs w:val="24"/>
        </w:rPr>
        <w:t xml:space="preserve">ok. </w:t>
      </w:r>
      <w:r w:rsidR="006C199E" w:rsidRPr="00A31E3D">
        <w:rPr>
          <w:rFonts w:ascii="Times New Roman" w:hAnsi="Times New Roman" w:cs="Times New Roman"/>
          <w:sz w:val="24"/>
          <w:szCs w:val="24"/>
        </w:rPr>
        <w:t>30%</w:t>
      </w:r>
      <w:r w:rsidR="004F733B" w:rsidRPr="00A31E3D">
        <w:rPr>
          <w:rFonts w:ascii="Times New Roman" w:hAnsi="Times New Roman" w:cs="Times New Roman"/>
          <w:sz w:val="24"/>
          <w:szCs w:val="24"/>
        </w:rPr>
        <w:t xml:space="preserve"> </w:t>
      </w:r>
      <w:r w:rsidR="006C199E" w:rsidRPr="00A31E3D">
        <w:rPr>
          <w:rFonts w:ascii="Times New Roman" w:hAnsi="Times New Roman" w:cs="Times New Roman"/>
          <w:sz w:val="24"/>
          <w:szCs w:val="24"/>
        </w:rPr>
        <w:t xml:space="preserve">łącznej ilości żywności wydanej odbiorcom PO PŻ, </w:t>
      </w:r>
      <w:r w:rsidR="004F733B" w:rsidRPr="00A31E3D">
        <w:rPr>
          <w:rFonts w:ascii="Times New Roman" w:hAnsi="Times New Roman" w:cs="Times New Roman"/>
          <w:sz w:val="24"/>
          <w:szCs w:val="24"/>
        </w:rPr>
        <w:t xml:space="preserve">przy czym występowały znaczące różnice pomiędzy </w:t>
      </w:r>
      <w:r w:rsidR="006C199E" w:rsidRPr="00A31E3D">
        <w:rPr>
          <w:rFonts w:ascii="Times New Roman" w:hAnsi="Times New Roman" w:cs="Times New Roman"/>
          <w:sz w:val="24"/>
          <w:szCs w:val="24"/>
        </w:rPr>
        <w:t>sieci</w:t>
      </w:r>
      <w:r w:rsidR="004F733B" w:rsidRPr="00A31E3D">
        <w:rPr>
          <w:rFonts w:ascii="Times New Roman" w:hAnsi="Times New Roman" w:cs="Times New Roman"/>
          <w:sz w:val="24"/>
          <w:szCs w:val="24"/>
        </w:rPr>
        <w:t>ami</w:t>
      </w:r>
      <w:r w:rsidR="006C199E" w:rsidRPr="00A31E3D">
        <w:rPr>
          <w:rFonts w:ascii="Times New Roman" w:hAnsi="Times New Roman" w:cs="Times New Roman"/>
          <w:sz w:val="24"/>
          <w:szCs w:val="24"/>
        </w:rPr>
        <w:t xml:space="preserve"> organizacji</w:t>
      </w:r>
      <w:r w:rsidR="004F733B" w:rsidRPr="00A31E3D">
        <w:rPr>
          <w:rFonts w:ascii="Times New Roman" w:hAnsi="Times New Roman" w:cs="Times New Roman"/>
          <w:sz w:val="24"/>
          <w:szCs w:val="24"/>
        </w:rPr>
        <w:t xml:space="preserve"> jeśli chodzi o pozyskiwanie żywności z darowizn. Największy udział żywności zewnętrznej w żywności udostępnianej ogółem dotyczył Federacji Polskich Banków Żywności (według danych za 2020 r. – ok. 35%) oraz Caritas Polska (ok. 21%). </w:t>
      </w:r>
      <w:r w:rsidR="00FD66D0" w:rsidRPr="00A31E3D">
        <w:rPr>
          <w:rFonts w:ascii="Times New Roman" w:hAnsi="Times New Roman" w:cs="Times New Roman"/>
          <w:sz w:val="24"/>
          <w:szCs w:val="24"/>
        </w:rPr>
        <w:t xml:space="preserve">W przypadku organizacji zrzeszonych w sieci Polskiego Komitetu Pomocy Społecznej oraz Polskiego Czerwonego </w:t>
      </w:r>
      <w:r w:rsidR="00FD66D0" w:rsidRPr="00A31E3D">
        <w:rPr>
          <w:rFonts w:ascii="Times New Roman" w:hAnsi="Times New Roman" w:cs="Times New Roman"/>
          <w:sz w:val="24"/>
          <w:szCs w:val="24"/>
        </w:rPr>
        <w:lastRenderedPageBreak/>
        <w:t>Krzyża, zdecydowana większość wydawanej żywności była współfinansowana z PO PŻ (ok. 98%).</w:t>
      </w:r>
      <w:r w:rsidR="00D87D15" w:rsidRPr="00A31E3D">
        <w:rPr>
          <w:rFonts w:ascii="Times New Roman" w:hAnsi="Times New Roman" w:cs="Times New Roman"/>
          <w:sz w:val="24"/>
          <w:szCs w:val="24"/>
        </w:rPr>
        <w:t xml:space="preserve"> Biorąc pod uwagę obowiązek współpracy sprzedawców żywności z organizacjami pozarządowymi w związku z realizacją ustawy z dnia 19 lipca 2019 r.  o przeciwdziałaniu marnowaniu żywności (Dz.U. z 2020 poz. 1645</w:t>
      </w:r>
      <w:r w:rsidR="001900C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900C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900C4">
        <w:rPr>
          <w:rFonts w:ascii="Times New Roman" w:hAnsi="Times New Roman" w:cs="Times New Roman"/>
          <w:sz w:val="24"/>
          <w:szCs w:val="24"/>
        </w:rPr>
        <w:t>. zm.</w:t>
      </w:r>
      <w:r w:rsidR="00D87D15" w:rsidRPr="00A31E3D">
        <w:rPr>
          <w:rFonts w:ascii="Times New Roman" w:hAnsi="Times New Roman" w:cs="Times New Roman"/>
          <w:sz w:val="24"/>
          <w:szCs w:val="24"/>
        </w:rPr>
        <w:t>), należy spodziewać się</w:t>
      </w:r>
      <w:r w:rsidR="00DF3D08" w:rsidRPr="00A31E3D">
        <w:rPr>
          <w:rFonts w:ascii="Times New Roman" w:hAnsi="Times New Roman" w:cs="Times New Roman"/>
          <w:sz w:val="24"/>
          <w:szCs w:val="24"/>
        </w:rPr>
        <w:t xml:space="preserve"> systematycznego</w:t>
      </w:r>
      <w:r w:rsidR="006323C5" w:rsidRPr="00A31E3D">
        <w:rPr>
          <w:rFonts w:ascii="Times New Roman" w:hAnsi="Times New Roman" w:cs="Times New Roman"/>
          <w:sz w:val="24"/>
          <w:szCs w:val="24"/>
        </w:rPr>
        <w:t xml:space="preserve"> zwiększenia </w:t>
      </w:r>
      <w:r w:rsidR="00041E97" w:rsidRPr="00A31E3D">
        <w:rPr>
          <w:rFonts w:ascii="Times New Roman" w:hAnsi="Times New Roman" w:cs="Times New Roman"/>
          <w:sz w:val="24"/>
          <w:szCs w:val="24"/>
        </w:rPr>
        <w:t>dostępności</w:t>
      </w:r>
      <w:r w:rsidR="006323C5" w:rsidRPr="00A31E3D">
        <w:rPr>
          <w:rFonts w:ascii="Times New Roman" w:hAnsi="Times New Roman" w:cs="Times New Roman"/>
          <w:sz w:val="24"/>
          <w:szCs w:val="24"/>
        </w:rPr>
        <w:t xml:space="preserve"> żywności z darowizn.</w:t>
      </w:r>
      <w:r w:rsidR="00D87D15" w:rsidRPr="00A31E3D">
        <w:rPr>
          <w:rFonts w:ascii="Times New Roman" w:hAnsi="Times New Roman" w:cs="Times New Roman"/>
          <w:sz w:val="24"/>
          <w:szCs w:val="24"/>
        </w:rPr>
        <w:t xml:space="preserve"> </w:t>
      </w:r>
      <w:r w:rsidR="004F733B" w:rsidRPr="00A31E3D">
        <w:rPr>
          <w:rFonts w:ascii="Times New Roman" w:hAnsi="Times New Roman" w:cs="Times New Roman"/>
          <w:sz w:val="24"/>
          <w:szCs w:val="24"/>
        </w:rPr>
        <w:t xml:space="preserve"> </w:t>
      </w:r>
      <w:r w:rsidR="006C199E" w:rsidRPr="00A31E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E224C" w14:textId="14AEAB33" w:rsidR="002E2C6A" w:rsidRPr="00A31E3D" w:rsidRDefault="00477B26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Sieć dystrybucji żywności w ramach PO PŻ tworzyły cztery OPO: Federacja Polskich Banków Żywności, Caritas Polska, Polski Komitet Pomocy Społecznej oraz Polski Czerwony Krzyż</w:t>
      </w:r>
      <w:r w:rsidRPr="00A31E3D">
        <w:rPr>
          <w:rFonts w:ascii="Times New Roman" w:hAnsi="Times New Roman" w:cs="Times New Roman"/>
          <w:sz w:val="22"/>
          <w:szCs w:val="22"/>
          <w:vertAlign w:val="superscript"/>
        </w:rPr>
        <w:footnoteReference w:id="3"/>
      </w:r>
      <w:r w:rsidRPr="00A31E3D">
        <w:rPr>
          <w:rFonts w:ascii="Times New Roman" w:hAnsi="Times New Roman" w:cs="Times New Roman"/>
          <w:sz w:val="24"/>
          <w:szCs w:val="24"/>
        </w:rPr>
        <w:t>.</w:t>
      </w:r>
      <w:r w:rsidR="001C239B" w:rsidRPr="00A31E3D">
        <w:rPr>
          <w:rFonts w:ascii="Times New Roman" w:hAnsi="Times New Roman" w:cs="Times New Roman"/>
          <w:sz w:val="24"/>
          <w:szCs w:val="24"/>
        </w:rPr>
        <w:t xml:space="preserve"> Zgodnie z danymi za 2020 r., OPO współpracowały z prawie 90</w:t>
      </w:r>
      <w:r w:rsidR="00123670">
        <w:rPr>
          <w:rFonts w:ascii="Times New Roman" w:hAnsi="Times New Roman" w:cs="Times New Roman"/>
          <w:sz w:val="24"/>
          <w:szCs w:val="24"/>
        </w:rPr>
        <w:t xml:space="preserve"> </w:t>
      </w:r>
      <w:r w:rsidR="001C239B" w:rsidRPr="00A31E3D">
        <w:rPr>
          <w:rFonts w:ascii="Times New Roman" w:hAnsi="Times New Roman" w:cs="Times New Roman"/>
          <w:sz w:val="24"/>
          <w:szCs w:val="24"/>
        </w:rPr>
        <w:t>OPR prowadzącymi magazyny oraz z ponad 2,5 tys.</w:t>
      </w:r>
      <w:r w:rsidR="00123670">
        <w:rPr>
          <w:rFonts w:ascii="Times New Roman" w:hAnsi="Times New Roman" w:cs="Times New Roman"/>
          <w:sz w:val="24"/>
          <w:szCs w:val="24"/>
        </w:rPr>
        <w:t xml:space="preserve"> </w:t>
      </w:r>
      <w:r w:rsidR="001C239B" w:rsidRPr="00A31E3D">
        <w:rPr>
          <w:rFonts w:ascii="Times New Roman" w:hAnsi="Times New Roman" w:cs="Times New Roman"/>
          <w:sz w:val="24"/>
          <w:szCs w:val="24"/>
        </w:rPr>
        <w:t>OPL, odpowiedzialnych za wydawanie żywności bezpośrednio osobom najbardziej potrzebującym.</w:t>
      </w:r>
      <w:r w:rsidR="00F368DF" w:rsidRPr="00A31E3D">
        <w:rPr>
          <w:rFonts w:ascii="Times New Roman" w:hAnsi="Times New Roman" w:cs="Times New Roman"/>
          <w:sz w:val="24"/>
          <w:szCs w:val="24"/>
        </w:rPr>
        <w:t xml:space="preserve"> Znaczący udział w sieci dystrybucji miały</w:t>
      </w:r>
      <w:r w:rsidR="00123670">
        <w:rPr>
          <w:rFonts w:ascii="Times New Roman" w:hAnsi="Times New Roman" w:cs="Times New Roman"/>
          <w:sz w:val="24"/>
          <w:szCs w:val="24"/>
        </w:rPr>
        <w:t xml:space="preserve"> OPS-y</w:t>
      </w:r>
      <w:r w:rsidR="00D10D17" w:rsidRPr="00A31E3D">
        <w:rPr>
          <w:rFonts w:ascii="Times New Roman" w:hAnsi="Times New Roman" w:cs="Times New Roman"/>
          <w:sz w:val="24"/>
          <w:szCs w:val="24"/>
        </w:rPr>
        <w:t xml:space="preserve">, które stanowiły </w:t>
      </w:r>
      <w:r w:rsidR="00F368DF" w:rsidRPr="00A31E3D">
        <w:rPr>
          <w:rFonts w:ascii="Times New Roman" w:hAnsi="Times New Roman" w:cs="Times New Roman"/>
          <w:sz w:val="24"/>
          <w:szCs w:val="24"/>
        </w:rPr>
        <w:t>ok. 30% wszystkich OP</w:t>
      </w:r>
      <w:r w:rsidR="00D10D17" w:rsidRPr="00A31E3D">
        <w:rPr>
          <w:rFonts w:ascii="Times New Roman" w:hAnsi="Times New Roman" w:cs="Times New Roman"/>
          <w:sz w:val="24"/>
          <w:szCs w:val="24"/>
        </w:rPr>
        <w:t>L, w szczególności w tych gminach, w</w:t>
      </w:r>
      <w:r w:rsidR="00123670">
        <w:rPr>
          <w:rFonts w:ascii="Times New Roman" w:hAnsi="Times New Roman" w:cs="Times New Roman"/>
          <w:sz w:val="24"/>
          <w:szCs w:val="24"/>
        </w:rPr>
        <w:t> </w:t>
      </w:r>
      <w:r w:rsidR="00D10D17" w:rsidRPr="00A31E3D">
        <w:rPr>
          <w:rFonts w:ascii="Times New Roman" w:hAnsi="Times New Roman" w:cs="Times New Roman"/>
          <w:sz w:val="24"/>
          <w:szCs w:val="24"/>
        </w:rPr>
        <w:t>których nie funkcjonowały organizacje pozarządowe mogące realizować to zadanie.</w:t>
      </w:r>
    </w:p>
    <w:p w14:paraId="31E681A5" w14:textId="0D7949A5" w:rsidR="00360482" w:rsidRPr="00A31E3D" w:rsidRDefault="002E2C6A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Na </w:t>
      </w:r>
      <w:r w:rsidR="00A31E3D" w:rsidRPr="00A31E3D">
        <w:rPr>
          <w:rFonts w:ascii="Times New Roman" w:hAnsi="Times New Roman" w:cs="Times New Roman"/>
          <w:sz w:val="24"/>
          <w:szCs w:val="24"/>
        </w:rPr>
        <w:t>obsługę</w:t>
      </w:r>
      <w:r w:rsidRPr="00A31E3D">
        <w:rPr>
          <w:rFonts w:ascii="Times New Roman" w:hAnsi="Times New Roman" w:cs="Times New Roman"/>
          <w:sz w:val="24"/>
          <w:szCs w:val="24"/>
        </w:rPr>
        <w:t xml:space="preserve"> dystrybucji żywności w ramach PO PŻ organizacjom partnerskim przysługiwały środki finansowe w formie ryczałtu określonego na poziomie 5% wartości żywności dostarczonej do magazynów, przeznaczonej do dystrybucji wśród odbiorców końcowych, przy czym ryczałt był przyznawany odrębnie z tytułu kosztów transportu, magazynowania i administracji (5%) oraz z tytułu prowadzenia działań w ramach tzw. środków towarzyszących (5%). Łącznie w latach 2014-2020 organizacjom wypłacono na</w:t>
      </w:r>
      <w:r w:rsidR="00F527D1">
        <w:rPr>
          <w:rFonts w:ascii="Times New Roman" w:hAnsi="Times New Roman" w:cs="Times New Roman"/>
          <w:sz w:val="24"/>
          <w:szCs w:val="24"/>
        </w:rPr>
        <w:t xml:space="preserve"> ten</w:t>
      </w:r>
      <w:r w:rsidRPr="00A31E3D">
        <w:rPr>
          <w:rFonts w:ascii="Times New Roman" w:hAnsi="Times New Roman" w:cs="Times New Roman"/>
          <w:sz w:val="24"/>
          <w:szCs w:val="24"/>
        </w:rPr>
        <w:t xml:space="preserve"> cel środki w wysokości ok. 157 mln zł</w:t>
      </w:r>
      <w:r w:rsidR="00BB3966" w:rsidRPr="00A31E3D">
        <w:rPr>
          <w:rFonts w:ascii="Times New Roman" w:hAnsi="Times New Roman" w:cs="Times New Roman"/>
          <w:sz w:val="24"/>
          <w:szCs w:val="24"/>
        </w:rPr>
        <w:t xml:space="preserve">, </w:t>
      </w:r>
      <w:r w:rsidR="00ED4B9E" w:rsidRPr="00A31E3D">
        <w:rPr>
          <w:rFonts w:ascii="Times New Roman" w:hAnsi="Times New Roman" w:cs="Times New Roman"/>
          <w:sz w:val="24"/>
          <w:szCs w:val="24"/>
        </w:rPr>
        <w:t xml:space="preserve">jednakże </w:t>
      </w:r>
      <w:r w:rsidR="00BB3966" w:rsidRPr="00A31E3D">
        <w:rPr>
          <w:rFonts w:ascii="Times New Roman" w:hAnsi="Times New Roman" w:cs="Times New Roman"/>
          <w:sz w:val="24"/>
          <w:szCs w:val="24"/>
        </w:rPr>
        <w:t xml:space="preserve">większość z nich </w:t>
      </w:r>
      <w:r w:rsidR="004C12EC" w:rsidRPr="00A31E3D">
        <w:rPr>
          <w:rFonts w:ascii="Times New Roman" w:hAnsi="Times New Roman" w:cs="Times New Roman"/>
          <w:sz w:val="24"/>
          <w:szCs w:val="24"/>
        </w:rPr>
        <w:t>była przeznaczona na pokrycie kosztów ponoszonych przez OPO i OPR. OPL korzystały z</w:t>
      </w:r>
      <w:r w:rsidR="00ED4B9E" w:rsidRPr="00A31E3D">
        <w:rPr>
          <w:rFonts w:ascii="Times New Roman" w:hAnsi="Times New Roman" w:cs="Times New Roman"/>
          <w:sz w:val="24"/>
          <w:szCs w:val="24"/>
        </w:rPr>
        <w:t xml:space="preserve">e </w:t>
      </w:r>
      <w:r w:rsidR="004C12EC" w:rsidRPr="00A31E3D">
        <w:rPr>
          <w:rFonts w:ascii="Times New Roman" w:hAnsi="Times New Roman" w:cs="Times New Roman"/>
          <w:sz w:val="24"/>
          <w:szCs w:val="24"/>
        </w:rPr>
        <w:t>środków</w:t>
      </w:r>
      <w:r w:rsidR="00ED4B9E" w:rsidRPr="00A31E3D">
        <w:rPr>
          <w:rFonts w:ascii="Times New Roman" w:hAnsi="Times New Roman" w:cs="Times New Roman"/>
          <w:sz w:val="24"/>
          <w:szCs w:val="24"/>
        </w:rPr>
        <w:t xml:space="preserve"> ryczałtowych</w:t>
      </w:r>
      <w:r w:rsidR="004C12EC" w:rsidRPr="00A31E3D">
        <w:rPr>
          <w:rFonts w:ascii="Times New Roman" w:hAnsi="Times New Roman" w:cs="Times New Roman"/>
          <w:sz w:val="24"/>
          <w:szCs w:val="24"/>
        </w:rPr>
        <w:t xml:space="preserve"> w bardzo ograniczonym zakresie, głównie</w:t>
      </w:r>
      <w:r w:rsidR="00ED4B9E" w:rsidRPr="00A31E3D">
        <w:rPr>
          <w:rFonts w:ascii="Times New Roman" w:hAnsi="Times New Roman" w:cs="Times New Roman"/>
          <w:sz w:val="24"/>
          <w:szCs w:val="24"/>
        </w:rPr>
        <w:t xml:space="preserve"> na </w:t>
      </w:r>
      <w:r w:rsidR="00A31E3D" w:rsidRPr="00A31E3D">
        <w:rPr>
          <w:rFonts w:ascii="Times New Roman" w:hAnsi="Times New Roman" w:cs="Times New Roman"/>
          <w:sz w:val="24"/>
          <w:szCs w:val="24"/>
        </w:rPr>
        <w:t>pokrycie</w:t>
      </w:r>
      <w:r w:rsidR="00ED4B9E" w:rsidRPr="00A31E3D">
        <w:rPr>
          <w:rFonts w:ascii="Times New Roman" w:hAnsi="Times New Roman" w:cs="Times New Roman"/>
          <w:sz w:val="24"/>
          <w:szCs w:val="24"/>
        </w:rPr>
        <w:t xml:space="preserve"> kosztów </w:t>
      </w:r>
      <w:r w:rsidR="004C12EC" w:rsidRPr="00A31E3D">
        <w:rPr>
          <w:rFonts w:ascii="Times New Roman" w:hAnsi="Times New Roman" w:cs="Times New Roman"/>
          <w:sz w:val="24"/>
          <w:szCs w:val="24"/>
        </w:rPr>
        <w:t>działa</w:t>
      </w:r>
      <w:r w:rsidR="00ED4B9E" w:rsidRPr="00A31E3D">
        <w:rPr>
          <w:rFonts w:ascii="Times New Roman" w:hAnsi="Times New Roman" w:cs="Times New Roman"/>
          <w:sz w:val="24"/>
          <w:szCs w:val="24"/>
        </w:rPr>
        <w:t>ń</w:t>
      </w:r>
      <w:r w:rsidR="004C12EC" w:rsidRPr="00A31E3D">
        <w:rPr>
          <w:rFonts w:ascii="Times New Roman" w:hAnsi="Times New Roman" w:cs="Times New Roman"/>
          <w:sz w:val="24"/>
          <w:szCs w:val="24"/>
        </w:rPr>
        <w:t xml:space="preserve"> towarzysząc</w:t>
      </w:r>
      <w:r w:rsidR="00ED4B9E" w:rsidRPr="00A31E3D">
        <w:rPr>
          <w:rFonts w:ascii="Times New Roman" w:hAnsi="Times New Roman" w:cs="Times New Roman"/>
          <w:sz w:val="24"/>
          <w:szCs w:val="24"/>
        </w:rPr>
        <w:t>ych</w:t>
      </w:r>
      <w:r w:rsidR="004C12EC" w:rsidRPr="00A31E3D">
        <w:rPr>
          <w:rFonts w:ascii="Times New Roman" w:hAnsi="Times New Roman" w:cs="Times New Roman"/>
          <w:sz w:val="24"/>
          <w:szCs w:val="24"/>
        </w:rPr>
        <w:t>, jeśli realizowały je samodzielnie.</w:t>
      </w:r>
      <w:r w:rsidR="009F3E8E" w:rsidRPr="00A31E3D">
        <w:rPr>
          <w:rFonts w:ascii="Times New Roman" w:hAnsi="Times New Roman" w:cs="Times New Roman"/>
          <w:sz w:val="24"/>
          <w:szCs w:val="24"/>
        </w:rPr>
        <w:t xml:space="preserve"> Ponadto udział </w:t>
      </w:r>
      <w:r w:rsidR="00123670">
        <w:rPr>
          <w:rFonts w:ascii="Times New Roman" w:hAnsi="Times New Roman" w:cs="Times New Roman"/>
          <w:sz w:val="24"/>
          <w:szCs w:val="24"/>
        </w:rPr>
        <w:t>OPS</w:t>
      </w:r>
      <w:r w:rsidR="009F3E8E" w:rsidRPr="00A31E3D">
        <w:rPr>
          <w:rFonts w:ascii="Times New Roman" w:hAnsi="Times New Roman" w:cs="Times New Roman"/>
          <w:sz w:val="24"/>
          <w:szCs w:val="24"/>
        </w:rPr>
        <w:t xml:space="preserve"> w charakterze organizacji lokalnych wiązał się z</w:t>
      </w:r>
      <w:r w:rsidR="00ED4B9E" w:rsidRPr="00A31E3D">
        <w:rPr>
          <w:rFonts w:ascii="Times New Roman" w:hAnsi="Times New Roman" w:cs="Times New Roman"/>
          <w:sz w:val="24"/>
          <w:szCs w:val="24"/>
        </w:rPr>
        <w:t> </w:t>
      </w:r>
      <w:r w:rsidR="009F3E8E" w:rsidRPr="00A31E3D">
        <w:rPr>
          <w:rFonts w:ascii="Times New Roman" w:hAnsi="Times New Roman" w:cs="Times New Roman"/>
          <w:sz w:val="24"/>
          <w:szCs w:val="24"/>
        </w:rPr>
        <w:t xml:space="preserve">dodatkowym </w:t>
      </w:r>
      <w:r w:rsidR="00B01AB7" w:rsidRPr="00A31E3D">
        <w:rPr>
          <w:rFonts w:ascii="Times New Roman" w:hAnsi="Times New Roman" w:cs="Times New Roman"/>
          <w:sz w:val="24"/>
          <w:szCs w:val="24"/>
        </w:rPr>
        <w:t xml:space="preserve">wsparciem </w:t>
      </w:r>
      <w:r w:rsidR="009F3E8E" w:rsidRPr="00A31E3D">
        <w:rPr>
          <w:rFonts w:ascii="Times New Roman" w:hAnsi="Times New Roman" w:cs="Times New Roman"/>
          <w:sz w:val="24"/>
          <w:szCs w:val="24"/>
        </w:rPr>
        <w:t>finansowym ze strony gmin w realizacji części zadań związanych z</w:t>
      </w:r>
      <w:r w:rsidR="00ED4B9E" w:rsidRPr="00A31E3D">
        <w:rPr>
          <w:rFonts w:ascii="Times New Roman" w:hAnsi="Times New Roman" w:cs="Times New Roman"/>
          <w:sz w:val="24"/>
          <w:szCs w:val="24"/>
        </w:rPr>
        <w:t> </w:t>
      </w:r>
      <w:r w:rsidR="009F3E8E" w:rsidRPr="00A31E3D">
        <w:rPr>
          <w:rFonts w:ascii="Times New Roman" w:hAnsi="Times New Roman" w:cs="Times New Roman"/>
          <w:sz w:val="24"/>
          <w:szCs w:val="24"/>
        </w:rPr>
        <w:t>dystrybucją (m.in. na transport i kadrę do obsługi).</w:t>
      </w:r>
      <w:r w:rsidR="001A3971" w:rsidRPr="00A31E3D">
        <w:rPr>
          <w:rFonts w:ascii="Times New Roman" w:hAnsi="Times New Roman" w:cs="Times New Roman"/>
          <w:sz w:val="24"/>
          <w:szCs w:val="24"/>
        </w:rPr>
        <w:t xml:space="preserve"> Faktyczne koszty realizacji pomocy żywnościowej przekraczały więc znacznie wysokość środków ryczałtowych dostępnych w</w:t>
      </w:r>
      <w:r w:rsidR="00ED4B9E" w:rsidRPr="00A31E3D">
        <w:rPr>
          <w:rFonts w:ascii="Times New Roman" w:hAnsi="Times New Roman" w:cs="Times New Roman"/>
          <w:sz w:val="24"/>
          <w:szCs w:val="24"/>
        </w:rPr>
        <w:t> </w:t>
      </w:r>
      <w:r w:rsidR="001A3971" w:rsidRPr="00A31E3D">
        <w:rPr>
          <w:rFonts w:ascii="Times New Roman" w:hAnsi="Times New Roman" w:cs="Times New Roman"/>
          <w:sz w:val="24"/>
          <w:szCs w:val="24"/>
        </w:rPr>
        <w:t>ramach Programu</w:t>
      </w:r>
      <w:r w:rsidR="002D6C6E" w:rsidRPr="00A31E3D">
        <w:rPr>
          <w:rFonts w:ascii="Times New Roman" w:hAnsi="Times New Roman" w:cs="Times New Roman"/>
          <w:sz w:val="24"/>
          <w:szCs w:val="24"/>
        </w:rPr>
        <w:t xml:space="preserve"> na ten cel</w:t>
      </w:r>
      <w:r w:rsidR="001A3971" w:rsidRPr="00A31E3D">
        <w:rPr>
          <w:rFonts w:ascii="Times New Roman" w:hAnsi="Times New Roman" w:cs="Times New Roman"/>
          <w:sz w:val="24"/>
          <w:szCs w:val="24"/>
        </w:rPr>
        <w:t>.</w:t>
      </w:r>
    </w:p>
    <w:p w14:paraId="73086E15" w14:textId="7C06E936" w:rsidR="00EB5AC9" w:rsidRDefault="005E735A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Głównym wyzwaniem w toku realizacji PO PŻ było zapewnienie jak najszerszego zasięgu terytorialnego pomocy żywnościowej. </w:t>
      </w:r>
      <w:r w:rsidR="00114B57" w:rsidRPr="00A31E3D">
        <w:rPr>
          <w:rFonts w:ascii="Times New Roman" w:hAnsi="Times New Roman" w:cs="Times New Roman"/>
          <w:sz w:val="24"/>
          <w:szCs w:val="24"/>
        </w:rPr>
        <w:t>W 2015 r.</w:t>
      </w:r>
      <w:r w:rsidR="005D5E97" w:rsidRPr="00A31E3D">
        <w:rPr>
          <w:rFonts w:ascii="Times New Roman" w:hAnsi="Times New Roman" w:cs="Times New Roman"/>
          <w:sz w:val="24"/>
          <w:szCs w:val="24"/>
        </w:rPr>
        <w:t xml:space="preserve"> </w:t>
      </w:r>
      <w:r w:rsidR="00114B57" w:rsidRPr="00A31E3D">
        <w:rPr>
          <w:rFonts w:ascii="Times New Roman" w:hAnsi="Times New Roman" w:cs="Times New Roman"/>
          <w:sz w:val="24"/>
          <w:szCs w:val="24"/>
        </w:rPr>
        <w:t>była</w:t>
      </w:r>
      <w:r w:rsidR="005D5E97" w:rsidRPr="00A31E3D">
        <w:rPr>
          <w:rFonts w:ascii="Times New Roman" w:hAnsi="Times New Roman" w:cs="Times New Roman"/>
          <w:sz w:val="24"/>
          <w:szCs w:val="24"/>
        </w:rPr>
        <w:t xml:space="preserve"> ona </w:t>
      </w:r>
      <w:r w:rsidR="00114B57" w:rsidRPr="00A31E3D">
        <w:rPr>
          <w:rFonts w:ascii="Times New Roman" w:hAnsi="Times New Roman" w:cs="Times New Roman"/>
          <w:sz w:val="24"/>
          <w:szCs w:val="24"/>
        </w:rPr>
        <w:t>dostępna jedynie w ok. 62% gmin w</w:t>
      </w:r>
      <w:r w:rsidR="005D5E97" w:rsidRPr="00A31E3D">
        <w:rPr>
          <w:rFonts w:ascii="Times New Roman" w:hAnsi="Times New Roman" w:cs="Times New Roman"/>
          <w:sz w:val="24"/>
          <w:szCs w:val="24"/>
        </w:rPr>
        <w:t> </w:t>
      </w:r>
      <w:r w:rsidR="00114B57" w:rsidRPr="00A31E3D">
        <w:rPr>
          <w:rFonts w:ascii="Times New Roman" w:hAnsi="Times New Roman" w:cs="Times New Roman"/>
          <w:sz w:val="24"/>
          <w:szCs w:val="24"/>
        </w:rPr>
        <w:t xml:space="preserve">Polsce, przy czym w kolejnych latach następował systematyczny wzrost liczby gmin, których mieszkańcy korzystali ze wsparcia żywnościowego. W 2017 r. już 90% gmin było objętych PO PŻ. Od 2019 r. odsetek gmin uczestniczących jest stały i wynosi 93% gmin. </w:t>
      </w:r>
      <w:r w:rsidR="00A40B6F" w:rsidRPr="00A31E3D">
        <w:rPr>
          <w:rFonts w:ascii="Times New Roman" w:hAnsi="Times New Roman" w:cs="Times New Roman"/>
          <w:sz w:val="24"/>
          <w:szCs w:val="24"/>
        </w:rPr>
        <w:t xml:space="preserve">Z informacji udostępnianych przez </w:t>
      </w:r>
      <w:r w:rsidR="00123670">
        <w:rPr>
          <w:rFonts w:ascii="Times New Roman" w:hAnsi="Times New Roman" w:cs="Times New Roman"/>
          <w:sz w:val="24"/>
          <w:szCs w:val="24"/>
        </w:rPr>
        <w:t>OPS-y</w:t>
      </w:r>
      <w:r w:rsidR="00A40B6F" w:rsidRPr="00A31E3D">
        <w:rPr>
          <w:rFonts w:ascii="Times New Roman" w:hAnsi="Times New Roman" w:cs="Times New Roman"/>
          <w:sz w:val="24"/>
          <w:szCs w:val="24"/>
        </w:rPr>
        <w:t xml:space="preserve"> wynika, że wśród powodów braku dostępności pomocy w</w:t>
      </w:r>
      <w:r w:rsidR="00123670">
        <w:rPr>
          <w:rFonts w:ascii="Times New Roman" w:hAnsi="Times New Roman" w:cs="Times New Roman"/>
          <w:sz w:val="24"/>
          <w:szCs w:val="24"/>
        </w:rPr>
        <w:t> </w:t>
      </w:r>
      <w:r w:rsidR="00A40B6F" w:rsidRPr="00A31E3D">
        <w:rPr>
          <w:rFonts w:ascii="Times New Roman" w:hAnsi="Times New Roman" w:cs="Times New Roman"/>
          <w:sz w:val="24"/>
          <w:szCs w:val="24"/>
        </w:rPr>
        <w:t>pozostałych ok. 190 gminach, najistotniejszy jest brak organizacji partnerskich (48%), a</w:t>
      </w:r>
      <w:r w:rsidR="00123670">
        <w:rPr>
          <w:rFonts w:ascii="Times New Roman" w:hAnsi="Times New Roman" w:cs="Times New Roman"/>
          <w:sz w:val="24"/>
          <w:szCs w:val="24"/>
        </w:rPr>
        <w:t> </w:t>
      </w:r>
      <w:r w:rsidR="00A40B6F" w:rsidRPr="00A31E3D">
        <w:rPr>
          <w:rFonts w:ascii="Times New Roman" w:hAnsi="Times New Roman" w:cs="Times New Roman"/>
          <w:sz w:val="24"/>
          <w:szCs w:val="24"/>
        </w:rPr>
        <w:t xml:space="preserve">także zmienna struktura dystrybucji na poziomie lokalnym (zawieszenie działalności organizacji, </w:t>
      </w:r>
      <w:r w:rsidR="00A31E3D" w:rsidRPr="00A31E3D">
        <w:rPr>
          <w:rFonts w:ascii="Times New Roman" w:hAnsi="Times New Roman" w:cs="Times New Roman"/>
          <w:sz w:val="24"/>
          <w:szCs w:val="24"/>
        </w:rPr>
        <w:t>rezygnacja</w:t>
      </w:r>
      <w:r w:rsidR="00A40B6F" w:rsidRPr="00A31E3D">
        <w:rPr>
          <w:rFonts w:ascii="Times New Roman" w:hAnsi="Times New Roman" w:cs="Times New Roman"/>
          <w:sz w:val="24"/>
          <w:szCs w:val="24"/>
        </w:rPr>
        <w:t xml:space="preserve"> z realizacji dystrybucji – 10%). Na uwagę zasługuje fakt, że aż 15% OPS z gmin nieobjętych PO PŻ jako powód wskaz</w:t>
      </w:r>
      <w:r w:rsidR="008C29B8" w:rsidRPr="00A31E3D">
        <w:rPr>
          <w:rFonts w:ascii="Times New Roman" w:hAnsi="Times New Roman" w:cs="Times New Roman"/>
          <w:sz w:val="24"/>
          <w:szCs w:val="24"/>
        </w:rPr>
        <w:t>ało</w:t>
      </w:r>
      <w:r w:rsidR="00A40B6F" w:rsidRPr="00A31E3D">
        <w:rPr>
          <w:rFonts w:ascii="Times New Roman" w:hAnsi="Times New Roman" w:cs="Times New Roman"/>
          <w:sz w:val="24"/>
          <w:szCs w:val="24"/>
        </w:rPr>
        <w:t xml:space="preserve"> brak zainteresowania mieszkańców tą formą pomocy</w:t>
      </w:r>
      <w:r w:rsidR="00A40B6F" w:rsidRPr="00A31E3D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="00A40B6F" w:rsidRPr="00A31E3D">
        <w:rPr>
          <w:rFonts w:ascii="Times New Roman" w:hAnsi="Times New Roman" w:cs="Times New Roman"/>
          <w:sz w:val="24"/>
          <w:szCs w:val="24"/>
        </w:rPr>
        <w:t>.</w:t>
      </w:r>
    </w:p>
    <w:p w14:paraId="5E918F5E" w14:textId="6D865D67" w:rsidR="00C350A6" w:rsidRDefault="009C6508" w:rsidP="009C65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8">
        <w:rPr>
          <w:rFonts w:ascii="Times New Roman" w:hAnsi="Times New Roman" w:cs="Times New Roman"/>
          <w:sz w:val="24"/>
          <w:szCs w:val="24"/>
        </w:rPr>
        <w:t xml:space="preserve">Jeśli chodzi o </w:t>
      </w:r>
      <w:r w:rsidR="001F2A96">
        <w:rPr>
          <w:rFonts w:ascii="Times New Roman" w:hAnsi="Times New Roman" w:cs="Times New Roman"/>
          <w:sz w:val="24"/>
          <w:szCs w:val="24"/>
        </w:rPr>
        <w:t xml:space="preserve">wpływ </w:t>
      </w:r>
      <w:r w:rsidR="005328C0">
        <w:rPr>
          <w:rFonts w:ascii="Times New Roman" w:hAnsi="Times New Roman" w:cs="Times New Roman"/>
          <w:sz w:val="24"/>
          <w:szCs w:val="24"/>
        </w:rPr>
        <w:t>pan</w:t>
      </w:r>
      <w:r w:rsidR="001F2A96">
        <w:rPr>
          <w:rFonts w:ascii="Times New Roman" w:hAnsi="Times New Roman" w:cs="Times New Roman"/>
          <w:sz w:val="24"/>
          <w:szCs w:val="24"/>
        </w:rPr>
        <w:t>demii</w:t>
      </w:r>
      <w:r w:rsidRPr="009C6508">
        <w:rPr>
          <w:rFonts w:ascii="Times New Roman" w:hAnsi="Times New Roman" w:cs="Times New Roman"/>
          <w:sz w:val="24"/>
          <w:szCs w:val="24"/>
        </w:rPr>
        <w:t xml:space="preserve"> COVID-19</w:t>
      </w:r>
      <w:r w:rsidR="001F2A96">
        <w:rPr>
          <w:rFonts w:ascii="Times New Roman" w:hAnsi="Times New Roman" w:cs="Times New Roman"/>
          <w:sz w:val="24"/>
          <w:szCs w:val="24"/>
        </w:rPr>
        <w:t xml:space="preserve"> na zapotrzebowanie na pomoc żywnościową</w:t>
      </w:r>
      <w:r w:rsidRPr="009C6508">
        <w:rPr>
          <w:rFonts w:ascii="Times New Roman" w:hAnsi="Times New Roman" w:cs="Times New Roman"/>
          <w:sz w:val="24"/>
          <w:szCs w:val="24"/>
        </w:rPr>
        <w:t>, to zdecydowana większość ośrodków pomocy społecznej nie zaobserwowała</w:t>
      </w:r>
      <w:r w:rsidR="001F2A96">
        <w:rPr>
          <w:rFonts w:ascii="Times New Roman" w:hAnsi="Times New Roman" w:cs="Times New Roman"/>
          <w:sz w:val="24"/>
          <w:szCs w:val="24"/>
        </w:rPr>
        <w:t xml:space="preserve"> w 2020 r.</w:t>
      </w:r>
      <w:r w:rsidRPr="009C6508">
        <w:rPr>
          <w:rFonts w:ascii="Times New Roman" w:hAnsi="Times New Roman" w:cs="Times New Roman"/>
          <w:sz w:val="24"/>
          <w:szCs w:val="24"/>
        </w:rPr>
        <w:t xml:space="preserve"> </w:t>
      </w:r>
      <w:r w:rsidRPr="009C6508">
        <w:rPr>
          <w:rFonts w:ascii="Times New Roman" w:hAnsi="Times New Roman" w:cs="Times New Roman"/>
          <w:sz w:val="24"/>
          <w:szCs w:val="24"/>
        </w:rPr>
        <w:lastRenderedPageBreak/>
        <w:t>napływu nowych osób uprawnionych do Programu. Jedynie w</w:t>
      </w:r>
      <w:r>
        <w:rPr>
          <w:rFonts w:ascii="Times New Roman" w:hAnsi="Times New Roman" w:cs="Times New Roman"/>
          <w:sz w:val="24"/>
          <w:szCs w:val="24"/>
        </w:rPr>
        <w:t xml:space="preserve"> przypadku</w:t>
      </w:r>
      <w:r w:rsidRPr="009C6508">
        <w:rPr>
          <w:rFonts w:ascii="Times New Roman" w:hAnsi="Times New Roman" w:cs="Times New Roman"/>
          <w:sz w:val="24"/>
          <w:szCs w:val="24"/>
        </w:rPr>
        <w:t xml:space="preserve"> 302 gmin odnotowano pojawienie się nowych odbiorców pomocy żywnościowej – łącznie </w:t>
      </w:r>
      <w:r w:rsidR="001F2A96">
        <w:rPr>
          <w:rFonts w:ascii="Times New Roman" w:hAnsi="Times New Roman" w:cs="Times New Roman"/>
          <w:sz w:val="24"/>
          <w:szCs w:val="24"/>
        </w:rPr>
        <w:t xml:space="preserve">ok. </w:t>
      </w:r>
      <w:r w:rsidRPr="009C65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1 tys. </w:t>
      </w:r>
      <w:r w:rsidRPr="009C6508">
        <w:rPr>
          <w:rFonts w:ascii="Times New Roman" w:hAnsi="Times New Roman" w:cs="Times New Roman"/>
          <w:sz w:val="24"/>
          <w:szCs w:val="24"/>
        </w:rPr>
        <w:t>osób</w:t>
      </w:r>
      <w:r>
        <w:rPr>
          <w:rFonts w:ascii="Times New Roman" w:hAnsi="Times New Roman" w:cs="Times New Roman"/>
          <w:sz w:val="24"/>
          <w:szCs w:val="24"/>
        </w:rPr>
        <w:t xml:space="preserve"> w skali kraju</w:t>
      </w:r>
      <w:r w:rsidRPr="009C6508">
        <w:rPr>
          <w:rFonts w:ascii="Times New Roman" w:hAnsi="Times New Roman" w:cs="Times New Roman"/>
          <w:sz w:val="24"/>
          <w:szCs w:val="24"/>
        </w:rPr>
        <w:t xml:space="preserve"> (ok. 2% wszystkich korzystających z PO PŻ w 2020 r.). Nie jest to więc znaczący wzrost</w:t>
      </w:r>
      <w:r>
        <w:rPr>
          <w:rStyle w:val="Odwoanieprzypisudolnego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.</w:t>
      </w:r>
      <w:r w:rsidR="005328C0">
        <w:rPr>
          <w:rFonts w:ascii="Times New Roman" w:hAnsi="Times New Roman" w:cs="Times New Roman"/>
          <w:sz w:val="24"/>
          <w:szCs w:val="24"/>
        </w:rPr>
        <w:t xml:space="preserve"> W kontekście długofalowych skutków pandemii dla niektórych sektorów gospodarki, należy spodziewać się przynajmniej czasowego wzrostu liczby osób uprawnionych do pomocy w ramach Programu.  </w:t>
      </w:r>
    </w:p>
    <w:p w14:paraId="302DBEB2" w14:textId="280B8F9F" w:rsidR="009C6508" w:rsidRDefault="009C6508" w:rsidP="007A73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B4E4E" w14:textId="738CD3C5" w:rsidR="008213BA" w:rsidRPr="003428A2" w:rsidRDefault="001F2A96" w:rsidP="00A31E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5D7226">
        <w:rPr>
          <w:rFonts w:ascii="Times New Roman" w:hAnsi="Times New Roman" w:cs="Times New Roman"/>
          <w:b/>
          <w:sz w:val="24"/>
          <w:szCs w:val="24"/>
        </w:rPr>
        <w:t xml:space="preserve">Wnioski i wyzwania </w:t>
      </w:r>
    </w:p>
    <w:p w14:paraId="3854B8A4" w14:textId="615EF9E4" w:rsidR="002A6DF5" w:rsidRDefault="002B6644" w:rsidP="002A6D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2.2.1. </w:t>
      </w:r>
      <w:r w:rsidR="008C53C8">
        <w:rPr>
          <w:rFonts w:ascii="Times New Roman" w:hAnsi="Times New Roman" w:cs="Times New Roman"/>
          <w:b/>
          <w:bCs/>
          <w:sz w:val="24"/>
          <w:szCs w:val="24"/>
        </w:rPr>
        <w:t>Większa d</w:t>
      </w:r>
      <w:r w:rsidR="005D7226" w:rsidRPr="007A7357">
        <w:rPr>
          <w:rFonts w:ascii="Times New Roman" w:hAnsi="Times New Roman" w:cs="Times New Roman"/>
          <w:b/>
          <w:bCs/>
          <w:sz w:val="24"/>
          <w:szCs w:val="24"/>
        </w:rPr>
        <w:t>ostępność pomocy</w:t>
      </w:r>
      <w:r w:rsidR="002A6DF5" w:rsidRPr="007A7357">
        <w:rPr>
          <w:rFonts w:ascii="Times New Roman" w:hAnsi="Times New Roman" w:cs="Times New Roman"/>
          <w:b/>
          <w:bCs/>
          <w:sz w:val="24"/>
          <w:szCs w:val="24"/>
        </w:rPr>
        <w:t xml:space="preserve"> żywnościowej</w:t>
      </w:r>
      <w:r w:rsidR="005636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53C8">
        <w:rPr>
          <w:rFonts w:ascii="Times New Roman" w:hAnsi="Times New Roman" w:cs="Times New Roman"/>
          <w:b/>
          <w:bCs/>
          <w:sz w:val="24"/>
          <w:szCs w:val="24"/>
        </w:rPr>
        <w:t>dzięki</w:t>
      </w:r>
      <w:r w:rsidR="00563601">
        <w:rPr>
          <w:rFonts w:ascii="Times New Roman" w:hAnsi="Times New Roman" w:cs="Times New Roman"/>
          <w:b/>
          <w:bCs/>
          <w:sz w:val="24"/>
          <w:szCs w:val="24"/>
        </w:rPr>
        <w:t xml:space="preserve"> rozw</w:t>
      </w:r>
      <w:r w:rsidR="008C53C8">
        <w:rPr>
          <w:rFonts w:ascii="Times New Roman" w:hAnsi="Times New Roman" w:cs="Times New Roman"/>
          <w:b/>
          <w:bCs/>
          <w:sz w:val="24"/>
          <w:szCs w:val="24"/>
        </w:rPr>
        <w:t>ojowi</w:t>
      </w:r>
      <w:r w:rsidR="00563601">
        <w:rPr>
          <w:rFonts w:ascii="Times New Roman" w:hAnsi="Times New Roman" w:cs="Times New Roman"/>
          <w:b/>
          <w:bCs/>
          <w:sz w:val="24"/>
          <w:szCs w:val="24"/>
        </w:rPr>
        <w:t xml:space="preserve"> sieci organizacji partnerskich</w:t>
      </w:r>
    </w:p>
    <w:p w14:paraId="5B1C69AE" w14:textId="562D4780" w:rsidR="002A6DF5" w:rsidRDefault="002A6DF5" w:rsidP="002A6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Głównym celem jest utrzymanie wysokiego, ponad 90% udziału gmin w programie,</w:t>
      </w:r>
      <w:r w:rsidR="00384957">
        <w:rPr>
          <w:rFonts w:ascii="Times New Roman" w:hAnsi="Times New Roman" w:cs="Times New Roman"/>
          <w:sz w:val="24"/>
          <w:szCs w:val="24"/>
        </w:rPr>
        <w:t xml:space="preserve"> przy jednoczesnym dążeniu do zapewnienia dostępności pomocy żywnościowej w każdej gminie,</w:t>
      </w:r>
      <w:r>
        <w:rPr>
          <w:rFonts w:ascii="Times New Roman" w:hAnsi="Times New Roman" w:cs="Times New Roman"/>
          <w:sz w:val="24"/>
          <w:szCs w:val="24"/>
        </w:rPr>
        <w:t xml:space="preserve"> ze szczególnym uwzględnieniem tych województw</w:t>
      </w:r>
      <w:r w:rsidR="00FB5101">
        <w:rPr>
          <w:rFonts w:ascii="Times New Roman" w:hAnsi="Times New Roman" w:cs="Times New Roman"/>
          <w:sz w:val="24"/>
          <w:szCs w:val="24"/>
        </w:rPr>
        <w:t xml:space="preserve">, w których wskaźniki zagrożenia ubóstwem i wykluczeniem społecznym są najwyższe. Priorytetem </w:t>
      </w:r>
      <w:r w:rsidR="00C62D00">
        <w:rPr>
          <w:rFonts w:ascii="Times New Roman" w:hAnsi="Times New Roman" w:cs="Times New Roman"/>
          <w:sz w:val="24"/>
          <w:szCs w:val="24"/>
        </w:rPr>
        <w:t>pozostaje</w:t>
      </w:r>
      <w:r w:rsidR="00FB5101">
        <w:rPr>
          <w:rFonts w:ascii="Times New Roman" w:hAnsi="Times New Roman" w:cs="Times New Roman"/>
          <w:sz w:val="24"/>
          <w:szCs w:val="24"/>
        </w:rPr>
        <w:t xml:space="preserve"> zapewnienie dostępu do pomocy </w:t>
      </w:r>
      <w:r w:rsidR="00C62D00">
        <w:rPr>
          <w:rFonts w:ascii="Times New Roman" w:hAnsi="Times New Roman" w:cs="Times New Roman"/>
          <w:sz w:val="24"/>
          <w:szCs w:val="24"/>
        </w:rPr>
        <w:t>żywnościowej osobom o najniższych dochodach</w:t>
      </w:r>
      <w:r w:rsidR="00C62D00">
        <w:rPr>
          <w:rStyle w:val="Odwoanieprzypisudolnego"/>
          <w:sz w:val="24"/>
          <w:szCs w:val="24"/>
        </w:rPr>
        <w:footnoteReference w:id="6"/>
      </w:r>
      <w:r w:rsidR="00E92D77">
        <w:rPr>
          <w:rFonts w:ascii="Times New Roman" w:hAnsi="Times New Roman" w:cs="Times New Roman"/>
          <w:sz w:val="24"/>
          <w:szCs w:val="24"/>
        </w:rPr>
        <w:t xml:space="preserve">, niezależnie od regionu czy wielkości zamieszkiwanej gminy. </w:t>
      </w:r>
      <w:r w:rsidR="004E0951">
        <w:rPr>
          <w:rFonts w:ascii="Times New Roman" w:hAnsi="Times New Roman" w:cs="Times New Roman"/>
          <w:sz w:val="24"/>
          <w:szCs w:val="24"/>
        </w:rPr>
        <w:t xml:space="preserve">Powyższe wpisuje się w realizację </w:t>
      </w:r>
      <w:r w:rsidR="00DD24DD">
        <w:rPr>
          <w:rFonts w:ascii="Times New Roman" w:hAnsi="Times New Roman" w:cs="Times New Roman"/>
          <w:sz w:val="24"/>
          <w:szCs w:val="24"/>
        </w:rPr>
        <w:t>wytycznej</w:t>
      </w:r>
      <w:r w:rsidR="004E0951">
        <w:rPr>
          <w:rFonts w:ascii="Times New Roman" w:hAnsi="Times New Roman" w:cs="Times New Roman"/>
          <w:sz w:val="24"/>
          <w:szCs w:val="24"/>
        </w:rPr>
        <w:t xml:space="preserve"> dla Polski</w:t>
      </w:r>
      <w:r w:rsidR="00DD24DD">
        <w:rPr>
          <w:rFonts w:ascii="Times New Roman" w:hAnsi="Times New Roman" w:cs="Times New Roman"/>
          <w:sz w:val="24"/>
          <w:szCs w:val="24"/>
        </w:rPr>
        <w:t xml:space="preserve"> w</w:t>
      </w:r>
      <w:r w:rsidR="005D73D2">
        <w:rPr>
          <w:rFonts w:ascii="Times New Roman" w:hAnsi="Times New Roman" w:cs="Times New Roman"/>
          <w:sz w:val="24"/>
          <w:szCs w:val="24"/>
        </w:rPr>
        <w:t> </w:t>
      </w:r>
      <w:r w:rsidR="00DD24DD">
        <w:rPr>
          <w:rFonts w:ascii="Times New Roman" w:hAnsi="Times New Roman" w:cs="Times New Roman"/>
          <w:sz w:val="24"/>
          <w:szCs w:val="24"/>
        </w:rPr>
        <w:t xml:space="preserve">obszarze ubóstwa i wykluczenia społecznego, dotyczącej </w:t>
      </w:r>
      <w:r w:rsidR="00DD24DD" w:rsidRPr="00DD24DD">
        <w:rPr>
          <w:rFonts w:ascii="Times New Roman" w:hAnsi="Times New Roman" w:cs="Times New Roman"/>
          <w:sz w:val="24"/>
          <w:szCs w:val="24"/>
        </w:rPr>
        <w:t>dot</w:t>
      </w:r>
      <w:r w:rsidR="00DD24DD">
        <w:rPr>
          <w:rFonts w:ascii="Times New Roman" w:hAnsi="Times New Roman" w:cs="Times New Roman"/>
          <w:sz w:val="24"/>
          <w:szCs w:val="24"/>
        </w:rPr>
        <w:t>arcia</w:t>
      </w:r>
      <w:r w:rsidR="008C023F">
        <w:rPr>
          <w:rFonts w:ascii="Times New Roman" w:hAnsi="Times New Roman" w:cs="Times New Roman"/>
          <w:sz w:val="24"/>
          <w:szCs w:val="24"/>
        </w:rPr>
        <w:t xml:space="preserve"> z działaniami na rzecz włączenia społecznego</w:t>
      </w:r>
      <w:r w:rsidR="00DD24DD" w:rsidRPr="00DD24DD">
        <w:rPr>
          <w:rFonts w:ascii="Times New Roman" w:hAnsi="Times New Roman" w:cs="Times New Roman"/>
          <w:sz w:val="24"/>
          <w:szCs w:val="24"/>
        </w:rPr>
        <w:t xml:space="preserve"> do większej liczby osób ze środowisk de</w:t>
      </w:r>
      <w:r w:rsidR="00DD24DD">
        <w:rPr>
          <w:rFonts w:ascii="Times New Roman" w:hAnsi="Times New Roman" w:cs="Times New Roman"/>
          <w:sz w:val="24"/>
          <w:szCs w:val="24"/>
        </w:rPr>
        <w:t>faw</w:t>
      </w:r>
      <w:r w:rsidR="00DD24DD" w:rsidRPr="00DD24DD">
        <w:rPr>
          <w:rFonts w:ascii="Times New Roman" w:hAnsi="Times New Roman" w:cs="Times New Roman"/>
          <w:sz w:val="24"/>
          <w:szCs w:val="24"/>
        </w:rPr>
        <w:t>oryzowanych</w:t>
      </w:r>
      <w:r w:rsidR="005D73D2">
        <w:rPr>
          <w:rStyle w:val="Odwoanieprzypisudolnego"/>
          <w:sz w:val="24"/>
          <w:szCs w:val="24"/>
        </w:rPr>
        <w:footnoteReference w:id="7"/>
      </w:r>
      <w:r w:rsidR="00DD24DD">
        <w:rPr>
          <w:rFonts w:ascii="Times New Roman" w:hAnsi="Times New Roman" w:cs="Times New Roman"/>
          <w:sz w:val="24"/>
          <w:szCs w:val="24"/>
        </w:rPr>
        <w:t>.</w:t>
      </w:r>
    </w:p>
    <w:p w14:paraId="02373846" w14:textId="1833FBDA" w:rsidR="002A6DF5" w:rsidRPr="007A7357" w:rsidRDefault="00E92D77" w:rsidP="004F12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niezbędnym do osiągnięcia tego celu jest dalszy rozwój sieci organizacji partnerskich oraz zwiększenie liczby OPL uczestniczących w programie</w:t>
      </w:r>
      <w:r w:rsidR="00384957">
        <w:rPr>
          <w:rFonts w:ascii="Times New Roman" w:hAnsi="Times New Roman" w:cs="Times New Roman"/>
          <w:sz w:val="24"/>
          <w:szCs w:val="24"/>
        </w:rPr>
        <w:t>. Niezbędne jest zapewnienie stabilności sieci i jej większej odporności na fluktuację, aby pomoc była dostępna w sposób ciągły</w:t>
      </w:r>
      <w:r w:rsidR="00CB55EB">
        <w:rPr>
          <w:rFonts w:ascii="Times New Roman" w:hAnsi="Times New Roman" w:cs="Times New Roman"/>
          <w:sz w:val="24"/>
          <w:szCs w:val="24"/>
        </w:rPr>
        <w:t>. Większe zaangażowanie organizacji partnerskich w dystrybucję pozwoli zminimalizować liczbę ośrodków pomocy społecznej pełniących funkcję OPL, a docelowo całkowicie wyłączyć OPS z obsługi wydawania żywności na rzecz podstawowego zadania – kwalifikowania odbiorców końcowych do programu</w:t>
      </w:r>
      <w:r w:rsidR="00AA756A">
        <w:rPr>
          <w:rFonts w:ascii="Times New Roman" w:hAnsi="Times New Roman" w:cs="Times New Roman"/>
          <w:sz w:val="24"/>
          <w:szCs w:val="24"/>
        </w:rPr>
        <w:t>.</w:t>
      </w:r>
    </w:p>
    <w:p w14:paraId="2E01243B" w14:textId="31D91C66" w:rsidR="00B01560" w:rsidRDefault="00AA756A" w:rsidP="00EC5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</w:t>
      </w:r>
      <w:r w:rsidR="002A3F3B">
        <w:rPr>
          <w:rFonts w:ascii="Times New Roman" w:hAnsi="Times New Roman" w:cs="Times New Roman"/>
          <w:sz w:val="24"/>
          <w:szCs w:val="24"/>
        </w:rPr>
        <w:t xml:space="preserve">cele powinny zostać </w:t>
      </w:r>
      <w:r w:rsidR="00EC5F8D" w:rsidRPr="003428A2">
        <w:rPr>
          <w:rFonts w:ascii="Times New Roman" w:hAnsi="Times New Roman" w:cs="Times New Roman"/>
          <w:sz w:val="24"/>
          <w:szCs w:val="24"/>
        </w:rPr>
        <w:t>osiągnięt</w:t>
      </w:r>
      <w:r w:rsidR="002A3F3B">
        <w:rPr>
          <w:rFonts w:ascii="Times New Roman" w:hAnsi="Times New Roman" w:cs="Times New Roman"/>
          <w:sz w:val="24"/>
          <w:szCs w:val="24"/>
        </w:rPr>
        <w:t>e</w:t>
      </w:r>
      <w:r w:rsidR="00EC5F8D" w:rsidRPr="003428A2">
        <w:rPr>
          <w:rFonts w:ascii="Times New Roman" w:hAnsi="Times New Roman" w:cs="Times New Roman"/>
          <w:sz w:val="24"/>
          <w:szCs w:val="24"/>
        </w:rPr>
        <w:t xml:space="preserve"> </w:t>
      </w:r>
      <w:r w:rsidR="002A3F3B">
        <w:rPr>
          <w:rFonts w:ascii="Times New Roman" w:hAnsi="Times New Roman" w:cs="Times New Roman"/>
          <w:sz w:val="24"/>
          <w:szCs w:val="24"/>
        </w:rPr>
        <w:t>dzięki</w:t>
      </w:r>
      <w:r w:rsidR="00EC5F8D" w:rsidRPr="003428A2">
        <w:rPr>
          <w:rFonts w:ascii="Times New Roman" w:hAnsi="Times New Roman" w:cs="Times New Roman"/>
          <w:sz w:val="24"/>
          <w:szCs w:val="24"/>
        </w:rPr>
        <w:t xml:space="preserve"> wprowadzeni</w:t>
      </w:r>
      <w:r w:rsidR="002A3F3B">
        <w:rPr>
          <w:rFonts w:ascii="Times New Roman" w:hAnsi="Times New Roman" w:cs="Times New Roman"/>
          <w:sz w:val="24"/>
          <w:szCs w:val="24"/>
        </w:rPr>
        <w:t>u</w:t>
      </w:r>
      <w:r w:rsidR="00EC5F8D" w:rsidRPr="003428A2">
        <w:rPr>
          <w:rFonts w:ascii="Times New Roman" w:hAnsi="Times New Roman" w:cs="Times New Roman"/>
          <w:sz w:val="24"/>
          <w:szCs w:val="24"/>
        </w:rPr>
        <w:t xml:space="preserve"> mechanizmu obowiązkowego przekazywania przez OPO </w:t>
      </w:r>
      <w:r w:rsidR="002A3F3B">
        <w:rPr>
          <w:rFonts w:ascii="Times New Roman" w:hAnsi="Times New Roman" w:cs="Times New Roman"/>
          <w:sz w:val="24"/>
          <w:szCs w:val="24"/>
        </w:rPr>
        <w:t xml:space="preserve">za pośrednictwem </w:t>
      </w:r>
      <w:r w:rsidR="00EC5F8D" w:rsidRPr="003428A2">
        <w:rPr>
          <w:rFonts w:ascii="Times New Roman" w:hAnsi="Times New Roman" w:cs="Times New Roman"/>
          <w:sz w:val="24"/>
          <w:szCs w:val="24"/>
        </w:rPr>
        <w:t xml:space="preserve"> OPR części </w:t>
      </w:r>
      <w:r w:rsidR="00C46087">
        <w:rPr>
          <w:rFonts w:ascii="Times New Roman" w:hAnsi="Times New Roman" w:cs="Times New Roman"/>
          <w:sz w:val="24"/>
          <w:szCs w:val="24"/>
        </w:rPr>
        <w:t xml:space="preserve">środków </w:t>
      </w:r>
      <w:r w:rsidR="00EC5F8D" w:rsidRPr="003428A2">
        <w:rPr>
          <w:rFonts w:ascii="Times New Roman" w:hAnsi="Times New Roman" w:cs="Times New Roman"/>
          <w:sz w:val="24"/>
          <w:szCs w:val="24"/>
        </w:rPr>
        <w:t>ryczał</w:t>
      </w:r>
      <w:r>
        <w:rPr>
          <w:rFonts w:ascii="Times New Roman" w:hAnsi="Times New Roman" w:cs="Times New Roman"/>
          <w:sz w:val="24"/>
          <w:szCs w:val="24"/>
        </w:rPr>
        <w:t>towych na obsługę dystrybucji żywności</w:t>
      </w:r>
      <w:r w:rsidR="00EC5F8D" w:rsidRPr="003428A2">
        <w:rPr>
          <w:rFonts w:ascii="Times New Roman" w:hAnsi="Times New Roman" w:cs="Times New Roman"/>
          <w:sz w:val="24"/>
          <w:szCs w:val="24"/>
        </w:rPr>
        <w:t xml:space="preserve"> </w:t>
      </w:r>
      <w:r w:rsidR="00C46087">
        <w:rPr>
          <w:rFonts w:ascii="Times New Roman" w:hAnsi="Times New Roman" w:cs="Times New Roman"/>
          <w:sz w:val="24"/>
          <w:szCs w:val="24"/>
        </w:rPr>
        <w:t xml:space="preserve"> </w:t>
      </w:r>
      <w:r w:rsidR="00EC5F8D" w:rsidRPr="003428A2">
        <w:rPr>
          <w:rFonts w:ascii="Times New Roman" w:hAnsi="Times New Roman" w:cs="Times New Roman"/>
          <w:sz w:val="24"/>
          <w:szCs w:val="24"/>
        </w:rPr>
        <w:t>do OPL</w:t>
      </w:r>
      <w:r w:rsidR="00C46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46087">
        <w:rPr>
          <w:rFonts w:ascii="Times New Roman" w:hAnsi="Times New Roman" w:cs="Times New Roman"/>
          <w:sz w:val="24"/>
          <w:szCs w:val="24"/>
        </w:rPr>
        <w:t>opisanego w pkt. 6.2</w:t>
      </w:r>
      <w:r>
        <w:rPr>
          <w:rFonts w:ascii="Times New Roman" w:hAnsi="Times New Roman" w:cs="Times New Roman"/>
          <w:sz w:val="24"/>
          <w:szCs w:val="24"/>
        </w:rPr>
        <w:t>)</w:t>
      </w:r>
      <w:r w:rsidR="000A51C9">
        <w:rPr>
          <w:rFonts w:ascii="Times New Roman" w:hAnsi="Times New Roman" w:cs="Times New Roman"/>
          <w:sz w:val="24"/>
          <w:szCs w:val="24"/>
        </w:rPr>
        <w:t>.</w:t>
      </w:r>
    </w:p>
    <w:p w14:paraId="203A2EB8" w14:textId="77777777" w:rsidR="003725E5" w:rsidRDefault="003725E5" w:rsidP="00EC5F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0E21E0" w14:textId="54BED3F9" w:rsidR="00C86FA6" w:rsidRPr="007A7357" w:rsidRDefault="002B6644" w:rsidP="00EC5F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2.2.2. </w:t>
      </w:r>
      <w:r w:rsidR="00C86FA6" w:rsidRPr="007A7357">
        <w:rPr>
          <w:rFonts w:ascii="Times New Roman" w:hAnsi="Times New Roman" w:cs="Times New Roman"/>
          <w:b/>
          <w:bCs/>
          <w:sz w:val="24"/>
          <w:szCs w:val="24"/>
        </w:rPr>
        <w:t xml:space="preserve">Dywersyfikacja źródeł pomocy żywnościowej </w:t>
      </w:r>
      <w:r w:rsidR="00C86FA6">
        <w:rPr>
          <w:rFonts w:ascii="Times New Roman" w:hAnsi="Times New Roman" w:cs="Times New Roman"/>
          <w:b/>
          <w:bCs/>
          <w:sz w:val="24"/>
          <w:szCs w:val="24"/>
        </w:rPr>
        <w:t>i zwiększenie ilości żywności dla odbiorców końcowych programu</w:t>
      </w:r>
    </w:p>
    <w:p w14:paraId="286654E9" w14:textId="6EDC23CC" w:rsidR="00E104B6" w:rsidRDefault="00EC18F4" w:rsidP="00EC18F4">
      <w:pPr>
        <w:jc w:val="both"/>
        <w:rPr>
          <w:rFonts w:ascii="Times New Roman" w:hAnsi="Times New Roman" w:cs="Times New Roman"/>
          <w:sz w:val="24"/>
          <w:szCs w:val="24"/>
        </w:rPr>
      </w:pPr>
      <w:r w:rsidRPr="007A7357">
        <w:rPr>
          <w:rFonts w:ascii="Times New Roman" w:hAnsi="Times New Roman" w:cs="Times New Roman"/>
          <w:sz w:val="24"/>
          <w:szCs w:val="24"/>
        </w:rPr>
        <w:t>Celem jest</w:t>
      </w:r>
      <w:r>
        <w:rPr>
          <w:rFonts w:ascii="Times New Roman" w:hAnsi="Times New Roman" w:cs="Times New Roman"/>
          <w:sz w:val="24"/>
          <w:szCs w:val="24"/>
        </w:rPr>
        <w:t xml:space="preserve"> zapewnienie większego udziału żywności niefinansowanej z programu w ogólnej ilości żywności udostępnianej odbiorcom końcowym, </w:t>
      </w:r>
      <w:r w:rsidR="00CA3D3C">
        <w:rPr>
          <w:rFonts w:ascii="Times New Roman" w:hAnsi="Times New Roman" w:cs="Times New Roman"/>
          <w:sz w:val="24"/>
          <w:szCs w:val="24"/>
        </w:rPr>
        <w:t>zwłaszcza</w:t>
      </w:r>
      <w:r>
        <w:rPr>
          <w:rFonts w:ascii="Times New Roman" w:hAnsi="Times New Roman" w:cs="Times New Roman"/>
          <w:sz w:val="24"/>
          <w:szCs w:val="24"/>
        </w:rPr>
        <w:t xml:space="preserve"> tych rodzajów artykułów, które nie są </w:t>
      </w:r>
      <w:r w:rsidR="00563601">
        <w:rPr>
          <w:rFonts w:ascii="Times New Roman" w:hAnsi="Times New Roman" w:cs="Times New Roman"/>
          <w:sz w:val="24"/>
          <w:szCs w:val="24"/>
        </w:rPr>
        <w:t>przedmiotem zamówień publicznych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D3C">
        <w:rPr>
          <w:rFonts w:ascii="Times New Roman" w:hAnsi="Times New Roman" w:cs="Times New Roman"/>
          <w:sz w:val="24"/>
          <w:szCs w:val="24"/>
        </w:rPr>
        <w:t>z uwagi na szczególne wymogi przechowywania czy podatność na zmarnowanie</w:t>
      </w:r>
      <w:r w:rsidR="00563601">
        <w:rPr>
          <w:rFonts w:ascii="Times New Roman" w:hAnsi="Times New Roman" w:cs="Times New Roman"/>
          <w:sz w:val="24"/>
          <w:szCs w:val="24"/>
        </w:rPr>
        <w:t xml:space="preserve"> w procesie dostaw</w:t>
      </w:r>
      <w:r w:rsidR="00CA3D3C">
        <w:rPr>
          <w:rFonts w:ascii="Times New Roman" w:hAnsi="Times New Roman" w:cs="Times New Roman"/>
          <w:sz w:val="24"/>
          <w:szCs w:val="24"/>
        </w:rPr>
        <w:t xml:space="preserve"> (np. świeże owoce i</w:t>
      </w:r>
      <w:r w:rsidR="00563601">
        <w:rPr>
          <w:rFonts w:ascii="Times New Roman" w:hAnsi="Times New Roman" w:cs="Times New Roman"/>
          <w:sz w:val="24"/>
          <w:szCs w:val="24"/>
        </w:rPr>
        <w:t> </w:t>
      </w:r>
      <w:r w:rsidR="00CA3D3C">
        <w:rPr>
          <w:rFonts w:ascii="Times New Roman" w:hAnsi="Times New Roman" w:cs="Times New Roman"/>
          <w:sz w:val="24"/>
          <w:szCs w:val="24"/>
        </w:rPr>
        <w:t>warzywa, pieczywo, nabiał, itp.)</w:t>
      </w:r>
      <w:r w:rsidR="00563601">
        <w:rPr>
          <w:rFonts w:ascii="Times New Roman" w:hAnsi="Times New Roman" w:cs="Times New Roman"/>
          <w:sz w:val="24"/>
          <w:szCs w:val="24"/>
        </w:rPr>
        <w:t>. Ma to istotne znaczenie dla zapewnienia różnorodnej i</w:t>
      </w:r>
      <w:r w:rsidR="00FB51C6">
        <w:rPr>
          <w:rFonts w:ascii="Times New Roman" w:hAnsi="Times New Roman" w:cs="Times New Roman"/>
          <w:sz w:val="24"/>
          <w:szCs w:val="24"/>
        </w:rPr>
        <w:t> </w:t>
      </w:r>
      <w:r w:rsidR="00563601">
        <w:rPr>
          <w:rFonts w:ascii="Times New Roman" w:hAnsi="Times New Roman" w:cs="Times New Roman"/>
          <w:sz w:val="24"/>
          <w:szCs w:val="24"/>
        </w:rPr>
        <w:t>zbilansowanej pomocy żywnościowej odbiorcom końcowym programu.</w:t>
      </w:r>
      <w:r w:rsidR="002B1FDB">
        <w:rPr>
          <w:rFonts w:ascii="Times New Roman" w:hAnsi="Times New Roman" w:cs="Times New Roman"/>
          <w:sz w:val="24"/>
          <w:szCs w:val="24"/>
        </w:rPr>
        <w:t xml:space="preserve"> </w:t>
      </w:r>
      <w:r w:rsidR="00E104B6" w:rsidRPr="00E104B6">
        <w:rPr>
          <w:rFonts w:ascii="Times New Roman" w:hAnsi="Times New Roman" w:cs="Times New Roman"/>
          <w:sz w:val="24"/>
          <w:szCs w:val="24"/>
        </w:rPr>
        <w:t xml:space="preserve">Dodatkowo, </w:t>
      </w:r>
      <w:r w:rsidR="00E104B6" w:rsidRPr="00E104B6">
        <w:rPr>
          <w:rFonts w:ascii="Times New Roman" w:hAnsi="Times New Roman" w:cs="Times New Roman"/>
          <w:sz w:val="24"/>
          <w:szCs w:val="24"/>
        </w:rPr>
        <w:lastRenderedPageBreak/>
        <w:t>żywność z</w:t>
      </w:r>
      <w:r w:rsidR="00E104B6">
        <w:rPr>
          <w:rFonts w:ascii="Times New Roman" w:hAnsi="Times New Roman" w:cs="Times New Roman"/>
          <w:sz w:val="24"/>
          <w:szCs w:val="24"/>
        </w:rPr>
        <w:t xml:space="preserve">e źródeł zewnętrznych </w:t>
      </w:r>
      <w:r w:rsidR="00E104B6" w:rsidRPr="00E104B6">
        <w:rPr>
          <w:rFonts w:ascii="Times New Roman" w:hAnsi="Times New Roman" w:cs="Times New Roman"/>
          <w:sz w:val="24"/>
          <w:szCs w:val="24"/>
        </w:rPr>
        <w:t xml:space="preserve">przyczyni się do zwiększenia częstotliwości </w:t>
      </w:r>
      <w:r w:rsidR="00481713">
        <w:rPr>
          <w:rFonts w:ascii="Times New Roman" w:hAnsi="Times New Roman" w:cs="Times New Roman"/>
          <w:sz w:val="24"/>
          <w:szCs w:val="24"/>
        </w:rPr>
        <w:t xml:space="preserve">i ciągłości </w:t>
      </w:r>
      <w:r w:rsidR="00E104B6" w:rsidRPr="00E104B6">
        <w:rPr>
          <w:rFonts w:ascii="Times New Roman" w:hAnsi="Times New Roman" w:cs="Times New Roman"/>
          <w:sz w:val="24"/>
          <w:szCs w:val="24"/>
        </w:rPr>
        <w:t>wydawania pomocy</w:t>
      </w:r>
      <w:r w:rsidR="00E104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39ADFA" w14:textId="60A6CE11" w:rsidR="00FB51C6" w:rsidRDefault="002B1FDB" w:rsidP="00EC18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Włączenie</w:t>
      </w:r>
      <w:r w:rsidR="002B681A">
        <w:rPr>
          <w:rFonts w:ascii="Times New Roman" w:hAnsi="Times New Roman" w:cs="Times New Roman"/>
          <w:sz w:val="24"/>
          <w:szCs w:val="24"/>
        </w:rPr>
        <w:t xml:space="preserve"> </w:t>
      </w:r>
      <w:r w:rsidR="00320870">
        <w:rPr>
          <w:rFonts w:ascii="Times New Roman" w:hAnsi="Times New Roman" w:cs="Times New Roman"/>
          <w:sz w:val="24"/>
          <w:szCs w:val="24"/>
        </w:rPr>
        <w:t xml:space="preserve">do </w:t>
      </w:r>
      <w:r w:rsidR="003E29F2">
        <w:rPr>
          <w:rFonts w:ascii="Times New Roman" w:hAnsi="Times New Roman" w:cs="Times New Roman"/>
          <w:sz w:val="24"/>
          <w:szCs w:val="24"/>
        </w:rPr>
        <w:t>P</w:t>
      </w:r>
      <w:r w:rsidR="00320870">
        <w:rPr>
          <w:rFonts w:ascii="Times New Roman" w:hAnsi="Times New Roman" w:cs="Times New Roman"/>
          <w:sz w:val="24"/>
          <w:szCs w:val="24"/>
        </w:rPr>
        <w:t>rogramu</w:t>
      </w:r>
      <w:r w:rsidR="002B681A">
        <w:rPr>
          <w:rFonts w:ascii="Times New Roman" w:hAnsi="Times New Roman" w:cs="Times New Roman"/>
          <w:sz w:val="24"/>
          <w:szCs w:val="24"/>
        </w:rPr>
        <w:t xml:space="preserve"> </w:t>
      </w:r>
      <w:r w:rsidR="001C09CD">
        <w:rPr>
          <w:rFonts w:ascii="Times New Roman" w:hAnsi="Times New Roman" w:cs="Times New Roman"/>
          <w:sz w:val="24"/>
          <w:szCs w:val="24"/>
        </w:rPr>
        <w:t xml:space="preserve">operacji wspierającej dystrybucję </w:t>
      </w:r>
      <w:r w:rsidR="002B681A">
        <w:rPr>
          <w:rFonts w:ascii="Times New Roman" w:hAnsi="Times New Roman" w:cs="Times New Roman"/>
          <w:sz w:val="24"/>
          <w:szCs w:val="24"/>
        </w:rPr>
        <w:t xml:space="preserve">żywności pochodzącej z darowizn przyczyni się do </w:t>
      </w:r>
      <w:r w:rsidR="00320870">
        <w:rPr>
          <w:rFonts w:ascii="Times New Roman" w:hAnsi="Times New Roman" w:cs="Times New Roman"/>
          <w:sz w:val="24"/>
          <w:szCs w:val="24"/>
        </w:rPr>
        <w:t>lepsze</w:t>
      </w:r>
      <w:r w:rsidR="002B681A">
        <w:rPr>
          <w:rFonts w:ascii="Times New Roman" w:hAnsi="Times New Roman" w:cs="Times New Roman"/>
          <w:sz w:val="24"/>
          <w:szCs w:val="24"/>
        </w:rPr>
        <w:t>go</w:t>
      </w:r>
      <w:r w:rsidR="00320870">
        <w:rPr>
          <w:rFonts w:ascii="Times New Roman" w:hAnsi="Times New Roman" w:cs="Times New Roman"/>
          <w:sz w:val="24"/>
          <w:szCs w:val="24"/>
        </w:rPr>
        <w:t xml:space="preserve"> ukierunkowani</w:t>
      </w:r>
      <w:r w:rsidR="002B681A">
        <w:rPr>
          <w:rFonts w:ascii="Times New Roman" w:hAnsi="Times New Roman" w:cs="Times New Roman"/>
          <w:sz w:val="24"/>
          <w:szCs w:val="24"/>
        </w:rPr>
        <w:t>a</w:t>
      </w:r>
      <w:r w:rsidR="00320870">
        <w:rPr>
          <w:rFonts w:ascii="Times New Roman" w:hAnsi="Times New Roman" w:cs="Times New Roman"/>
          <w:sz w:val="24"/>
          <w:szCs w:val="24"/>
        </w:rPr>
        <w:t xml:space="preserve"> tej formy pomocy świadczonej przez organizacje partnerskie</w:t>
      </w:r>
      <w:r w:rsidR="002B681A">
        <w:rPr>
          <w:rFonts w:ascii="Times New Roman" w:hAnsi="Times New Roman" w:cs="Times New Roman"/>
          <w:sz w:val="24"/>
          <w:szCs w:val="24"/>
        </w:rPr>
        <w:t xml:space="preserve"> w ramach ich działalności statutowej oraz </w:t>
      </w:r>
      <w:r w:rsidR="00E53ED5">
        <w:rPr>
          <w:rFonts w:ascii="Times New Roman" w:hAnsi="Times New Roman" w:cs="Times New Roman"/>
          <w:sz w:val="24"/>
          <w:szCs w:val="24"/>
        </w:rPr>
        <w:t>realizacji zadań ustawowych w obszarze przeciwdziałania marnowaniu żywności.</w:t>
      </w:r>
      <w:r w:rsidR="001C09CD">
        <w:rPr>
          <w:rFonts w:ascii="Times New Roman" w:hAnsi="Times New Roman" w:cs="Times New Roman"/>
          <w:sz w:val="24"/>
          <w:szCs w:val="24"/>
        </w:rPr>
        <w:t xml:space="preserve"> </w:t>
      </w:r>
      <w:r w:rsidR="00E53ED5">
        <w:rPr>
          <w:rFonts w:ascii="Times New Roman" w:hAnsi="Times New Roman" w:cs="Times New Roman"/>
          <w:sz w:val="24"/>
          <w:szCs w:val="24"/>
        </w:rPr>
        <w:t xml:space="preserve">Powyższe </w:t>
      </w:r>
      <w:r w:rsidR="00320870">
        <w:rPr>
          <w:rFonts w:ascii="Times New Roman" w:hAnsi="Times New Roman" w:cs="Times New Roman"/>
          <w:sz w:val="24"/>
          <w:szCs w:val="24"/>
        </w:rPr>
        <w:t xml:space="preserve">wpisuje się w realizację </w:t>
      </w:r>
      <w:r w:rsidR="00E53ED5">
        <w:rPr>
          <w:rFonts w:ascii="Times New Roman" w:hAnsi="Times New Roman" w:cs="Times New Roman"/>
          <w:sz w:val="24"/>
          <w:szCs w:val="24"/>
        </w:rPr>
        <w:t xml:space="preserve">zalecenia </w:t>
      </w:r>
      <w:r w:rsidR="00320870">
        <w:rPr>
          <w:rFonts w:ascii="Times New Roman" w:hAnsi="Times New Roman" w:cs="Times New Roman"/>
          <w:sz w:val="24"/>
          <w:szCs w:val="24"/>
        </w:rPr>
        <w:t>Europejskiego Trybunału Obrachunkowego</w:t>
      </w:r>
      <w:r w:rsidR="002B681A">
        <w:rPr>
          <w:rFonts w:ascii="Times New Roman" w:hAnsi="Times New Roman" w:cs="Times New Roman"/>
          <w:sz w:val="24"/>
          <w:szCs w:val="24"/>
        </w:rPr>
        <w:t xml:space="preserve"> z</w:t>
      </w:r>
      <w:r w:rsidR="00E53ED5">
        <w:rPr>
          <w:rFonts w:ascii="Times New Roman" w:hAnsi="Times New Roman" w:cs="Times New Roman"/>
          <w:sz w:val="24"/>
          <w:szCs w:val="24"/>
        </w:rPr>
        <w:t> </w:t>
      </w:r>
      <w:r w:rsidR="002B681A">
        <w:rPr>
          <w:rFonts w:ascii="Times New Roman" w:hAnsi="Times New Roman" w:cs="Times New Roman"/>
          <w:sz w:val="24"/>
          <w:szCs w:val="24"/>
        </w:rPr>
        <w:t>2019 r.</w:t>
      </w:r>
      <w:r w:rsidR="00522F8F">
        <w:rPr>
          <w:rFonts w:ascii="Times New Roman" w:hAnsi="Times New Roman" w:cs="Times New Roman"/>
          <w:sz w:val="24"/>
          <w:szCs w:val="24"/>
        </w:rPr>
        <w:t xml:space="preserve"> dotyczącego adresowania wsparcia</w:t>
      </w:r>
      <w:r w:rsidR="007F482F">
        <w:rPr>
          <w:rFonts w:ascii="Times New Roman" w:hAnsi="Times New Roman" w:cs="Times New Roman"/>
          <w:sz w:val="24"/>
          <w:szCs w:val="24"/>
        </w:rPr>
        <w:t xml:space="preserve"> do grup docelowych</w:t>
      </w:r>
      <w:r w:rsidR="00522F8F">
        <w:rPr>
          <w:rFonts w:ascii="Times New Roman" w:hAnsi="Times New Roman" w:cs="Times New Roman"/>
          <w:sz w:val="24"/>
          <w:szCs w:val="24"/>
        </w:rPr>
        <w:t>, zdefiniowanych na podstawie</w:t>
      </w:r>
      <w:r w:rsidR="007F482F">
        <w:rPr>
          <w:rFonts w:ascii="Times New Roman" w:hAnsi="Times New Roman" w:cs="Times New Roman"/>
          <w:sz w:val="24"/>
          <w:szCs w:val="24"/>
        </w:rPr>
        <w:t xml:space="preserve"> przejrzystych kryteriów</w:t>
      </w:r>
      <w:r w:rsidR="007F482F">
        <w:rPr>
          <w:rStyle w:val="Odwoanieprzypisudolnego"/>
          <w:sz w:val="24"/>
          <w:szCs w:val="24"/>
        </w:rPr>
        <w:footnoteReference w:id="8"/>
      </w:r>
      <w:r w:rsidR="007F482F">
        <w:rPr>
          <w:rFonts w:ascii="Times New Roman" w:hAnsi="Times New Roman" w:cs="Times New Roman"/>
          <w:sz w:val="24"/>
          <w:szCs w:val="24"/>
        </w:rPr>
        <w:t>.</w:t>
      </w:r>
      <w:r w:rsidR="00522F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4BF57" w14:textId="0164CF42" w:rsidR="00E104B6" w:rsidRDefault="006F09D5" w:rsidP="00EC18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Wskazane </w:t>
      </w:r>
      <w:r w:rsidR="00FB51C6">
        <w:rPr>
          <w:rFonts w:ascii="Times New Roman" w:hAnsi="Times New Roman" w:cs="Times New Roman"/>
          <w:sz w:val="24"/>
          <w:szCs w:val="24"/>
        </w:rPr>
        <w:t xml:space="preserve">cele powinny zostać osiągnięte dzięki udostępnieniu organizacjom partnerskim środków na obsługę dystrybucji żywności darowanej  (operacja II a </w:t>
      </w:r>
      <w:r w:rsidR="00C46087" w:rsidRPr="007A7357">
        <w:rPr>
          <w:rFonts w:ascii="Times New Roman" w:hAnsi="Times New Roman" w:cs="Times New Roman"/>
          <w:sz w:val="24"/>
          <w:szCs w:val="24"/>
        </w:rPr>
        <w:t>opisan</w:t>
      </w:r>
      <w:r w:rsidR="00FB51C6">
        <w:rPr>
          <w:rFonts w:ascii="Times New Roman" w:hAnsi="Times New Roman" w:cs="Times New Roman"/>
          <w:sz w:val="24"/>
          <w:szCs w:val="24"/>
        </w:rPr>
        <w:t>a</w:t>
      </w:r>
      <w:r w:rsidR="00C46087" w:rsidRPr="007A7357">
        <w:rPr>
          <w:rFonts w:ascii="Times New Roman" w:hAnsi="Times New Roman" w:cs="Times New Roman"/>
          <w:sz w:val="24"/>
          <w:szCs w:val="24"/>
        </w:rPr>
        <w:t xml:space="preserve"> w pkt 6.3.</w:t>
      </w:r>
      <w:r w:rsidR="00FB51C6">
        <w:rPr>
          <w:rFonts w:ascii="Times New Roman" w:hAnsi="Times New Roman" w:cs="Times New Roman"/>
          <w:sz w:val="24"/>
          <w:szCs w:val="24"/>
        </w:rPr>
        <w:t>).</w:t>
      </w:r>
    </w:p>
    <w:p w14:paraId="122F153B" w14:textId="77777777" w:rsidR="003D1E2E" w:rsidRDefault="003D1E2E" w:rsidP="00EC18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2C6D4" w14:textId="04EEEB72" w:rsidR="00891D93" w:rsidRPr="007A7357" w:rsidRDefault="002B6644" w:rsidP="007A73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2.2.3. </w:t>
      </w:r>
      <w:r w:rsidR="00262A8B">
        <w:rPr>
          <w:rFonts w:ascii="Times New Roman" w:hAnsi="Times New Roman" w:cs="Times New Roman"/>
          <w:b/>
          <w:bCs/>
          <w:sz w:val="24"/>
          <w:szCs w:val="24"/>
        </w:rPr>
        <w:t>Zróżnicowanie</w:t>
      </w:r>
      <w:r w:rsidR="00182F8D">
        <w:rPr>
          <w:rFonts w:ascii="Times New Roman" w:hAnsi="Times New Roman" w:cs="Times New Roman"/>
          <w:b/>
          <w:bCs/>
          <w:sz w:val="24"/>
          <w:szCs w:val="24"/>
        </w:rPr>
        <w:t xml:space="preserve"> oferty </w:t>
      </w:r>
      <w:r w:rsidR="00262A8B">
        <w:rPr>
          <w:rFonts w:ascii="Times New Roman" w:hAnsi="Times New Roman" w:cs="Times New Roman"/>
          <w:b/>
          <w:bCs/>
          <w:sz w:val="24"/>
          <w:szCs w:val="24"/>
        </w:rPr>
        <w:t>i w</w:t>
      </w:r>
      <w:r w:rsidR="00E104B6" w:rsidRPr="007A7357">
        <w:rPr>
          <w:rFonts w:ascii="Times New Roman" w:hAnsi="Times New Roman" w:cs="Times New Roman"/>
          <w:b/>
          <w:bCs/>
          <w:sz w:val="24"/>
          <w:szCs w:val="24"/>
        </w:rPr>
        <w:t>iększy udział odbiorców pomocy żywnościowej w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104B6" w:rsidRPr="007A7357">
        <w:rPr>
          <w:rFonts w:ascii="Times New Roman" w:hAnsi="Times New Roman" w:cs="Times New Roman"/>
          <w:b/>
          <w:bCs/>
          <w:sz w:val="24"/>
          <w:szCs w:val="24"/>
        </w:rPr>
        <w:t>działaniach towarzyszących</w:t>
      </w:r>
    </w:p>
    <w:p w14:paraId="3088CCA5" w14:textId="77777777" w:rsidR="00801B3B" w:rsidRDefault="00D41037" w:rsidP="002B6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jest zapewnienie, aby jak największa liczba odbiorców końcowych </w:t>
      </w:r>
      <w:r w:rsidR="003E29F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rogramu została objęta działaniami towarzyszącymi. </w:t>
      </w:r>
      <w:r w:rsidR="00360DD4">
        <w:rPr>
          <w:rFonts w:ascii="Times New Roman" w:hAnsi="Times New Roman" w:cs="Times New Roman"/>
          <w:sz w:val="24"/>
          <w:szCs w:val="24"/>
        </w:rPr>
        <w:t xml:space="preserve">Określenie zakładanej </w:t>
      </w:r>
      <w:r w:rsidR="003E29F2">
        <w:rPr>
          <w:rFonts w:ascii="Times New Roman" w:hAnsi="Times New Roman" w:cs="Times New Roman"/>
          <w:sz w:val="24"/>
          <w:szCs w:val="24"/>
        </w:rPr>
        <w:t xml:space="preserve">liczby </w:t>
      </w:r>
      <w:r w:rsidR="00360DD4">
        <w:rPr>
          <w:rFonts w:ascii="Times New Roman" w:hAnsi="Times New Roman" w:cs="Times New Roman"/>
          <w:sz w:val="24"/>
          <w:szCs w:val="24"/>
        </w:rPr>
        <w:t>docelowej nie jest możliwe z</w:t>
      </w:r>
      <w:r w:rsidR="003E29F2">
        <w:rPr>
          <w:rFonts w:ascii="Times New Roman" w:hAnsi="Times New Roman" w:cs="Times New Roman"/>
          <w:sz w:val="24"/>
          <w:szCs w:val="24"/>
        </w:rPr>
        <w:t> </w:t>
      </w:r>
      <w:r w:rsidR="00360DD4">
        <w:rPr>
          <w:rFonts w:ascii="Times New Roman" w:hAnsi="Times New Roman" w:cs="Times New Roman"/>
          <w:sz w:val="24"/>
          <w:szCs w:val="24"/>
        </w:rPr>
        <w:t>uwagi na dobrowolność uczestnictwa w tych działaniach oraz fakt, że pomoc żywnościowa nie jest</w:t>
      </w:r>
      <w:r w:rsidR="00182F8D">
        <w:rPr>
          <w:rFonts w:ascii="Times New Roman" w:hAnsi="Times New Roman" w:cs="Times New Roman"/>
          <w:sz w:val="24"/>
          <w:szCs w:val="24"/>
        </w:rPr>
        <w:t xml:space="preserve"> </w:t>
      </w:r>
      <w:r w:rsidR="003E29F2">
        <w:rPr>
          <w:rFonts w:ascii="Times New Roman" w:hAnsi="Times New Roman" w:cs="Times New Roman"/>
          <w:sz w:val="24"/>
          <w:szCs w:val="24"/>
        </w:rPr>
        <w:t xml:space="preserve">w </w:t>
      </w:r>
      <w:r w:rsidR="00182F8D">
        <w:rPr>
          <w:rFonts w:ascii="Times New Roman" w:hAnsi="Times New Roman" w:cs="Times New Roman"/>
          <w:sz w:val="24"/>
          <w:szCs w:val="24"/>
        </w:rPr>
        <w:t>żaden sposób uwarunkowana udział</w:t>
      </w:r>
      <w:r w:rsidR="003E29F2">
        <w:rPr>
          <w:rFonts w:ascii="Times New Roman" w:hAnsi="Times New Roman" w:cs="Times New Roman"/>
          <w:sz w:val="24"/>
          <w:szCs w:val="24"/>
        </w:rPr>
        <w:t>em</w:t>
      </w:r>
      <w:r w:rsidR="00182F8D">
        <w:rPr>
          <w:rFonts w:ascii="Times New Roman" w:hAnsi="Times New Roman" w:cs="Times New Roman"/>
          <w:sz w:val="24"/>
          <w:szCs w:val="24"/>
        </w:rPr>
        <w:t xml:space="preserve"> w działaniach na rzecz włączenia społecznego. </w:t>
      </w:r>
    </w:p>
    <w:p w14:paraId="5FD409DE" w14:textId="6E2DC0A5" w:rsidR="00801B3B" w:rsidRDefault="00182F8D" w:rsidP="002B6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osiągnięcia tego celu niezbędne jest zwiększenie </w:t>
      </w:r>
      <w:r w:rsidR="003E29F2">
        <w:rPr>
          <w:rFonts w:ascii="Times New Roman" w:hAnsi="Times New Roman" w:cs="Times New Roman"/>
          <w:sz w:val="24"/>
          <w:szCs w:val="24"/>
        </w:rPr>
        <w:t xml:space="preserve">całkowitej </w:t>
      </w:r>
      <w:r>
        <w:rPr>
          <w:rFonts w:ascii="Times New Roman" w:hAnsi="Times New Roman" w:cs="Times New Roman"/>
          <w:sz w:val="24"/>
          <w:szCs w:val="24"/>
        </w:rPr>
        <w:t>liczby działań towarzyszących p</w:t>
      </w:r>
      <w:r w:rsidR="003E29F2">
        <w:rPr>
          <w:rFonts w:ascii="Times New Roman" w:hAnsi="Times New Roman" w:cs="Times New Roman"/>
          <w:sz w:val="24"/>
          <w:szCs w:val="24"/>
        </w:rPr>
        <w:t xml:space="preserve">rzeprowadzanych </w:t>
      </w:r>
      <w:r>
        <w:rPr>
          <w:rFonts w:ascii="Times New Roman" w:hAnsi="Times New Roman" w:cs="Times New Roman"/>
          <w:sz w:val="24"/>
          <w:szCs w:val="24"/>
        </w:rPr>
        <w:t>przez organizacje partnerskie</w:t>
      </w:r>
      <w:r w:rsidR="00136CBE">
        <w:rPr>
          <w:rFonts w:ascii="Times New Roman" w:hAnsi="Times New Roman" w:cs="Times New Roman"/>
          <w:sz w:val="24"/>
          <w:szCs w:val="24"/>
        </w:rPr>
        <w:t xml:space="preserve"> oraz poszerzenie</w:t>
      </w:r>
      <w:r w:rsidR="003E29F2">
        <w:rPr>
          <w:rFonts w:ascii="Times New Roman" w:hAnsi="Times New Roman" w:cs="Times New Roman"/>
          <w:sz w:val="24"/>
          <w:szCs w:val="24"/>
        </w:rPr>
        <w:t xml:space="preserve"> ich zakresu tematycznego dla zwiększenia atrakcyjności i przydatności z punktu widzenia różnych grup odbiorców końcowych.</w:t>
      </w:r>
      <w:r w:rsidR="00801B3B">
        <w:rPr>
          <w:rFonts w:ascii="Times New Roman" w:hAnsi="Times New Roman" w:cs="Times New Roman"/>
          <w:sz w:val="24"/>
          <w:szCs w:val="24"/>
        </w:rPr>
        <w:t xml:space="preserve"> Działania towarzyszące muszą wykraczać poza zagadnienia związane bezpośrednio z żywnością</w:t>
      </w:r>
      <w:r w:rsidR="00415BE0">
        <w:rPr>
          <w:rFonts w:ascii="Times New Roman" w:hAnsi="Times New Roman" w:cs="Times New Roman"/>
          <w:sz w:val="24"/>
          <w:szCs w:val="24"/>
        </w:rPr>
        <w:t xml:space="preserve"> i prowadzeniem gospodarstwa domowego, przy jednoczesnym zapewnieniu praktycznego wsparcia przy rozwiązywaniu konkretnych problemów oraz aktywn</w:t>
      </w:r>
      <w:r w:rsidR="006E0675">
        <w:rPr>
          <w:rFonts w:ascii="Times New Roman" w:hAnsi="Times New Roman" w:cs="Times New Roman"/>
          <w:sz w:val="24"/>
          <w:szCs w:val="24"/>
        </w:rPr>
        <w:t>ego</w:t>
      </w:r>
      <w:r w:rsidR="00415BE0">
        <w:rPr>
          <w:rFonts w:ascii="Times New Roman" w:hAnsi="Times New Roman" w:cs="Times New Roman"/>
          <w:sz w:val="24"/>
          <w:szCs w:val="24"/>
        </w:rPr>
        <w:t xml:space="preserve"> zaangażowania odbiorców (poradnictwo, instruktaż, kontakt z właściwymi instytucjami, itp.)</w:t>
      </w:r>
      <w:r w:rsidR="006E0675">
        <w:rPr>
          <w:rFonts w:ascii="Times New Roman" w:hAnsi="Times New Roman" w:cs="Times New Roman"/>
          <w:sz w:val="24"/>
          <w:szCs w:val="24"/>
        </w:rPr>
        <w:t>. Powyższe rozwiązania wpisują się w realizację zalecenia ETO w obszarze działań na rzecz włączenia społecznego</w:t>
      </w:r>
      <w:r w:rsidR="006E0675">
        <w:rPr>
          <w:rStyle w:val="Odwoanieprzypisudolnego"/>
          <w:sz w:val="24"/>
          <w:szCs w:val="24"/>
        </w:rPr>
        <w:footnoteReference w:id="9"/>
      </w:r>
      <w:r w:rsidR="006E06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BF3245" w14:textId="311AF91B" w:rsidR="00E104B6" w:rsidRPr="007A7357" w:rsidRDefault="00E104B6" w:rsidP="007A73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F5C2FB" w14:textId="59C2718F" w:rsidR="009B72D0" w:rsidRPr="007A7357" w:rsidRDefault="002B6644" w:rsidP="002B66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2.2.4. </w:t>
      </w:r>
      <w:r w:rsidR="009B72D0">
        <w:rPr>
          <w:rFonts w:ascii="Times New Roman" w:hAnsi="Times New Roman" w:cs="Times New Roman"/>
          <w:b/>
          <w:bCs/>
          <w:sz w:val="24"/>
          <w:szCs w:val="24"/>
        </w:rPr>
        <w:t>Zapewnienie większej</w:t>
      </w:r>
      <w:r w:rsidR="00C46087" w:rsidRPr="007A7357">
        <w:rPr>
          <w:rFonts w:ascii="Times New Roman" w:hAnsi="Times New Roman" w:cs="Times New Roman"/>
          <w:b/>
          <w:bCs/>
          <w:sz w:val="24"/>
          <w:szCs w:val="24"/>
        </w:rPr>
        <w:t xml:space="preserve"> komplementarności</w:t>
      </w:r>
      <w:r w:rsidR="00D12916" w:rsidRPr="007A73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6087" w:rsidRPr="007A7357">
        <w:rPr>
          <w:rFonts w:ascii="Times New Roman" w:hAnsi="Times New Roman" w:cs="Times New Roman"/>
          <w:b/>
          <w:bCs/>
          <w:sz w:val="24"/>
          <w:szCs w:val="24"/>
        </w:rPr>
        <w:t xml:space="preserve">pomiędzy FEPŻ a innymi formami pomocy </w:t>
      </w:r>
      <w:r w:rsidR="00D12916" w:rsidRPr="007A7357">
        <w:rPr>
          <w:rFonts w:ascii="Times New Roman" w:hAnsi="Times New Roman" w:cs="Times New Roman"/>
          <w:b/>
          <w:bCs/>
          <w:sz w:val="24"/>
          <w:szCs w:val="24"/>
        </w:rPr>
        <w:t>w ramach EFS+</w:t>
      </w:r>
      <w:r w:rsidR="003C020C">
        <w:rPr>
          <w:rFonts w:ascii="Times New Roman" w:hAnsi="Times New Roman" w:cs="Times New Roman"/>
          <w:b/>
          <w:bCs/>
          <w:sz w:val="24"/>
          <w:szCs w:val="24"/>
        </w:rPr>
        <w:t xml:space="preserve"> dzięki lepszej widoczności Programu</w:t>
      </w:r>
    </w:p>
    <w:p w14:paraId="4D4C5743" w14:textId="77777777" w:rsidR="00AC02B6" w:rsidRDefault="003F1BD0" w:rsidP="002B6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jest zapewnienie dostępu do informacji o Programie jak największej liczbie potencjalnych odbiorców końcowych, przy jednoczesnym zwiększeniu jego widoczności wśród beneficjentów realizujących projekty współfinansowane ze środków EFS+</w:t>
      </w:r>
      <w:r w:rsidR="00AC02B6">
        <w:rPr>
          <w:rFonts w:ascii="Times New Roman" w:hAnsi="Times New Roman" w:cs="Times New Roman"/>
          <w:sz w:val="24"/>
          <w:szCs w:val="24"/>
        </w:rPr>
        <w:t xml:space="preserve">, których odbiorcami mogą być odbiorcy końcowi pomocy żywnościowej. </w:t>
      </w:r>
    </w:p>
    <w:p w14:paraId="72D42DDC" w14:textId="2F8DD230" w:rsidR="00D12916" w:rsidRPr="007A7357" w:rsidRDefault="00AC02B6" w:rsidP="007A7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osiągnięcia tego celu niezbędna jest </w:t>
      </w:r>
      <w:r w:rsidR="00D12916" w:rsidRPr="007A7357">
        <w:rPr>
          <w:rFonts w:ascii="Times New Roman" w:hAnsi="Times New Roman" w:cs="Times New Roman"/>
          <w:sz w:val="24"/>
          <w:szCs w:val="24"/>
        </w:rPr>
        <w:t>intensyfikacja działań informacyjnych</w:t>
      </w:r>
      <w:r>
        <w:rPr>
          <w:rFonts w:ascii="Times New Roman" w:hAnsi="Times New Roman" w:cs="Times New Roman"/>
          <w:sz w:val="24"/>
          <w:szCs w:val="24"/>
        </w:rPr>
        <w:t xml:space="preserve"> i dywersyfikacja źródeł informacji o Programie. Będzie to możliwe dzięki włączeniu Programu do ogólnej strategii komunikacyjnej </w:t>
      </w:r>
      <w:r w:rsidR="00CF09D2">
        <w:rPr>
          <w:rFonts w:ascii="Times New Roman" w:hAnsi="Times New Roman" w:cs="Times New Roman"/>
          <w:sz w:val="24"/>
          <w:szCs w:val="24"/>
        </w:rPr>
        <w:t>funduszy europejskich na lata 2021-2027 w Polsce, w tym o</w:t>
      </w:r>
      <w:r w:rsidR="00CF09D2" w:rsidRPr="00CF09D2">
        <w:rPr>
          <w:rFonts w:ascii="Times New Roman" w:hAnsi="Times New Roman" w:cs="Times New Roman"/>
          <w:sz w:val="24"/>
          <w:szCs w:val="24"/>
        </w:rPr>
        <w:t>becność</w:t>
      </w:r>
      <w:r w:rsidR="00CF09D2">
        <w:rPr>
          <w:rFonts w:ascii="Times New Roman" w:hAnsi="Times New Roman" w:cs="Times New Roman"/>
          <w:sz w:val="24"/>
          <w:szCs w:val="24"/>
        </w:rPr>
        <w:t xml:space="preserve"> </w:t>
      </w:r>
      <w:r w:rsidR="00CF09D2" w:rsidRPr="00CF09D2">
        <w:rPr>
          <w:rFonts w:ascii="Times New Roman" w:hAnsi="Times New Roman" w:cs="Times New Roman"/>
          <w:sz w:val="24"/>
          <w:szCs w:val="24"/>
        </w:rPr>
        <w:lastRenderedPageBreak/>
        <w:t>FEPŻ na stronie internetowej Fundusze Europejskie</w:t>
      </w:r>
      <w:r w:rsidR="00CF09D2">
        <w:rPr>
          <w:rFonts w:ascii="Times New Roman" w:hAnsi="Times New Roman" w:cs="Times New Roman"/>
          <w:sz w:val="24"/>
          <w:szCs w:val="24"/>
        </w:rPr>
        <w:t xml:space="preserve"> oraz wyszukiwarce projektów współfinansowanych z EFS+, co zapewni dostęp do</w:t>
      </w:r>
      <w:r w:rsidR="00CF09D2" w:rsidRPr="00CF09D2">
        <w:rPr>
          <w:rFonts w:ascii="Times New Roman" w:hAnsi="Times New Roman" w:cs="Times New Roman"/>
          <w:sz w:val="24"/>
          <w:szCs w:val="24"/>
        </w:rPr>
        <w:t xml:space="preserve"> danych teleadresowych OPO/OPR/OPL </w:t>
      </w:r>
      <w:r w:rsidR="0027393F" w:rsidRPr="00CF09D2">
        <w:rPr>
          <w:rFonts w:ascii="Times New Roman" w:hAnsi="Times New Roman" w:cs="Times New Roman"/>
          <w:sz w:val="24"/>
          <w:szCs w:val="24"/>
        </w:rPr>
        <w:t>potencjalny</w:t>
      </w:r>
      <w:r w:rsidR="0027393F">
        <w:rPr>
          <w:rFonts w:ascii="Times New Roman" w:hAnsi="Times New Roman" w:cs="Times New Roman"/>
          <w:sz w:val="24"/>
          <w:szCs w:val="24"/>
        </w:rPr>
        <w:t>m</w:t>
      </w:r>
      <w:r w:rsidR="0027393F" w:rsidRPr="00CF09D2">
        <w:rPr>
          <w:rFonts w:ascii="Times New Roman" w:hAnsi="Times New Roman" w:cs="Times New Roman"/>
          <w:sz w:val="24"/>
          <w:szCs w:val="24"/>
        </w:rPr>
        <w:t xml:space="preserve"> odbiorc</w:t>
      </w:r>
      <w:r w:rsidR="0027393F">
        <w:rPr>
          <w:rFonts w:ascii="Times New Roman" w:hAnsi="Times New Roman" w:cs="Times New Roman"/>
          <w:sz w:val="24"/>
          <w:szCs w:val="24"/>
        </w:rPr>
        <w:t>om</w:t>
      </w:r>
      <w:r w:rsidR="0027393F" w:rsidRPr="00CF09D2">
        <w:rPr>
          <w:rFonts w:ascii="Times New Roman" w:hAnsi="Times New Roman" w:cs="Times New Roman"/>
          <w:sz w:val="24"/>
          <w:szCs w:val="24"/>
        </w:rPr>
        <w:t xml:space="preserve"> końcowy</w:t>
      </w:r>
      <w:r w:rsidR="0027393F">
        <w:rPr>
          <w:rFonts w:ascii="Times New Roman" w:hAnsi="Times New Roman" w:cs="Times New Roman"/>
          <w:sz w:val="24"/>
          <w:szCs w:val="24"/>
        </w:rPr>
        <w:t>m FEPŻ oraz</w:t>
      </w:r>
      <w:r w:rsidR="0027393F" w:rsidRPr="00CF09D2">
        <w:rPr>
          <w:rFonts w:ascii="Times New Roman" w:hAnsi="Times New Roman" w:cs="Times New Roman"/>
          <w:sz w:val="24"/>
          <w:szCs w:val="24"/>
        </w:rPr>
        <w:t xml:space="preserve"> </w:t>
      </w:r>
      <w:r w:rsidR="00CF09D2" w:rsidRPr="00CF09D2">
        <w:rPr>
          <w:rFonts w:ascii="Times New Roman" w:hAnsi="Times New Roman" w:cs="Times New Roman"/>
          <w:sz w:val="24"/>
          <w:szCs w:val="24"/>
        </w:rPr>
        <w:t>realizator</w:t>
      </w:r>
      <w:r w:rsidR="0027393F">
        <w:rPr>
          <w:rFonts w:ascii="Times New Roman" w:hAnsi="Times New Roman" w:cs="Times New Roman"/>
          <w:sz w:val="24"/>
          <w:szCs w:val="24"/>
        </w:rPr>
        <w:t>om</w:t>
      </w:r>
      <w:r w:rsidR="00CF09D2" w:rsidRPr="00CF09D2">
        <w:rPr>
          <w:rFonts w:ascii="Times New Roman" w:hAnsi="Times New Roman" w:cs="Times New Roman"/>
          <w:sz w:val="24"/>
          <w:szCs w:val="24"/>
        </w:rPr>
        <w:t xml:space="preserve"> projektów EFS+</w:t>
      </w:r>
      <w:r w:rsidR="004701C3">
        <w:rPr>
          <w:rFonts w:ascii="Times New Roman" w:hAnsi="Times New Roman" w:cs="Times New Roman"/>
          <w:sz w:val="24"/>
          <w:szCs w:val="24"/>
        </w:rPr>
        <w:t>.</w:t>
      </w:r>
      <w:r w:rsidR="0091103D">
        <w:rPr>
          <w:rFonts w:ascii="Times New Roman" w:hAnsi="Times New Roman" w:cs="Times New Roman"/>
          <w:sz w:val="24"/>
          <w:szCs w:val="24"/>
        </w:rPr>
        <w:t xml:space="preserve"> Ponadto udostępnienie i</w:t>
      </w:r>
      <w:r w:rsidR="00CF09D2" w:rsidRPr="00CF09D2">
        <w:rPr>
          <w:rFonts w:ascii="Times New Roman" w:hAnsi="Times New Roman" w:cs="Times New Roman"/>
          <w:sz w:val="24"/>
          <w:szCs w:val="24"/>
        </w:rPr>
        <w:t>nformacji o Programie FEPŻ w Punktach Informacyjnych Funduszy Europejskich</w:t>
      </w:r>
      <w:r w:rsidR="0091103D">
        <w:rPr>
          <w:rFonts w:ascii="Times New Roman" w:hAnsi="Times New Roman" w:cs="Times New Roman"/>
          <w:sz w:val="24"/>
          <w:szCs w:val="24"/>
        </w:rPr>
        <w:t xml:space="preserve"> pozwoli na upowszechnienie wiedzy o Programie i oferowanych formach pomocy.</w:t>
      </w:r>
      <w:r w:rsidR="00A709DA">
        <w:rPr>
          <w:rFonts w:ascii="Times New Roman" w:hAnsi="Times New Roman" w:cs="Times New Roman"/>
          <w:sz w:val="24"/>
          <w:szCs w:val="24"/>
        </w:rPr>
        <w:t xml:space="preserve"> Powyższe będzie możliwe m.in. dzięki </w:t>
      </w:r>
      <w:r w:rsidR="00D12916" w:rsidRPr="007A7357">
        <w:rPr>
          <w:rFonts w:ascii="Times New Roman" w:hAnsi="Times New Roman" w:cs="Times New Roman"/>
          <w:sz w:val="24"/>
          <w:szCs w:val="24"/>
        </w:rPr>
        <w:t>wprowadzeni</w:t>
      </w:r>
      <w:r w:rsidR="00A709DA">
        <w:rPr>
          <w:rFonts w:ascii="Times New Roman" w:hAnsi="Times New Roman" w:cs="Times New Roman"/>
          <w:sz w:val="24"/>
          <w:szCs w:val="24"/>
        </w:rPr>
        <w:t>u</w:t>
      </w:r>
      <w:r w:rsidR="00D12916" w:rsidRPr="007A7357">
        <w:rPr>
          <w:rFonts w:ascii="Times New Roman" w:hAnsi="Times New Roman" w:cs="Times New Roman"/>
          <w:sz w:val="24"/>
          <w:szCs w:val="24"/>
        </w:rPr>
        <w:t xml:space="preserve"> funkcji koordynatorów w OPR</w:t>
      </w:r>
      <w:r w:rsidR="00A709DA">
        <w:rPr>
          <w:rFonts w:ascii="Times New Roman" w:hAnsi="Times New Roman" w:cs="Times New Roman"/>
          <w:sz w:val="24"/>
          <w:szCs w:val="24"/>
        </w:rPr>
        <w:t xml:space="preserve"> (opisanej w pkt.10.1.).</w:t>
      </w:r>
      <w:r w:rsidR="00D12916" w:rsidRPr="007A73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6F7BA" w14:textId="77777777" w:rsidR="00601C9C" w:rsidRDefault="00601C9C" w:rsidP="00A31E3D">
      <w:pPr>
        <w:pStyle w:val="Podtytu"/>
        <w:rPr>
          <w:rFonts w:ascii="Times New Roman" w:hAnsi="Times New Roman" w:cs="Times New Roman"/>
          <w:b/>
          <w:bCs/>
        </w:rPr>
      </w:pPr>
    </w:p>
    <w:p w14:paraId="6E09DDFD" w14:textId="6EC54AA2" w:rsidR="00EB5AC9" w:rsidRPr="00A31E3D" w:rsidRDefault="00E9172D" w:rsidP="00A31E3D">
      <w:pPr>
        <w:pStyle w:val="Podtytu"/>
        <w:rPr>
          <w:rFonts w:ascii="Times New Roman" w:hAnsi="Times New Roman" w:cs="Times New Roman"/>
          <w:b/>
          <w:bCs/>
        </w:rPr>
      </w:pPr>
      <w:r w:rsidRPr="00A31E3D">
        <w:rPr>
          <w:rFonts w:ascii="Times New Roman" w:hAnsi="Times New Roman" w:cs="Times New Roman"/>
          <w:b/>
          <w:bCs/>
        </w:rPr>
        <w:t>2.</w:t>
      </w:r>
      <w:r w:rsidR="001F2A96">
        <w:rPr>
          <w:rFonts w:ascii="Times New Roman" w:hAnsi="Times New Roman" w:cs="Times New Roman"/>
          <w:b/>
          <w:bCs/>
        </w:rPr>
        <w:t>3</w:t>
      </w:r>
      <w:r w:rsidRPr="00A31E3D">
        <w:rPr>
          <w:rFonts w:ascii="Times New Roman" w:hAnsi="Times New Roman" w:cs="Times New Roman"/>
          <w:b/>
          <w:bCs/>
        </w:rPr>
        <w:t xml:space="preserve">. Deprywacja materialna będąca przedmiotem </w:t>
      </w:r>
      <w:r w:rsidR="004371D3" w:rsidRPr="00A31E3D">
        <w:rPr>
          <w:rFonts w:ascii="Times New Roman" w:hAnsi="Times New Roman" w:cs="Times New Roman"/>
          <w:b/>
          <w:bCs/>
        </w:rPr>
        <w:t>po</w:t>
      </w:r>
      <w:r w:rsidRPr="00A31E3D">
        <w:rPr>
          <w:rFonts w:ascii="Times New Roman" w:hAnsi="Times New Roman" w:cs="Times New Roman"/>
          <w:b/>
          <w:bCs/>
        </w:rPr>
        <w:t xml:space="preserve">mocy </w:t>
      </w:r>
    </w:p>
    <w:p w14:paraId="0B9627F4" w14:textId="4E134B92" w:rsidR="00EB5AC9" w:rsidRPr="00A31E3D" w:rsidRDefault="00EB5AC9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W Polsce w 2019 r. liczba osób zagrożonych ubóstwem lub wykluczeniem społecznym wynosiła ok. 7 mln, co stanowiło ok. 18,2% całej ludności wobec 21% średnio w UE. Zagrożonych ubóstwem było ok. 6 mln osób (15,6% ludności), doświadczających pogłębionej deprywacji ok. 1,3 mln osób (ok. 3,5% ludności) i ok. 1,8 mln osób żyjących w gospodarstwach domowych z niską intensywnością pracy (4,7% ludności).</w:t>
      </w:r>
      <w:r w:rsidR="003428A2">
        <w:rPr>
          <w:rStyle w:val="Odwoanieprzypisudolnego"/>
          <w:sz w:val="24"/>
          <w:szCs w:val="24"/>
        </w:rPr>
        <w:footnoteReference w:id="10"/>
      </w:r>
    </w:p>
    <w:p w14:paraId="1A8764A1" w14:textId="31A288CA" w:rsidR="00EB5AC9" w:rsidRPr="00A31E3D" w:rsidRDefault="00EB5AC9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Osobom i rodzinom zagrożonym ubóstwem</w:t>
      </w:r>
      <w:r w:rsidR="00164AEB" w:rsidRPr="00A31E3D">
        <w:rPr>
          <w:rFonts w:ascii="Times New Roman" w:hAnsi="Times New Roman" w:cs="Times New Roman"/>
          <w:sz w:val="24"/>
          <w:szCs w:val="24"/>
        </w:rPr>
        <w:t xml:space="preserve"> skrajnym </w:t>
      </w:r>
      <w:r w:rsidRPr="00A31E3D">
        <w:rPr>
          <w:rFonts w:ascii="Times New Roman" w:hAnsi="Times New Roman" w:cs="Times New Roman"/>
          <w:sz w:val="24"/>
          <w:szCs w:val="24"/>
        </w:rPr>
        <w:t>wsparcie udzielane jest w ramach systemu pomocy społecznej</w:t>
      </w:r>
      <w:r w:rsidR="009530AA" w:rsidRPr="00D96EBB">
        <w:rPr>
          <w:rFonts w:ascii="Times New Roman" w:hAnsi="Times New Roman" w:cs="Times New Roman"/>
          <w:sz w:val="24"/>
          <w:szCs w:val="24"/>
          <w:vertAlign w:val="superscript"/>
        </w:rPr>
        <w:footnoteReference w:id="11"/>
      </w:r>
      <w:r w:rsidRPr="00A31E3D">
        <w:rPr>
          <w:rFonts w:ascii="Times New Roman" w:hAnsi="Times New Roman" w:cs="Times New Roman"/>
          <w:sz w:val="24"/>
          <w:szCs w:val="24"/>
        </w:rPr>
        <w:t xml:space="preserve">. W 2020 roku świadczenia pieniężne z pomocy społecznej przyznano </w:t>
      </w:r>
      <w:r w:rsidR="00F3374A">
        <w:rPr>
          <w:rFonts w:ascii="Times New Roman" w:hAnsi="Times New Roman" w:cs="Times New Roman"/>
          <w:sz w:val="24"/>
          <w:szCs w:val="24"/>
        </w:rPr>
        <w:t>prawie 700 tys.</w:t>
      </w:r>
      <w:r w:rsidRPr="00A31E3D">
        <w:rPr>
          <w:rFonts w:ascii="Times New Roman" w:hAnsi="Times New Roman" w:cs="Times New Roman"/>
          <w:sz w:val="24"/>
          <w:szCs w:val="24"/>
        </w:rPr>
        <w:t xml:space="preserve"> os</w:t>
      </w:r>
      <w:r w:rsidR="00F3374A">
        <w:rPr>
          <w:rFonts w:ascii="Times New Roman" w:hAnsi="Times New Roman" w:cs="Times New Roman"/>
          <w:sz w:val="24"/>
          <w:szCs w:val="24"/>
        </w:rPr>
        <w:t>ób</w:t>
      </w:r>
      <w:r w:rsidRPr="00A31E3D">
        <w:rPr>
          <w:rFonts w:ascii="Times New Roman" w:hAnsi="Times New Roman" w:cs="Times New Roman"/>
          <w:sz w:val="24"/>
          <w:szCs w:val="24"/>
        </w:rPr>
        <w:t xml:space="preserve"> z </w:t>
      </w:r>
      <w:r w:rsidR="00F3374A">
        <w:rPr>
          <w:rFonts w:ascii="Times New Roman" w:hAnsi="Times New Roman" w:cs="Times New Roman"/>
          <w:sz w:val="24"/>
          <w:szCs w:val="24"/>
        </w:rPr>
        <w:t>ok. 630 tys.</w:t>
      </w:r>
      <w:r w:rsidRPr="00A31E3D">
        <w:rPr>
          <w:rFonts w:ascii="Times New Roman" w:hAnsi="Times New Roman" w:cs="Times New Roman"/>
          <w:sz w:val="24"/>
          <w:szCs w:val="24"/>
        </w:rPr>
        <w:t xml:space="preserve"> rodzin. Natomiast liczba wszystkich osób w tych rodzinach wyniosła </w:t>
      </w:r>
      <w:r w:rsidR="00F3374A">
        <w:rPr>
          <w:rFonts w:ascii="Times New Roman" w:hAnsi="Times New Roman" w:cs="Times New Roman"/>
          <w:sz w:val="24"/>
          <w:szCs w:val="24"/>
        </w:rPr>
        <w:t>1,2 mln</w:t>
      </w:r>
      <w:r w:rsidRPr="00A31E3D">
        <w:rPr>
          <w:rFonts w:ascii="Times New Roman" w:hAnsi="Times New Roman" w:cs="Times New Roman"/>
          <w:sz w:val="24"/>
          <w:szCs w:val="24"/>
        </w:rPr>
        <w:t>. W porównaniu do 2019 roku liczba osób, którym przyznano świadczenia pieniężne z pomocy społecznej spadła o 2,25 %, a liczba rodzin tych osób spadła o 3,49 %.</w:t>
      </w:r>
    </w:p>
    <w:p w14:paraId="572C35AD" w14:textId="77777777" w:rsidR="00164AEB" w:rsidRPr="00A31E3D" w:rsidRDefault="00164AEB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Pomoc żywnościowa jest jednym ze świadczeń </w:t>
      </w:r>
      <w:r w:rsidR="00A31E3D" w:rsidRPr="00A31E3D">
        <w:rPr>
          <w:rFonts w:ascii="Times New Roman" w:hAnsi="Times New Roman" w:cs="Times New Roman"/>
          <w:sz w:val="24"/>
          <w:szCs w:val="24"/>
        </w:rPr>
        <w:t>udzielanych</w:t>
      </w:r>
      <w:r w:rsidRPr="00A31E3D">
        <w:rPr>
          <w:rFonts w:ascii="Times New Roman" w:hAnsi="Times New Roman" w:cs="Times New Roman"/>
          <w:sz w:val="24"/>
          <w:szCs w:val="24"/>
        </w:rPr>
        <w:t xml:space="preserve"> w ramach systemu pomocy społecznej zarówno w formie pieniężnej (zasiłek celowy na żywność), jak i rzeczowej (posiłek). W 2019 r. świadczenie w formie posiłku przyznano ok. 438 tys. osób, a w 2020 r. – ok. 360 tys. osób (spadek liczby odbiorców o ok. 18%). </w:t>
      </w:r>
    </w:p>
    <w:p w14:paraId="561408BC" w14:textId="77777777" w:rsidR="00C9688B" w:rsidRPr="00921C4E" w:rsidRDefault="00CE5059" w:rsidP="00A31E3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Z uwagi na relatywną poprawę sytuacji materialnej rodzin z dziećmi, m.in. dzięki świadczeniu wychowawczemu</w:t>
      </w:r>
      <w:r w:rsidRPr="00A31E3D">
        <w:rPr>
          <w:rFonts w:ascii="Times New Roman" w:hAnsi="Times New Roman" w:cs="Times New Roman"/>
          <w:sz w:val="24"/>
          <w:szCs w:val="24"/>
          <w:vertAlign w:val="superscript"/>
        </w:rPr>
        <w:footnoteReference w:id="12"/>
      </w:r>
      <w:r w:rsidRPr="00A31E3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31E3D">
        <w:rPr>
          <w:rFonts w:ascii="Times New Roman" w:hAnsi="Times New Roman" w:cs="Times New Roman"/>
          <w:sz w:val="24"/>
          <w:szCs w:val="24"/>
        </w:rPr>
        <w:t>(tzw. 500+), zainteresowanie pomocą żywnościową wśród części rodzin spad</w:t>
      </w:r>
      <w:r w:rsidR="00A31E3D">
        <w:rPr>
          <w:rFonts w:ascii="Times New Roman" w:hAnsi="Times New Roman" w:cs="Times New Roman"/>
          <w:sz w:val="24"/>
          <w:szCs w:val="24"/>
        </w:rPr>
        <w:t>a</w:t>
      </w:r>
      <w:r w:rsidR="00F02D34" w:rsidRPr="00A31E3D">
        <w:rPr>
          <w:rFonts w:ascii="Times New Roman" w:hAnsi="Times New Roman" w:cs="Times New Roman"/>
          <w:sz w:val="24"/>
          <w:szCs w:val="24"/>
          <w:vertAlign w:val="superscript"/>
        </w:rPr>
        <w:footnoteReference w:id="13"/>
      </w:r>
      <w:r w:rsidR="00740F20" w:rsidRPr="00A31E3D">
        <w:rPr>
          <w:rFonts w:ascii="Times New Roman" w:hAnsi="Times New Roman" w:cs="Times New Roman"/>
          <w:sz w:val="24"/>
          <w:szCs w:val="24"/>
        </w:rPr>
        <w:t>,</w:t>
      </w:r>
      <w:r w:rsidR="00A31E3D">
        <w:rPr>
          <w:rFonts w:ascii="Times New Roman" w:hAnsi="Times New Roman" w:cs="Times New Roman"/>
          <w:sz w:val="24"/>
          <w:szCs w:val="24"/>
        </w:rPr>
        <w:t xml:space="preserve"> </w:t>
      </w:r>
      <w:r w:rsidR="00740F20" w:rsidRPr="00A31E3D">
        <w:rPr>
          <w:rFonts w:ascii="Times New Roman" w:hAnsi="Times New Roman" w:cs="Times New Roman"/>
          <w:sz w:val="24"/>
          <w:szCs w:val="24"/>
        </w:rPr>
        <w:t>natomiast zwiększa się udział osób starszych powyżej 65 roku życia wśród beneficjentów tej formy pomocy</w:t>
      </w:r>
      <w:r w:rsidR="00365187">
        <w:rPr>
          <w:rFonts w:ascii="Times New Roman" w:hAnsi="Times New Roman" w:cs="Times New Roman"/>
          <w:sz w:val="24"/>
          <w:szCs w:val="24"/>
        </w:rPr>
        <w:t xml:space="preserve"> (</w:t>
      </w:r>
      <w:r w:rsidR="006865D5">
        <w:rPr>
          <w:rFonts w:ascii="Times New Roman" w:hAnsi="Times New Roman" w:cs="Times New Roman"/>
          <w:sz w:val="24"/>
          <w:szCs w:val="24"/>
        </w:rPr>
        <w:t xml:space="preserve">wśród odbiorców PO PŻ </w:t>
      </w:r>
      <w:r w:rsidR="00921C4E">
        <w:rPr>
          <w:rFonts w:ascii="Times New Roman" w:hAnsi="Times New Roman" w:cs="Times New Roman"/>
          <w:sz w:val="24"/>
          <w:szCs w:val="24"/>
        </w:rPr>
        <w:t xml:space="preserve">nastąpił </w:t>
      </w:r>
      <w:r w:rsidR="00365187">
        <w:rPr>
          <w:rFonts w:ascii="Times New Roman" w:hAnsi="Times New Roman" w:cs="Times New Roman"/>
          <w:sz w:val="24"/>
          <w:szCs w:val="24"/>
        </w:rPr>
        <w:t>wzrost</w:t>
      </w:r>
      <w:r w:rsidR="00921C4E">
        <w:rPr>
          <w:rFonts w:ascii="Times New Roman" w:hAnsi="Times New Roman" w:cs="Times New Roman"/>
          <w:sz w:val="24"/>
          <w:szCs w:val="24"/>
        </w:rPr>
        <w:t xml:space="preserve"> liczby seniorów</w:t>
      </w:r>
      <w:r w:rsidR="00365187">
        <w:rPr>
          <w:rFonts w:ascii="Times New Roman" w:hAnsi="Times New Roman" w:cs="Times New Roman"/>
          <w:sz w:val="24"/>
          <w:szCs w:val="24"/>
        </w:rPr>
        <w:t xml:space="preserve"> </w:t>
      </w:r>
      <w:r w:rsidR="00365187" w:rsidRPr="00921C4E">
        <w:rPr>
          <w:rFonts w:ascii="Times New Roman" w:hAnsi="Times New Roman" w:cs="Times New Roman"/>
          <w:bCs/>
          <w:sz w:val="24"/>
          <w:szCs w:val="24"/>
        </w:rPr>
        <w:t>o</w:t>
      </w:r>
      <w:r w:rsidR="00921C4E" w:rsidRPr="00921C4E">
        <w:rPr>
          <w:rFonts w:ascii="Times New Roman" w:hAnsi="Times New Roman" w:cs="Times New Roman"/>
          <w:bCs/>
          <w:sz w:val="24"/>
          <w:szCs w:val="24"/>
        </w:rPr>
        <w:t> </w:t>
      </w:r>
      <w:r w:rsidR="00365187" w:rsidRPr="00921C4E">
        <w:rPr>
          <w:rFonts w:ascii="Times New Roman" w:hAnsi="Times New Roman" w:cs="Times New Roman"/>
          <w:bCs/>
          <w:sz w:val="24"/>
          <w:szCs w:val="24"/>
        </w:rPr>
        <w:t>ok. ¼ na przestrzeni lat 2018-2020)</w:t>
      </w:r>
      <w:r w:rsidR="00740F20" w:rsidRPr="00921C4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9FFACC" w14:textId="77777777" w:rsidR="00CE5059" w:rsidRPr="00A31E3D" w:rsidRDefault="00CE5059" w:rsidP="00A31E3D">
      <w:pPr>
        <w:pStyle w:val="Podtytu"/>
        <w:rPr>
          <w:rFonts w:ascii="Times New Roman" w:hAnsi="Times New Roman" w:cs="Times New Roman"/>
          <w:b/>
          <w:bCs/>
        </w:rPr>
      </w:pPr>
    </w:p>
    <w:p w14:paraId="69655087" w14:textId="21CD28D5" w:rsidR="00C9688B" w:rsidRPr="00A31E3D" w:rsidRDefault="00C9688B" w:rsidP="00A31E3D">
      <w:pPr>
        <w:pStyle w:val="Podtytu"/>
        <w:rPr>
          <w:rFonts w:ascii="Times New Roman" w:hAnsi="Times New Roman" w:cs="Times New Roman"/>
          <w:b/>
          <w:bCs/>
        </w:rPr>
      </w:pPr>
      <w:r w:rsidRPr="00A31E3D">
        <w:rPr>
          <w:rFonts w:ascii="Times New Roman" w:hAnsi="Times New Roman" w:cs="Times New Roman"/>
          <w:b/>
          <w:bCs/>
        </w:rPr>
        <w:t>2.</w:t>
      </w:r>
      <w:r w:rsidR="001F2A96">
        <w:rPr>
          <w:rFonts w:ascii="Times New Roman" w:hAnsi="Times New Roman" w:cs="Times New Roman"/>
          <w:b/>
          <w:bCs/>
        </w:rPr>
        <w:t>4</w:t>
      </w:r>
      <w:r w:rsidRPr="00A31E3D">
        <w:rPr>
          <w:rFonts w:ascii="Times New Roman" w:hAnsi="Times New Roman" w:cs="Times New Roman"/>
          <w:b/>
          <w:bCs/>
        </w:rPr>
        <w:t>. Komplementarność z innymi programami</w:t>
      </w:r>
    </w:p>
    <w:p w14:paraId="6ECF44E0" w14:textId="4F6D68C5" w:rsidR="001E723C" w:rsidRPr="00A31E3D" w:rsidRDefault="0068734F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Program Fundusze Europejskie Pomoc Żywnościowa </w:t>
      </w:r>
      <w:r w:rsidR="00E758C8" w:rsidRPr="00A31E3D">
        <w:rPr>
          <w:rFonts w:ascii="Times New Roman" w:hAnsi="Times New Roman" w:cs="Times New Roman"/>
          <w:sz w:val="24"/>
          <w:szCs w:val="24"/>
        </w:rPr>
        <w:t xml:space="preserve">jest komplementarny wobec </w:t>
      </w:r>
      <w:r w:rsidR="001E723C" w:rsidRPr="00A31E3D">
        <w:rPr>
          <w:rFonts w:ascii="Times New Roman" w:hAnsi="Times New Roman" w:cs="Times New Roman"/>
          <w:sz w:val="24"/>
          <w:szCs w:val="24"/>
        </w:rPr>
        <w:t>Wieloletni</w:t>
      </w:r>
      <w:r w:rsidR="00E758C8" w:rsidRPr="00A31E3D">
        <w:rPr>
          <w:rFonts w:ascii="Times New Roman" w:hAnsi="Times New Roman" w:cs="Times New Roman"/>
          <w:sz w:val="24"/>
          <w:szCs w:val="24"/>
        </w:rPr>
        <w:t>ego</w:t>
      </w:r>
      <w:r w:rsidR="001E723C" w:rsidRPr="00A31E3D">
        <w:rPr>
          <w:rFonts w:ascii="Times New Roman" w:hAnsi="Times New Roman" w:cs="Times New Roman"/>
          <w:sz w:val="24"/>
          <w:szCs w:val="24"/>
        </w:rPr>
        <w:t xml:space="preserve"> rządow</w:t>
      </w:r>
      <w:r w:rsidR="00E758C8" w:rsidRPr="00A31E3D">
        <w:rPr>
          <w:rFonts w:ascii="Times New Roman" w:hAnsi="Times New Roman" w:cs="Times New Roman"/>
          <w:sz w:val="24"/>
          <w:szCs w:val="24"/>
        </w:rPr>
        <w:t>ego</w:t>
      </w:r>
      <w:r w:rsidR="001E723C" w:rsidRPr="00A31E3D">
        <w:rPr>
          <w:rFonts w:ascii="Times New Roman" w:hAnsi="Times New Roman" w:cs="Times New Roman"/>
          <w:sz w:val="24"/>
          <w:szCs w:val="24"/>
        </w:rPr>
        <w:t xml:space="preserve"> program</w:t>
      </w:r>
      <w:r w:rsidR="00CB7BC7">
        <w:rPr>
          <w:rFonts w:ascii="Times New Roman" w:hAnsi="Times New Roman" w:cs="Times New Roman"/>
          <w:sz w:val="24"/>
          <w:szCs w:val="24"/>
        </w:rPr>
        <w:t>u</w:t>
      </w:r>
      <w:r w:rsidR="001E723C" w:rsidRPr="00A31E3D">
        <w:rPr>
          <w:rFonts w:ascii="Times New Roman" w:hAnsi="Times New Roman" w:cs="Times New Roman"/>
          <w:sz w:val="24"/>
          <w:szCs w:val="24"/>
        </w:rPr>
        <w:t xml:space="preserve"> „Posiłek w szkole i w domu” na lata 2019-2023</w:t>
      </w:r>
      <w:r w:rsidR="00E758C8" w:rsidRPr="00A31E3D">
        <w:rPr>
          <w:rFonts w:ascii="Times New Roman" w:hAnsi="Times New Roman" w:cs="Times New Roman"/>
          <w:sz w:val="24"/>
          <w:szCs w:val="24"/>
        </w:rPr>
        <w:t>,</w:t>
      </w:r>
      <w:r w:rsidR="001E723C" w:rsidRPr="00A31E3D">
        <w:rPr>
          <w:rFonts w:ascii="Times New Roman" w:hAnsi="Times New Roman" w:cs="Times New Roman"/>
          <w:sz w:val="24"/>
          <w:szCs w:val="24"/>
        </w:rPr>
        <w:t xml:space="preserve"> </w:t>
      </w:r>
      <w:r w:rsidR="00E758C8" w:rsidRPr="00A31E3D">
        <w:rPr>
          <w:rFonts w:ascii="Times New Roman" w:hAnsi="Times New Roman" w:cs="Times New Roman"/>
          <w:sz w:val="24"/>
          <w:szCs w:val="24"/>
        </w:rPr>
        <w:t xml:space="preserve">który zapewnia </w:t>
      </w:r>
      <w:r w:rsidR="001E723C" w:rsidRPr="00A31E3D">
        <w:rPr>
          <w:rFonts w:ascii="Times New Roman" w:hAnsi="Times New Roman" w:cs="Times New Roman"/>
          <w:sz w:val="24"/>
          <w:szCs w:val="24"/>
        </w:rPr>
        <w:t>wsp</w:t>
      </w:r>
      <w:r w:rsidR="00E758C8" w:rsidRPr="00A31E3D">
        <w:rPr>
          <w:rFonts w:ascii="Times New Roman" w:hAnsi="Times New Roman" w:cs="Times New Roman"/>
          <w:sz w:val="24"/>
          <w:szCs w:val="24"/>
        </w:rPr>
        <w:t>arcie</w:t>
      </w:r>
      <w:r w:rsidR="001E723C" w:rsidRPr="00A31E3D">
        <w:rPr>
          <w:rFonts w:ascii="Times New Roman" w:hAnsi="Times New Roman" w:cs="Times New Roman"/>
          <w:sz w:val="24"/>
          <w:szCs w:val="24"/>
        </w:rPr>
        <w:t xml:space="preserve"> finansowe gmin</w:t>
      </w:r>
      <w:r w:rsidR="00E758C8" w:rsidRPr="00A31E3D">
        <w:rPr>
          <w:rFonts w:ascii="Times New Roman" w:hAnsi="Times New Roman" w:cs="Times New Roman"/>
          <w:sz w:val="24"/>
          <w:szCs w:val="24"/>
        </w:rPr>
        <w:t>om</w:t>
      </w:r>
      <w:r w:rsidR="001E723C" w:rsidRPr="00A31E3D">
        <w:rPr>
          <w:rFonts w:ascii="Times New Roman" w:hAnsi="Times New Roman" w:cs="Times New Roman"/>
          <w:sz w:val="24"/>
          <w:szCs w:val="24"/>
        </w:rPr>
        <w:t xml:space="preserve"> w zakresie realizacji zadań własnych o charakterze obowiązkowym określonych w art. 17 ust. 1 pkt 3 i 14 ustawy z dnia 12 marca 2004 r. o pomocy społecznej oraz organ</w:t>
      </w:r>
      <w:r w:rsidR="00E758C8" w:rsidRPr="00A31E3D">
        <w:rPr>
          <w:rFonts w:ascii="Times New Roman" w:hAnsi="Times New Roman" w:cs="Times New Roman"/>
          <w:sz w:val="24"/>
          <w:szCs w:val="24"/>
        </w:rPr>
        <w:t>om</w:t>
      </w:r>
      <w:r w:rsidR="001E723C" w:rsidRPr="00A31E3D">
        <w:rPr>
          <w:rFonts w:ascii="Times New Roman" w:hAnsi="Times New Roman" w:cs="Times New Roman"/>
          <w:sz w:val="24"/>
          <w:szCs w:val="24"/>
        </w:rPr>
        <w:t xml:space="preserve"> prowadzący</w:t>
      </w:r>
      <w:r w:rsidR="00E758C8" w:rsidRPr="00A31E3D">
        <w:rPr>
          <w:rFonts w:ascii="Times New Roman" w:hAnsi="Times New Roman" w:cs="Times New Roman"/>
          <w:sz w:val="24"/>
          <w:szCs w:val="24"/>
        </w:rPr>
        <w:t>m</w:t>
      </w:r>
      <w:r w:rsidR="001E723C" w:rsidRPr="00A31E3D">
        <w:rPr>
          <w:rFonts w:ascii="Times New Roman" w:hAnsi="Times New Roman" w:cs="Times New Roman"/>
          <w:sz w:val="24"/>
          <w:szCs w:val="24"/>
        </w:rPr>
        <w:t xml:space="preserve"> publiczne szkoły podstawowe w zakresie realizacji zadań, o których mowa w art. 10 ust. 1 pkt 1 ustawy z dnia 14 grudnia 2016 r. – Prawo </w:t>
      </w:r>
      <w:r w:rsidR="001E723C" w:rsidRPr="00A31E3D">
        <w:rPr>
          <w:rFonts w:ascii="Times New Roman" w:hAnsi="Times New Roman" w:cs="Times New Roman"/>
          <w:sz w:val="24"/>
          <w:szCs w:val="24"/>
        </w:rPr>
        <w:lastRenderedPageBreak/>
        <w:t>oświatowe</w:t>
      </w:r>
      <w:r w:rsidR="00B62CED">
        <w:rPr>
          <w:rFonts w:ascii="Times New Roman" w:hAnsi="Times New Roman" w:cs="Times New Roman"/>
          <w:sz w:val="24"/>
          <w:szCs w:val="24"/>
        </w:rPr>
        <w:t xml:space="preserve"> (Dz. U. z 2021 r., poz. 1082)</w:t>
      </w:r>
      <w:r w:rsidR="001E723C" w:rsidRPr="00A31E3D">
        <w:rPr>
          <w:rFonts w:ascii="Times New Roman" w:hAnsi="Times New Roman" w:cs="Times New Roman"/>
          <w:sz w:val="24"/>
          <w:szCs w:val="24"/>
        </w:rPr>
        <w:t>.</w:t>
      </w:r>
      <w:r w:rsidR="00E758C8" w:rsidRPr="00A31E3D">
        <w:rPr>
          <w:rFonts w:ascii="Times New Roman" w:hAnsi="Times New Roman" w:cs="Times New Roman"/>
          <w:sz w:val="24"/>
          <w:szCs w:val="24"/>
        </w:rPr>
        <w:t xml:space="preserve"> </w:t>
      </w:r>
      <w:r w:rsidR="001E723C" w:rsidRPr="00A31E3D">
        <w:rPr>
          <w:rFonts w:ascii="Times New Roman" w:hAnsi="Times New Roman" w:cs="Times New Roman"/>
          <w:sz w:val="24"/>
          <w:szCs w:val="24"/>
        </w:rPr>
        <w:t>Ze środków przekazywanych w ramach Programu gminy udzielają wsparcia osobom spełniającym warunki otrzymania pomocy wskazane w</w:t>
      </w:r>
      <w:r w:rsidR="00F3374A">
        <w:rPr>
          <w:rFonts w:ascii="Times New Roman" w:hAnsi="Times New Roman" w:cs="Times New Roman"/>
          <w:sz w:val="24"/>
          <w:szCs w:val="24"/>
        </w:rPr>
        <w:t> </w:t>
      </w:r>
      <w:r w:rsidR="001E723C" w:rsidRPr="00A31E3D">
        <w:rPr>
          <w:rFonts w:ascii="Times New Roman" w:hAnsi="Times New Roman" w:cs="Times New Roman"/>
          <w:sz w:val="24"/>
          <w:szCs w:val="24"/>
        </w:rPr>
        <w:t>ustawie z dnia 12 marca 2004</w:t>
      </w:r>
      <w:r w:rsidR="00047334">
        <w:rPr>
          <w:rFonts w:ascii="Times New Roman" w:hAnsi="Times New Roman" w:cs="Times New Roman"/>
          <w:sz w:val="24"/>
          <w:szCs w:val="24"/>
        </w:rPr>
        <w:t> </w:t>
      </w:r>
      <w:r w:rsidR="001E723C" w:rsidRPr="00A31E3D">
        <w:rPr>
          <w:rFonts w:ascii="Times New Roman" w:hAnsi="Times New Roman" w:cs="Times New Roman"/>
          <w:sz w:val="24"/>
          <w:szCs w:val="24"/>
        </w:rPr>
        <w:t>r. o pomocy społecznej oraz spełniającym kryterium dochodowe w wysokości 150% kryterium, o którym mowa w art. 8 ww. ustawy:</w:t>
      </w:r>
    </w:p>
    <w:p w14:paraId="20922C8E" w14:textId="77777777" w:rsidR="001E723C" w:rsidRPr="00A31E3D" w:rsidRDefault="001E723C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1) dzieciom do czasu podjęcia nauki w szkole podstawowej,</w:t>
      </w:r>
    </w:p>
    <w:p w14:paraId="22C3FBB6" w14:textId="77777777" w:rsidR="001E723C" w:rsidRPr="00A31E3D" w:rsidRDefault="001E723C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2) uczniom do czasu ukończenia szkoły ponadpodstawowej lub szkoły ponadgimnazjalnej, </w:t>
      </w:r>
    </w:p>
    <w:p w14:paraId="539C2A77" w14:textId="6B30A71D" w:rsidR="001E723C" w:rsidRPr="00A31E3D" w:rsidRDefault="001E723C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3) osobom i rodzinom znajdującym się w sytuacjach wymienionych w art. 7 ustawy z dnia  12</w:t>
      </w:r>
      <w:r w:rsidR="003220D8" w:rsidRPr="00A31E3D">
        <w:rPr>
          <w:rFonts w:ascii="Times New Roman" w:hAnsi="Times New Roman" w:cs="Times New Roman"/>
          <w:sz w:val="24"/>
          <w:szCs w:val="24"/>
        </w:rPr>
        <w:t> </w:t>
      </w:r>
      <w:r w:rsidRPr="00A31E3D">
        <w:rPr>
          <w:rFonts w:ascii="Times New Roman" w:hAnsi="Times New Roman" w:cs="Times New Roman"/>
          <w:sz w:val="24"/>
          <w:szCs w:val="24"/>
        </w:rPr>
        <w:t>marca 2004 r. o pomocy społecznej, w szczególności osobom starszym, chorym i</w:t>
      </w:r>
      <w:r w:rsidR="003220D8" w:rsidRPr="00A31E3D">
        <w:rPr>
          <w:rFonts w:ascii="Times New Roman" w:hAnsi="Times New Roman" w:cs="Times New Roman"/>
          <w:sz w:val="24"/>
          <w:szCs w:val="24"/>
        </w:rPr>
        <w:t> </w:t>
      </w:r>
      <w:r w:rsidRPr="00A31E3D">
        <w:rPr>
          <w:rFonts w:ascii="Times New Roman" w:hAnsi="Times New Roman" w:cs="Times New Roman"/>
          <w:sz w:val="24"/>
          <w:szCs w:val="24"/>
        </w:rPr>
        <w:t>niepełnosprawnym - w formie posiłku, świadczenia pieniężnego na zakup posiłku lub żywności albo świadczenia rzeczowego w postaci produktów żywnościowych.</w:t>
      </w:r>
      <w:r w:rsidR="00E758C8" w:rsidRPr="00A31E3D">
        <w:rPr>
          <w:rFonts w:ascii="Times New Roman" w:hAnsi="Times New Roman" w:cs="Times New Roman"/>
          <w:sz w:val="24"/>
          <w:szCs w:val="24"/>
        </w:rPr>
        <w:t xml:space="preserve"> Z </w:t>
      </w:r>
      <w:r w:rsidRPr="00A31E3D">
        <w:rPr>
          <w:rFonts w:ascii="Times New Roman" w:hAnsi="Times New Roman" w:cs="Times New Roman"/>
          <w:sz w:val="24"/>
          <w:szCs w:val="24"/>
        </w:rPr>
        <w:t>Program</w:t>
      </w:r>
      <w:r w:rsidR="00E758C8" w:rsidRPr="00A31E3D">
        <w:rPr>
          <w:rFonts w:ascii="Times New Roman" w:hAnsi="Times New Roman" w:cs="Times New Roman"/>
          <w:sz w:val="24"/>
          <w:szCs w:val="24"/>
        </w:rPr>
        <w:t>u</w:t>
      </w:r>
      <w:r w:rsidRPr="00A31E3D">
        <w:rPr>
          <w:rFonts w:ascii="Times New Roman" w:hAnsi="Times New Roman" w:cs="Times New Roman"/>
          <w:sz w:val="24"/>
          <w:szCs w:val="24"/>
        </w:rPr>
        <w:t xml:space="preserve"> dofinans</w:t>
      </w:r>
      <w:r w:rsidR="00E758C8" w:rsidRPr="00A31E3D">
        <w:rPr>
          <w:rFonts w:ascii="Times New Roman" w:hAnsi="Times New Roman" w:cs="Times New Roman"/>
          <w:sz w:val="24"/>
          <w:szCs w:val="24"/>
        </w:rPr>
        <w:t>owane są</w:t>
      </w:r>
      <w:r w:rsidRPr="00A31E3D">
        <w:rPr>
          <w:rFonts w:ascii="Times New Roman" w:hAnsi="Times New Roman" w:cs="Times New Roman"/>
          <w:sz w:val="24"/>
          <w:szCs w:val="24"/>
        </w:rPr>
        <w:t xml:space="preserve"> posiłki dowożone osobom dorosłym (np. niewychodzącym z domu ze względu na podeszły wiek czy niepełnosprawność), które same nie są w stanie ich przygotować. Ponadto Program zapewnia pozyskanie dodatkowych środków na dowóz posiłków</w:t>
      </w:r>
      <w:r w:rsidR="00E758C8" w:rsidRPr="00A31E3D">
        <w:rPr>
          <w:rFonts w:ascii="Times New Roman" w:hAnsi="Times New Roman" w:cs="Times New Roman"/>
          <w:sz w:val="24"/>
          <w:szCs w:val="24"/>
        </w:rPr>
        <w:t>.</w:t>
      </w:r>
      <w:r w:rsidR="00BD1034" w:rsidRPr="00A31E3D">
        <w:rPr>
          <w:rFonts w:ascii="Times New Roman" w:hAnsi="Times New Roman" w:cs="Times New Roman"/>
          <w:sz w:val="24"/>
          <w:szCs w:val="24"/>
        </w:rPr>
        <w:t xml:space="preserve"> Wsparcie z Programu w 2019 r. otrzymało łącznie </w:t>
      </w:r>
      <w:r w:rsidR="00F3374A">
        <w:rPr>
          <w:rFonts w:ascii="Times New Roman" w:hAnsi="Times New Roman" w:cs="Times New Roman"/>
          <w:sz w:val="24"/>
          <w:szCs w:val="24"/>
        </w:rPr>
        <w:t xml:space="preserve">ponad </w:t>
      </w:r>
      <w:r w:rsidR="00BD1034" w:rsidRPr="00A31E3D">
        <w:rPr>
          <w:rFonts w:ascii="Times New Roman" w:hAnsi="Times New Roman" w:cs="Times New Roman"/>
          <w:sz w:val="24"/>
          <w:szCs w:val="24"/>
        </w:rPr>
        <w:t>1</w:t>
      </w:r>
      <w:r w:rsidR="00F3374A">
        <w:rPr>
          <w:rFonts w:ascii="Times New Roman" w:hAnsi="Times New Roman" w:cs="Times New Roman"/>
          <w:sz w:val="24"/>
          <w:szCs w:val="24"/>
        </w:rPr>
        <w:t xml:space="preserve"> mln </w:t>
      </w:r>
      <w:r w:rsidR="00BD1034" w:rsidRPr="00A31E3D">
        <w:rPr>
          <w:rFonts w:ascii="Times New Roman" w:hAnsi="Times New Roman" w:cs="Times New Roman"/>
          <w:sz w:val="24"/>
          <w:szCs w:val="24"/>
        </w:rPr>
        <w:t xml:space="preserve">osób, w tym </w:t>
      </w:r>
      <w:r w:rsidR="00F3374A">
        <w:rPr>
          <w:rFonts w:ascii="Times New Roman" w:hAnsi="Times New Roman" w:cs="Times New Roman"/>
          <w:sz w:val="24"/>
          <w:szCs w:val="24"/>
        </w:rPr>
        <w:t>ok. 512 tys.</w:t>
      </w:r>
      <w:r w:rsidR="00BD1034" w:rsidRPr="00A31E3D">
        <w:rPr>
          <w:rFonts w:ascii="Times New Roman" w:hAnsi="Times New Roman" w:cs="Times New Roman"/>
          <w:sz w:val="24"/>
          <w:szCs w:val="24"/>
        </w:rPr>
        <w:t xml:space="preserve"> dzieci oraz </w:t>
      </w:r>
      <w:r w:rsidR="00F3374A">
        <w:rPr>
          <w:rFonts w:ascii="Times New Roman" w:hAnsi="Times New Roman" w:cs="Times New Roman"/>
          <w:sz w:val="24"/>
          <w:szCs w:val="24"/>
        </w:rPr>
        <w:t xml:space="preserve">ok. </w:t>
      </w:r>
      <w:r w:rsidR="00BD1034" w:rsidRPr="00A31E3D">
        <w:rPr>
          <w:rFonts w:ascii="Times New Roman" w:hAnsi="Times New Roman" w:cs="Times New Roman"/>
          <w:sz w:val="24"/>
          <w:szCs w:val="24"/>
        </w:rPr>
        <w:t>53</w:t>
      </w:r>
      <w:r w:rsidR="00F3374A">
        <w:rPr>
          <w:rFonts w:ascii="Times New Roman" w:hAnsi="Times New Roman" w:cs="Times New Roman"/>
          <w:sz w:val="24"/>
          <w:szCs w:val="24"/>
        </w:rPr>
        <w:t xml:space="preserve">0 tys. </w:t>
      </w:r>
      <w:r w:rsidR="009E7D43" w:rsidRPr="00A31E3D">
        <w:rPr>
          <w:rFonts w:ascii="Times New Roman" w:hAnsi="Times New Roman" w:cs="Times New Roman"/>
          <w:sz w:val="24"/>
          <w:szCs w:val="24"/>
        </w:rPr>
        <w:t>osób dorosłych</w:t>
      </w:r>
      <w:r w:rsidR="00BD1034" w:rsidRPr="00A31E3D">
        <w:rPr>
          <w:rFonts w:ascii="Times New Roman" w:hAnsi="Times New Roman" w:cs="Times New Roman"/>
          <w:sz w:val="24"/>
          <w:szCs w:val="24"/>
        </w:rPr>
        <w:t>. W 2020 r. odnotowano niewielki spadek liczby odbiorców (o ok. 30</w:t>
      </w:r>
      <w:r w:rsidR="00F3374A">
        <w:rPr>
          <w:rFonts w:ascii="Times New Roman" w:hAnsi="Times New Roman" w:cs="Times New Roman"/>
          <w:sz w:val="24"/>
          <w:szCs w:val="24"/>
        </w:rPr>
        <w:t> </w:t>
      </w:r>
      <w:r w:rsidR="00BD1034" w:rsidRPr="00A31E3D">
        <w:rPr>
          <w:rFonts w:ascii="Times New Roman" w:hAnsi="Times New Roman" w:cs="Times New Roman"/>
          <w:sz w:val="24"/>
          <w:szCs w:val="24"/>
        </w:rPr>
        <w:t>tys. osób)</w:t>
      </w:r>
      <w:r w:rsidR="00190573" w:rsidRPr="00A31E3D">
        <w:rPr>
          <w:rFonts w:ascii="Times New Roman" w:hAnsi="Times New Roman" w:cs="Times New Roman"/>
          <w:sz w:val="24"/>
          <w:szCs w:val="24"/>
        </w:rPr>
        <w:t>.</w:t>
      </w:r>
    </w:p>
    <w:p w14:paraId="2915FDA9" w14:textId="34B91701" w:rsidR="00CE5059" w:rsidRPr="00A31E3D" w:rsidRDefault="00190573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Niniejszy Program jako współfinansowany ze środków EFS+ jest komplementarny z</w:t>
      </w:r>
      <w:r w:rsidR="00C25AA9" w:rsidRPr="00A31E3D">
        <w:rPr>
          <w:rFonts w:ascii="Times New Roman" w:hAnsi="Times New Roman" w:cs="Times New Roman"/>
          <w:sz w:val="24"/>
          <w:szCs w:val="24"/>
        </w:rPr>
        <w:t> </w:t>
      </w:r>
      <w:r w:rsidRPr="00A31E3D">
        <w:rPr>
          <w:rFonts w:ascii="Times New Roman" w:hAnsi="Times New Roman" w:cs="Times New Roman"/>
          <w:sz w:val="24"/>
          <w:szCs w:val="24"/>
        </w:rPr>
        <w:t>Programem</w:t>
      </w:r>
      <w:r w:rsidR="002D637E">
        <w:rPr>
          <w:rFonts w:ascii="Times New Roman" w:hAnsi="Times New Roman" w:cs="Times New Roman"/>
          <w:sz w:val="24"/>
          <w:szCs w:val="24"/>
        </w:rPr>
        <w:t xml:space="preserve"> </w:t>
      </w:r>
      <w:r w:rsidRPr="00A31E3D">
        <w:rPr>
          <w:rFonts w:ascii="Times New Roman" w:hAnsi="Times New Roman" w:cs="Times New Roman"/>
          <w:sz w:val="24"/>
          <w:szCs w:val="24"/>
        </w:rPr>
        <w:t>FER</w:t>
      </w:r>
      <w:r w:rsidR="002D637E">
        <w:rPr>
          <w:rFonts w:ascii="Times New Roman" w:hAnsi="Times New Roman" w:cs="Times New Roman"/>
          <w:sz w:val="24"/>
          <w:szCs w:val="24"/>
        </w:rPr>
        <w:t xml:space="preserve">S </w:t>
      </w:r>
      <w:r w:rsidRPr="00A31E3D">
        <w:rPr>
          <w:rFonts w:ascii="Times New Roman" w:hAnsi="Times New Roman" w:cs="Times New Roman"/>
          <w:sz w:val="24"/>
          <w:szCs w:val="24"/>
        </w:rPr>
        <w:t>w zakresie celu szczegółowego h) wspieranie aktywnego włączenia społecznego w celu promowania równości szans, niedyskryminacji i aktywnego uczestnictwa, oraz zwiększanie szans zatrudnienia, w szczególności grup w niekorzystnej sytuacji (oś III Równe szanse dla wszystkich).</w:t>
      </w:r>
      <w:r w:rsidR="00C25AA9" w:rsidRPr="00A31E3D">
        <w:rPr>
          <w:rFonts w:ascii="Times New Roman" w:hAnsi="Times New Roman" w:cs="Times New Roman"/>
          <w:sz w:val="24"/>
          <w:szCs w:val="24"/>
        </w:rPr>
        <w:t xml:space="preserve"> </w:t>
      </w:r>
      <w:r w:rsidR="00F61547" w:rsidRPr="00F61547">
        <w:rPr>
          <w:rFonts w:ascii="Times New Roman" w:hAnsi="Times New Roman" w:cs="Times New Roman"/>
          <w:sz w:val="24"/>
          <w:szCs w:val="24"/>
        </w:rPr>
        <w:t xml:space="preserve">Wsparcie </w:t>
      </w:r>
      <w:r w:rsidR="00F61547">
        <w:rPr>
          <w:rFonts w:ascii="Times New Roman" w:hAnsi="Times New Roman" w:cs="Times New Roman"/>
          <w:sz w:val="24"/>
          <w:szCs w:val="24"/>
        </w:rPr>
        <w:t>w</w:t>
      </w:r>
      <w:r w:rsidR="00F61547" w:rsidRPr="00F61547">
        <w:rPr>
          <w:rFonts w:ascii="Times New Roman" w:hAnsi="Times New Roman" w:cs="Times New Roman"/>
          <w:sz w:val="24"/>
          <w:szCs w:val="24"/>
        </w:rPr>
        <w:t xml:space="preserve"> Osi III FERS skoncentrowane będzie na wypracowaniu i wdrożeniu systemowych rozwiązań wpływających na poprawę sytuacji osób z niepełnosprawnościami i ich rodzin, realnie przyczyniających się do wdrożenia postanowień Konwencji ONZ o prawach osób niepełnosprawnych.</w:t>
      </w:r>
      <w:r w:rsidR="00C350A6">
        <w:rPr>
          <w:rFonts w:ascii="Times New Roman" w:hAnsi="Times New Roman" w:cs="Times New Roman"/>
          <w:sz w:val="24"/>
          <w:szCs w:val="24"/>
        </w:rPr>
        <w:t xml:space="preserve"> Komplementarność pomiędzy wsparciem </w:t>
      </w:r>
      <w:r w:rsidR="00E35290">
        <w:rPr>
          <w:rFonts w:ascii="Times New Roman" w:hAnsi="Times New Roman" w:cs="Times New Roman"/>
          <w:sz w:val="24"/>
          <w:szCs w:val="24"/>
        </w:rPr>
        <w:t xml:space="preserve">w ramach FERS i FEPŻ </w:t>
      </w:r>
      <w:r w:rsidR="00C350A6">
        <w:rPr>
          <w:rFonts w:ascii="Times New Roman" w:hAnsi="Times New Roman" w:cs="Times New Roman"/>
          <w:sz w:val="24"/>
          <w:szCs w:val="24"/>
        </w:rPr>
        <w:t xml:space="preserve">w tym obszarze </w:t>
      </w:r>
      <w:r w:rsidR="00E35290">
        <w:rPr>
          <w:rFonts w:ascii="Times New Roman" w:hAnsi="Times New Roman" w:cs="Times New Roman"/>
          <w:sz w:val="24"/>
          <w:szCs w:val="24"/>
        </w:rPr>
        <w:t>opiera się przede wszystkim na częściowo wspólnej grupie docelowej.</w:t>
      </w:r>
    </w:p>
    <w:p w14:paraId="5FAC9BA3" w14:textId="5F73AB88" w:rsidR="00B67DD1" w:rsidRDefault="00C75ACD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C75ACD">
        <w:rPr>
          <w:rFonts w:ascii="Times New Roman" w:hAnsi="Times New Roman" w:cs="Times New Roman"/>
          <w:sz w:val="24"/>
          <w:szCs w:val="24"/>
        </w:rPr>
        <w:t>Ponadto FEPŻ jest komplementarny z 16 programami regionalnymi współfinansowanymi z</w:t>
      </w:r>
      <w:r w:rsidR="0044406C">
        <w:rPr>
          <w:rFonts w:ascii="Times New Roman" w:hAnsi="Times New Roman" w:cs="Times New Roman"/>
          <w:sz w:val="24"/>
          <w:szCs w:val="24"/>
        </w:rPr>
        <w:t> </w:t>
      </w:r>
      <w:r w:rsidRPr="00C75ACD">
        <w:rPr>
          <w:rFonts w:ascii="Times New Roman" w:hAnsi="Times New Roman" w:cs="Times New Roman"/>
          <w:sz w:val="24"/>
          <w:szCs w:val="24"/>
        </w:rPr>
        <w:t xml:space="preserve">EFS+, w szczególności w obszarze włączenia społecznego – aktywnej integracji, usług społecznych i ekonomii społecznej, ze względu na </w:t>
      </w:r>
      <w:r w:rsidR="0044406C">
        <w:rPr>
          <w:rFonts w:ascii="Times New Roman" w:hAnsi="Times New Roman" w:cs="Times New Roman"/>
          <w:sz w:val="24"/>
          <w:szCs w:val="24"/>
        </w:rPr>
        <w:t xml:space="preserve">częściowo </w:t>
      </w:r>
      <w:r w:rsidRPr="00C75ACD">
        <w:rPr>
          <w:rFonts w:ascii="Times New Roman" w:hAnsi="Times New Roman" w:cs="Times New Roman"/>
          <w:sz w:val="24"/>
          <w:szCs w:val="24"/>
        </w:rPr>
        <w:t>wspólną grupę docelową.</w:t>
      </w:r>
      <w:r w:rsidR="0044406C">
        <w:rPr>
          <w:rFonts w:ascii="Times New Roman" w:hAnsi="Times New Roman" w:cs="Times New Roman"/>
          <w:sz w:val="24"/>
          <w:szCs w:val="24"/>
        </w:rPr>
        <w:t xml:space="preserve"> </w:t>
      </w:r>
      <w:r w:rsidR="00E15692" w:rsidRPr="00A31E3D">
        <w:rPr>
          <w:rFonts w:ascii="Times New Roman" w:hAnsi="Times New Roman" w:cs="Times New Roman"/>
          <w:sz w:val="24"/>
          <w:szCs w:val="24"/>
        </w:rPr>
        <w:t>Między FEPŻ a innymi programami EFS+ będzie zapewniona komplementarność wsparcia m.in. na poziomie informacyjno-doradczym – osoby korzystające z FEPŻ będą informowane o</w:t>
      </w:r>
      <w:r w:rsidR="0044406C">
        <w:rPr>
          <w:rFonts w:ascii="Times New Roman" w:hAnsi="Times New Roman" w:cs="Times New Roman"/>
          <w:sz w:val="24"/>
          <w:szCs w:val="24"/>
        </w:rPr>
        <w:t> </w:t>
      </w:r>
      <w:r w:rsidR="00E15692" w:rsidRPr="00A31E3D">
        <w:rPr>
          <w:rFonts w:ascii="Times New Roman" w:hAnsi="Times New Roman" w:cs="Times New Roman"/>
          <w:sz w:val="24"/>
          <w:szCs w:val="24"/>
        </w:rPr>
        <w:t>możliwości udziału w konkretnych działaniach realizowanych w innych programach współfinansowanych z EFS+. FEPŻ stanowić będzie program pierwszego kontaktu, a udział w tym programie może być szansą na podjęcie dalszych kroków w celu włączenia osoby w życie społeczne i zawodowe.</w:t>
      </w:r>
    </w:p>
    <w:p w14:paraId="1684ACC7" w14:textId="76970057" w:rsidR="002A6EE2" w:rsidRDefault="00BF19CC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udostępniana w ramach FEPŻ </w:t>
      </w:r>
      <w:r w:rsidR="002A6EE2" w:rsidRPr="002A6EE2">
        <w:rPr>
          <w:rFonts w:ascii="Times New Roman" w:hAnsi="Times New Roman" w:cs="Times New Roman"/>
          <w:sz w:val="24"/>
          <w:szCs w:val="24"/>
        </w:rPr>
        <w:t>jest dopełnieniem polityki władz publicznych w zakresie pomocy osobom najuboższym, w szczególności w obszarze pomocy społecznej, uzupełniając rozwiązania przyjęte w ustawach oraz programach rządowych i resortowych</w:t>
      </w:r>
      <w:r w:rsidR="002A6EE2">
        <w:rPr>
          <w:rFonts w:ascii="Times New Roman" w:hAnsi="Times New Roman" w:cs="Times New Roman"/>
          <w:sz w:val="24"/>
          <w:szCs w:val="24"/>
        </w:rPr>
        <w:t>. Program FEPŻ jest zgodny z</w:t>
      </w:r>
      <w:r w:rsidR="00DD11D0">
        <w:rPr>
          <w:rFonts w:ascii="Times New Roman" w:hAnsi="Times New Roman" w:cs="Times New Roman"/>
          <w:sz w:val="24"/>
          <w:szCs w:val="24"/>
        </w:rPr>
        <w:t xml:space="preserve"> </w:t>
      </w:r>
      <w:r w:rsidR="00DD11D0" w:rsidRPr="00DD11D0">
        <w:rPr>
          <w:rFonts w:ascii="Times New Roman" w:hAnsi="Times New Roman" w:cs="Times New Roman"/>
          <w:sz w:val="24"/>
          <w:szCs w:val="24"/>
        </w:rPr>
        <w:t>Krajowy</w:t>
      </w:r>
      <w:r w:rsidR="00DD11D0">
        <w:rPr>
          <w:rFonts w:ascii="Times New Roman" w:hAnsi="Times New Roman" w:cs="Times New Roman"/>
          <w:sz w:val="24"/>
          <w:szCs w:val="24"/>
        </w:rPr>
        <w:t>m</w:t>
      </w:r>
      <w:r w:rsidR="00DD11D0" w:rsidRPr="00DD11D0">
        <w:rPr>
          <w:rFonts w:ascii="Times New Roman" w:hAnsi="Times New Roman" w:cs="Times New Roman"/>
          <w:sz w:val="24"/>
          <w:szCs w:val="24"/>
        </w:rPr>
        <w:t xml:space="preserve"> Program</w:t>
      </w:r>
      <w:r w:rsidR="00DD11D0">
        <w:rPr>
          <w:rFonts w:ascii="Times New Roman" w:hAnsi="Times New Roman" w:cs="Times New Roman"/>
          <w:sz w:val="24"/>
          <w:szCs w:val="24"/>
        </w:rPr>
        <w:t>em</w:t>
      </w:r>
      <w:r w:rsidR="00DD11D0" w:rsidRPr="00DD11D0">
        <w:rPr>
          <w:rFonts w:ascii="Times New Roman" w:hAnsi="Times New Roman" w:cs="Times New Roman"/>
          <w:sz w:val="24"/>
          <w:szCs w:val="24"/>
        </w:rPr>
        <w:t xml:space="preserve"> Przeciwdziałania Ubóstwu i Wykluczeniu Społecznemu. Aktualizacja 2021-2027, polityka publiczna z perspektywą do roku 2030</w:t>
      </w:r>
      <w:r w:rsidR="008114EC">
        <w:rPr>
          <w:rStyle w:val="Odwoanieprzypisudolnego"/>
          <w:sz w:val="24"/>
          <w:szCs w:val="24"/>
        </w:rPr>
        <w:footnoteReference w:id="14"/>
      </w:r>
      <w:r w:rsidR="008114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09B263" w14:textId="6CF69B38" w:rsidR="00FD726C" w:rsidRPr="00A31E3D" w:rsidRDefault="002A6EE2" w:rsidP="00A31E3D">
      <w:pPr>
        <w:pStyle w:val="Podtytu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F53472" w:rsidRPr="00A31E3D">
        <w:rPr>
          <w:rFonts w:ascii="Times New Roman" w:hAnsi="Times New Roman" w:cs="Times New Roman"/>
          <w:b/>
          <w:bCs/>
        </w:rPr>
        <w:t>3. System realizacji programu</w:t>
      </w:r>
    </w:p>
    <w:p w14:paraId="730D4306" w14:textId="77777777" w:rsidR="00375214" w:rsidRPr="00A31E3D" w:rsidRDefault="00786DF6" w:rsidP="00A31E3D">
      <w:pPr>
        <w:pStyle w:val="Podtytu"/>
        <w:rPr>
          <w:rFonts w:ascii="Times New Roman" w:hAnsi="Times New Roman" w:cs="Times New Roman"/>
          <w:b/>
          <w:bCs/>
        </w:rPr>
      </w:pPr>
      <w:r w:rsidRPr="00A31E3D">
        <w:rPr>
          <w:rFonts w:ascii="Times New Roman" w:hAnsi="Times New Roman" w:cs="Times New Roman"/>
          <w:b/>
          <w:bCs/>
        </w:rPr>
        <w:t>3</w:t>
      </w:r>
      <w:r w:rsidR="00F53472" w:rsidRPr="00A31E3D">
        <w:rPr>
          <w:rFonts w:ascii="Times New Roman" w:hAnsi="Times New Roman" w:cs="Times New Roman"/>
          <w:b/>
          <w:bCs/>
        </w:rPr>
        <w:t>.1</w:t>
      </w:r>
      <w:r w:rsidRPr="00A31E3D">
        <w:rPr>
          <w:rFonts w:ascii="Times New Roman" w:hAnsi="Times New Roman" w:cs="Times New Roman"/>
          <w:b/>
          <w:bCs/>
        </w:rPr>
        <w:t>. Instytucje Programu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68"/>
        <w:gridCol w:w="2655"/>
        <w:gridCol w:w="2661"/>
        <w:gridCol w:w="1979"/>
      </w:tblGrid>
      <w:tr w:rsidR="00E90897" w:rsidRPr="00A31E3D" w14:paraId="5BA9957C" w14:textId="2BC35376" w:rsidTr="00F41D75">
        <w:tc>
          <w:tcPr>
            <w:tcW w:w="975" w:type="pct"/>
            <w:vAlign w:val="center"/>
          </w:tcPr>
          <w:p w14:paraId="5ED12CD2" w14:textId="77777777" w:rsidR="00C87CD6" w:rsidRPr="00D96EBB" w:rsidRDefault="00C87CD6" w:rsidP="00A31E3D">
            <w:pPr>
              <w:jc w:val="both"/>
              <w:rPr>
                <w:b/>
                <w:sz w:val="24"/>
                <w:szCs w:val="24"/>
              </w:rPr>
            </w:pPr>
            <w:r w:rsidRPr="00D96EBB">
              <w:rPr>
                <w:b/>
                <w:sz w:val="24"/>
                <w:szCs w:val="24"/>
              </w:rPr>
              <w:t>Instytucje Programu</w:t>
            </w:r>
          </w:p>
        </w:tc>
        <w:tc>
          <w:tcPr>
            <w:tcW w:w="1465" w:type="pct"/>
            <w:vAlign w:val="center"/>
          </w:tcPr>
          <w:p w14:paraId="19B16702" w14:textId="77777777" w:rsidR="00C87CD6" w:rsidRPr="00D96EBB" w:rsidRDefault="00C87CD6" w:rsidP="00A31E3D">
            <w:pPr>
              <w:jc w:val="both"/>
              <w:rPr>
                <w:b/>
                <w:sz w:val="24"/>
                <w:szCs w:val="24"/>
              </w:rPr>
            </w:pPr>
            <w:r w:rsidRPr="00D96EBB">
              <w:rPr>
                <w:b/>
                <w:sz w:val="24"/>
                <w:szCs w:val="24"/>
              </w:rPr>
              <w:t>Nazwa instytucji</w:t>
            </w:r>
          </w:p>
        </w:tc>
        <w:tc>
          <w:tcPr>
            <w:tcW w:w="1468" w:type="pct"/>
          </w:tcPr>
          <w:p w14:paraId="4DFC7687" w14:textId="57C446D9" w:rsidR="00C87CD6" w:rsidRPr="00D96EBB" w:rsidRDefault="00974981" w:rsidP="00A31E3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 w:rsidR="00C87CD6">
              <w:rPr>
                <w:b/>
                <w:sz w:val="24"/>
                <w:szCs w:val="24"/>
              </w:rPr>
              <w:t>sob</w:t>
            </w:r>
            <w:r>
              <w:rPr>
                <w:b/>
                <w:sz w:val="24"/>
                <w:szCs w:val="24"/>
              </w:rPr>
              <w:t>a</w:t>
            </w:r>
            <w:r w:rsidR="00C87CD6">
              <w:rPr>
                <w:b/>
                <w:sz w:val="24"/>
                <w:szCs w:val="24"/>
              </w:rPr>
              <w:t xml:space="preserve"> odpowiedzialn</w:t>
            </w:r>
            <w:r>
              <w:rPr>
                <w:b/>
                <w:sz w:val="24"/>
                <w:szCs w:val="24"/>
              </w:rPr>
              <w:t>a</w:t>
            </w:r>
            <w:r w:rsidR="00C87CD6">
              <w:rPr>
                <w:b/>
                <w:sz w:val="24"/>
                <w:szCs w:val="24"/>
              </w:rPr>
              <w:t xml:space="preserve"> za kontakty</w:t>
            </w:r>
          </w:p>
        </w:tc>
        <w:tc>
          <w:tcPr>
            <w:tcW w:w="1092" w:type="pct"/>
            <w:vAlign w:val="center"/>
          </w:tcPr>
          <w:p w14:paraId="7F658DC3" w14:textId="6077A25A" w:rsidR="00C87CD6" w:rsidRDefault="00C87CD6" w:rsidP="00F41D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</w:tr>
      <w:tr w:rsidR="00E90897" w:rsidRPr="00A31E3D" w14:paraId="3FACACE6" w14:textId="75FC5F02" w:rsidTr="00C07F06">
        <w:tc>
          <w:tcPr>
            <w:tcW w:w="975" w:type="pct"/>
            <w:vAlign w:val="center"/>
          </w:tcPr>
          <w:p w14:paraId="13D88D91" w14:textId="77777777" w:rsidR="00C87CD6" w:rsidRPr="00A31E3D" w:rsidRDefault="00C87CD6" w:rsidP="00D96EBB">
            <w:pPr>
              <w:rPr>
                <w:sz w:val="24"/>
                <w:szCs w:val="24"/>
              </w:rPr>
            </w:pPr>
            <w:r w:rsidRPr="00A31E3D">
              <w:rPr>
                <w:sz w:val="24"/>
                <w:szCs w:val="24"/>
              </w:rPr>
              <w:t>Instytucja zarządzająca</w:t>
            </w:r>
          </w:p>
        </w:tc>
        <w:tc>
          <w:tcPr>
            <w:tcW w:w="1465" w:type="pct"/>
            <w:vAlign w:val="center"/>
          </w:tcPr>
          <w:p w14:paraId="75BBAD25" w14:textId="7EFA7F6D" w:rsidR="00C87CD6" w:rsidRPr="00A31E3D" w:rsidRDefault="0075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DC5A6F">
              <w:rPr>
                <w:sz w:val="24"/>
                <w:szCs w:val="24"/>
              </w:rPr>
              <w:t>inist</w:t>
            </w:r>
            <w:r>
              <w:rPr>
                <w:sz w:val="24"/>
                <w:szCs w:val="24"/>
              </w:rPr>
              <w:t>erstwo obsługujące ministra właściwego</w:t>
            </w:r>
            <w:r w:rsidR="00DC5A6F">
              <w:rPr>
                <w:sz w:val="24"/>
                <w:szCs w:val="24"/>
              </w:rPr>
              <w:t xml:space="preserve"> ds. zabezpieczenia społecznego</w:t>
            </w:r>
          </w:p>
        </w:tc>
        <w:tc>
          <w:tcPr>
            <w:tcW w:w="1468" w:type="pct"/>
            <w:vAlign w:val="center"/>
          </w:tcPr>
          <w:p w14:paraId="0AF6F1F2" w14:textId="17C026C7" w:rsidR="00C87CD6" w:rsidRPr="00A31E3D" w:rsidRDefault="00974981" w:rsidP="00D9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Sekretarz Stanu / Dyrektor Departamentu Pomocy i Integracji Społecznej </w:t>
            </w:r>
          </w:p>
        </w:tc>
        <w:tc>
          <w:tcPr>
            <w:tcW w:w="1092" w:type="pct"/>
            <w:vAlign w:val="center"/>
          </w:tcPr>
          <w:p w14:paraId="6DD5C297" w14:textId="0B81C4B9" w:rsidR="00C87CD6" w:rsidRPr="00A31E3D" w:rsidRDefault="00AC6F86" w:rsidP="00D96E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974981">
              <w:rPr>
                <w:sz w:val="24"/>
                <w:szCs w:val="24"/>
              </w:rPr>
              <w:t>ekretariat.dps</w:t>
            </w:r>
            <w:proofErr w:type="spellEnd"/>
            <w:r w:rsidR="00974981">
              <w:rPr>
                <w:sz w:val="24"/>
                <w:szCs w:val="24"/>
              </w:rPr>
              <w:t xml:space="preserve"> @mrips.gov.pl</w:t>
            </w:r>
          </w:p>
        </w:tc>
      </w:tr>
      <w:tr w:rsidR="00E90897" w:rsidRPr="00A31E3D" w14:paraId="11F6C627" w14:textId="3C97063A" w:rsidTr="00C07F06">
        <w:tc>
          <w:tcPr>
            <w:tcW w:w="975" w:type="pct"/>
            <w:vAlign w:val="center"/>
          </w:tcPr>
          <w:p w14:paraId="5E71C753" w14:textId="77777777" w:rsidR="00C87CD6" w:rsidRPr="00A31E3D" w:rsidRDefault="00C87CD6" w:rsidP="00D96EBB">
            <w:pPr>
              <w:rPr>
                <w:sz w:val="24"/>
                <w:szCs w:val="24"/>
              </w:rPr>
            </w:pPr>
            <w:r w:rsidRPr="00A31E3D">
              <w:rPr>
                <w:sz w:val="24"/>
                <w:szCs w:val="24"/>
              </w:rPr>
              <w:t>Instytucja pośrednicząca</w:t>
            </w:r>
          </w:p>
        </w:tc>
        <w:tc>
          <w:tcPr>
            <w:tcW w:w="1465" w:type="pct"/>
            <w:vAlign w:val="center"/>
          </w:tcPr>
          <w:p w14:paraId="4DF897D7" w14:textId="77777777" w:rsidR="00C87CD6" w:rsidRPr="00A31E3D" w:rsidRDefault="00C87CD6">
            <w:pPr>
              <w:rPr>
                <w:sz w:val="24"/>
                <w:szCs w:val="24"/>
              </w:rPr>
            </w:pPr>
            <w:r w:rsidRPr="00A31E3D">
              <w:rPr>
                <w:sz w:val="24"/>
                <w:szCs w:val="24"/>
              </w:rPr>
              <w:t>Krajowy Ośrodek Wsparcia Rolnictwa</w:t>
            </w:r>
          </w:p>
        </w:tc>
        <w:tc>
          <w:tcPr>
            <w:tcW w:w="1468" w:type="pct"/>
            <w:vAlign w:val="center"/>
          </w:tcPr>
          <w:p w14:paraId="7AD00877" w14:textId="4C7C3BDB" w:rsidR="00C87CD6" w:rsidRPr="00A31E3D" w:rsidRDefault="00974981" w:rsidP="00D9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Dyrektor generalny KOWR / Dyrektor Departamentu Wspierania Konsumpcji</w:t>
            </w:r>
          </w:p>
        </w:tc>
        <w:tc>
          <w:tcPr>
            <w:tcW w:w="1092" w:type="pct"/>
            <w:vAlign w:val="center"/>
          </w:tcPr>
          <w:p w14:paraId="1A214F5D" w14:textId="712B7D74" w:rsidR="00974981" w:rsidRDefault="00AC6F86" w:rsidP="00D96E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974981">
              <w:rPr>
                <w:sz w:val="24"/>
                <w:szCs w:val="24"/>
              </w:rPr>
              <w:t>ekretariat</w:t>
            </w:r>
            <w:r>
              <w:rPr>
                <w:sz w:val="24"/>
                <w:szCs w:val="24"/>
              </w:rPr>
              <w:t>_</w:t>
            </w:r>
            <w:r w:rsidR="00974981">
              <w:rPr>
                <w:sz w:val="24"/>
                <w:szCs w:val="24"/>
              </w:rPr>
              <w:t>dwk</w:t>
            </w:r>
            <w:proofErr w:type="spellEnd"/>
          </w:p>
          <w:p w14:paraId="08D6C427" w14:textId="4A0E1AA7" w:rsidR="00C87CD6" w:rsidRPr="00A31E3D" w:rsidRDefault="00974981" w:rsidP="00D9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@kowr.gov.pl</w:t>
            </w:r>
          </w:p>
        </w:tc>
      </w:tr>
      <w:tr w:rsidR="00E90897" w:rsidRPr="00A31E3D" w14:paraId="57327AEB" w14:textId="322FC0EB" w:rsidTr="00C07F06">
        <w:tc>
          <w:tcPr>
            <w:tcW w:w="975" w:type="pct"/>
            <w:vAlign w:val="center"/>
          </w:tcPr>
          <w:p w14:paraId="431C7C44" w14:textId="77777777" w:rsidR="00C87CD6" w:rsidRPr="00A31E3D" w:rsidRDefault="00C87CD6" w:rsidP="00D96EBB">
            <w:pPr>
              <w:rPr>
                <w:sz w:val="24"/>
                <w:szCs w:val="24"/>
              </w:rPr>
            </w:pPr>
            <w:r w:rsidRPr="00A31E3D">
              <w:rPr>
                <w:sz w:val="24"/>
                <w:szCs w:val="24"/>
              </w:rPr>
              <w:t>Instytucja audytowa</w:t>
            </w:r>
          </w:p>
        </w:tc>
        <w:tc>
          <w:tcPr>
            <w:tcW w:w="1465" w:type="pct"/>
            <w:vAlign w:val="center"/>
          </w:tcPr>
          <w:p w14:paraId="36D81C16" w14:textId="09E83BE8" w:rsidR="00C87CD6" w:rsidRPr="00A31E3D" w:rsidRDefault="00C87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Szef Krajowej Administracji Skarbowej</w:t>
            </w:r>
          </w:p>
        </w:tc>
        <w:tc>
          <w:tcPr>
            <w:tcW w:w="1468" w:type="pct"/>
            <w:vAlign w:val="center"/>
          </w:tcPr>
          <w:p w14:paraId="007E477E" w14:textId="3228B533" w:rsidR="00C87CD6" w:rsidRPr="00A31E3D" w:rsidRDefault="005A49E2" w:rsidP="00D9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Dyrektor Departamentu</w:t>
            </w:r>
            <w:r w:rsidR="00DC3009">
              <w:rPr>
                <w:sz w:val="24"/>
                <w:szCs w:val="24"/>
              </w:rPr>
              <w:t xml:space="preserve"> </w:t>
            </w:r>
            <w:r w:rsidR="00DC3009" w:rsidRPr="00DC3009">
              <w:rPr>
                <w:sz w:val="24"/>
                <w:szCs w:val="24"/>
              </w:rPr>
              <w:t>Audytu Środków Publicznych w Ministerstwie Finansów</w:t>
            </w:r>
          </w:p>
        </w:tc>
        <w:tc>
          <w:tcPr>
            <w:tcW w:w="1092" w:type="pct"/>
            <w:vAlign w:val="center"/>
          </w:tcPr>
          <w:p w14:paraId="60B9B314" w14:textId="301DEC4D" w:rsidR="00E90897" w:rsidRDefault="00AC6F86" w:rsidP="00D96E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E90897">
              <w:rPr>
                <w:sz w:val="24"/>
                <w:szCs w:val="24"/>
              </w:rPr>
              <w:t>ekretariat.das</w:t>
            </w:r>
            <w:proofErr w:type="spellEnd"/>
          </w:p>
          <w:p w14:paraId="6D08CC6A" w14:textId="5EA450B9" w:rsidR="00C87CD6" w:rsidRPr="00A31E3D" w:rsidRDefault="00E90897" w:rsidP="00D9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@mf.gov.pl</w:t>
            </w:r>
          </w:p>
        </w:tc>
      </w:tr>
      <w:tr w:rsidR="00E90897" w:rsidRPr="00A31E3D" w14:paraId="2774B740" w14:textId="0596DE92" w:rsidTr="00706D85">
        <w:tc>
          <w:tcPr>
            <w:tcW w:w="975" w:type="pct"/>
            <w:vAlign w:val="center"/>
          </w:tcPr>
          <w:p w14:paraId="46A27352" w14:textId="0674B2E6" w:rsidR="00C87CD6" w:rsidRPr="00A31E3D" w:rsidRDefault="00C87CD6" w:rsidP="00D9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Instytucja </w:t>
            </w:r>
            <w:r w:rsidR="00F33F4C">
              <w:rPr>
                <w:sz w:val="24"/>
                <w:szCs w:val="24"/>
              </w:rPr>
              <w:t xml:space="preserve">odpowiedzialna za </w:t>
            </w:r>
            <w:r w:rsidRPr="00A31E3D">
              <w:rPr>
                <w:sz w:val="24"/>
                <w:szCs w:val="24"/>
              </w:rPr>
              <w:t>otrzym</w:t>
            </w:r>
            <w:r w:rsidR="00F33F4C">
              <w:rPr>
                <w:sz w:val="24"/>
                <w:szCs w:val="24"/>
              </w:rPr>
              <w:t>ywanie</w:t>
            </w:r>
            <w:r w:rsidRPr="00A31E3D">
              <w:rPr>
                <w:sz w:val="24"/>
                <w:szCs w:val="24"/>
              </w:rPr>
              <w:t xml:space="preserve"> płatności od Komisji</w:t>
            </w:r>
          </w:p>
        </w:tc>
        <w:tc>
          <w:tcPr>
            <w:tcW w:w="1465" w:type="pct"/>
            <w:vAlign w:val="center"/>
          </w:tcPr>
          <w:p w14:paraId="612EE47B" w14:textId="17FC179F" w:rsidR="00C87CD6" w:rsidRPr="00A31E3D" w:rsidRDefault="00DC5A6F">
            <w:pPr>
              <w:rPr>
                <w:sz w:val="24"/>
                <w:szCs w:val="24"/>
              </w:rPr>
            </w:pPr>
            <w:r w:rsidRPr="00DC5A6F">
              <w:rPr>
                <w:sz w:val="24"/>
                <w:szCs w:val="24"/>
              </w:rPr>
              <w:t xml:space="preserve">Minister właściwy do spraw finansów publicznych </w:t>
            </w:r>
          </w:p>
        </w:tc>
        <w:tc>
          <w:tcPr>
            <w:tcW w:w="1468" w:type="pct"/>
            <w:vAlign w:val="center"/>
          </w:tcPr>
          <w:p w14:paraId="3E914E27" w14:textId="7F4DCE42" w:rsidR="00C87CD6" w:rsidRPr="00A31E3D" w:rsidRDefault="00DC5A6F" w:rsidP="00D9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Dyrektor Departamentu Instytucji Płatniczej</w:t>
            </w:r>
            <w:r w:rsidR="00C07F06">
              <w:t xml:space="preserve"> </w:t>
            </w:r>
            <w:r w:rsidR="00C07F06" w:rsidRPr="00C07F06">
              <w:rPr>
                <w:sz w:val="24"/>
                <w:szCs w:val="24"/>
              </w:rPr>
              <w:t>w Ministerstwie Finansów</w:t>
            </w:r>
          </w:p>
        </w:tc>
        <w:tc>
          <w:tcPr>
            <w:tcW w:w="1092" w:type="pct"/>
            <w:vAlign w:val="center"/>
          </w:tcPr>
          <w:p w14:paraId="1ACFF815" w14:textId="03F2E60F" w:rsidR="00C87CD6" w:rsidRDefault="00AC6F86" w:rsidP="00D96E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DC5A6F">
              <w:rPr>
                <w:sz w:val="24"/>
                <w:szCs w:val="24"/>
              </w:rPr>
              <w:t>ekretariat.ip</w:t>
            </w:r>
            <w:proofErr w:type="spellEnd"/>
          </w:p>
          <w:p w14:paraId="07E5356C" w14:textId="3FBF7AAA" w:rsidR="00DC5A6F" w:rsidRPr="00A31E3D" w:rsidRDefault="00DC5A6F" w:rsidP="00D9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@mf.gov.pl</w:t>
            </w:r>
          </w:p>
        </w:tc>
      </w:tr>
      <w:tr w:rsidR="00E90897" w:rsidRPr="00A31E3D" w14:paraId="0D0A354E" w14:textId="7F3F346A" w:rsidTr="00706D85">
        <w:tc>
          <w:tcPr>
            <w:tcW w:w="975" w:type="pct"/>
            <w:vAlign w:val="center"/>
          </w:tcPr>
          <w:p w14:paraId="43A6E81E" w14:textId="7E11BE0C" w:rsidR="00C87CD6" w:rsidRPr="00A31E3D" w:rsidRDefault="00C87CD6" w:rsidP="00486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Instytucja</w:t>
            </w:r>
            <w:r w:rsidRPr="00A31E3D">
              <w:rPr>
                <w:sz w:val="24"/>
                <w:szCs w:val="24"/>
              </w:rPr>
              <w:t xml:space="preserve"> wykonując</w:t>
            </w:r>
            <w:r>
              <w:rPr>
                <w:sz w:val="24"/>
                <w:szCs w:val="24"/>
              </w:rPr>
              <w:t>a</w:t>
            </w:r>
            <w:r w:rsidRPr="00A31E3D">
              <w:rPr>
                <w:sz w:val="24"/>
                <w:szCs w:val="24"/>
              </w:rPr>
              <w:t xml:space="preserve"> zadania w zakresie księgowania wydatków</w:t>
            </w:r>
          </w:p>
        </w:tc>
        <w:tc>
          <w:tcPr>
            <w:tcW w:w="1465" w:type="pct"/>
            <w:vAlign w:val="center"/>
          </w:tcPr>
          <w:p w14:paraId="7523A6E1" w14:textId="09B4C441" w:rsidR="00C87CD6" w:rsidRPr="00A31E3D" w:rsidRDefault="00DC5A6F">
            <w:pPr>
              <w:rPr>
                <w:sz w:val="24"/>
                <w:szCs w:val="24"/>
              </w:rPr>
            </w:pPr>
            <w:r w:rsidRPr="00DC5A6F">
              <w:rPr>
                <w:sz w:val="24"/>
                <w:szCs w:val="24"/>
              </w:rPr>
              <w:t xml:space="preserve">Minister właściwy do spraw finansów publicznych </w:t>
            </w:r>
          </w:p>
        </w:tc>
        <w:tc>
          <w:tcPr>
            <w:tcW w:w="1468" w:type="pct"/>
            <w:vAlign w:val="center"/>
          </w:tcPr>
          <w:p w14:paraId="503C32EF" w14:textId="63C2BCB9" w:rsidR="00C87CD6" w:rsidRPr="00A31E3D" w:rsidRDefault="00DC5A6F" w:rsidP="00486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Dyrektor Departamentu Instytucji Płatniczej</w:t>
            </w:r>
            <w:r w:rsidR="00C07F06">
              <w:t xml:space="preserve"> </w:t>
            </w:r>
            <w:r w:rsidR="00C07F06" w:rsidRPr="00C07F06">
              <w:rPr>
                <w:sz w:val="24"/>
                <w:szCs w:val="24"/>
              </w:rPr>
              <w:t>w Ministerstwie Finansów</w:t>
            </w:r>
          </w:p>
        </w:tc>
        <w:tc>
          <w:tcPr>
            <w:tcW w:w="1092" w:type="pct"/>
            <w:vAlign w:val="center"/>
          </w:tcPr>
          <w:p w14:paraId="626DACE9" w14:textId="2E09418A" w:rsidR="00DC5A6F" w:rsidRPr="00DC5A6F" w:rsidRDefault="00AC6F86" w:rsidP="00DC5A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DC5A6F" w:rsidRPr="00DC5A6F">
              <w:rPr>
                <w:sz w:val="24"/>
                <w:szCs w:val="24"/>
              </w:rPr>
              <w:t>ekretariat.ip</w:t>
            </w:r>
            <w:proofErr w:type="spellEnd"/>
          </w:p>
          <w:p w14:paraId="36CAD1F3" w14:textId="248F443B" w:rsidR="00C87CD6" w:rsidRPr="00A31E3D" w:rsidRDefault="00DC5A6F" w:rsidP="00DC5A6F">
            <w:pPr>
              <w:rPr>
                <w:sz w:val="24"/>
                <w:szCs w:val="24"/>
              </w:rPr>
            </w:pPr>
            <w:r w:rsidRPr="00DC5A6F">
              <w:rPr>
                <w:sz w:val="24"/>
                <w:szCs w:val="24"/>
              </w:rPr>
              <w:t>@mf.gov.pl</w:t>
            </w:r>
          </w:p>
        </w:tc>
      </w:tr>
    </w:tbl>
    <w:p w14:paraId="5BABB7FE" w14:textId="77777777" w:rsidR="00827AC9" w:rsidRPr="00A31E3D" w:rsidRDefault="00827AC9" w:rsidP="00A31E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BE7020" w14:textId="77777777" w:rsidR="00D005F7" w:rsidRPr="00A31E3D" w:rsidRDefault="00D005F7" w:rsidP="00A31E3D">
      <w:pPr>
        <w:pStyle w:val="Podtytu"/>
        <w:rPr>
          <w:rFonts w:ascii="Times New Roman" w:hAnsi="Times New Roman" w:cs="Times New Roman"/>
          <w:b/>
          <w:bCs/>
        </w:rPr>
      </w:pPr>
      <w:r w:rsidRPr="00A31E3D">
        <w:rPr>
          <w:rFonts w:ascii="Times New Roman" w:hAnsi="Times New Roman" w:cs="Times New Roman"/>
          <w:b/>
          <w:bCs/>
        </w:rPr>
        <w:t>4. Rodzaje wsparcia</w:t>
      </w:r>
    </w:p>
    <w:p w14:paraId="55E06832" w14:textId="77777777" w:rsidR="00C76968" w:rsidRPr="00A31E3D" w:rsidRDefault="00C76968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W ramach Programu </w:t>
      </w:r>
      <w:r w:rsidR="001E4651" w:rsidRPr="00A31E3D">
        <w:rPr>
          <w:rFonts w:ascii="Times New Roman" w:hAnsi="Times New Roman" w:cs="Times New Roman"/>
          <w:sz w:val="24"/>
          <w:szCs w:val="24"/>
        </w:rPr>
        <w:t>pomoc udzielana odbiorcom końcowym obejmuje:</w:t>
      </w:r>
    </w:p>
    <w:p w14:paraId="1D0A2793" w14:textId="77777777" w:rsidR="001E4651" w:rsidRPr="00DA5122" w:rsidRDefault="001E4651" w:rsidP="00515FE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122">
        <w:rPr>
          <w:rFonts w:ascii="Times New Roman" w:hAnsi="Times New Roman" w:cs="Times New Roman"/>
          <w:sz w:val="24"/>
          <w:szCs w:val="24"/>
        </w:rPr>
        <w:t>żywność w formie paczek z artykułami spożywczymi lub posiłków</w:t>
      </w:r>
      <w:r w:rsidR="003A69FB" w:rsidRPr="00DA5122">
        <w:rPr>
          <w:rFonts w:ascii="Times New Roman" w:hAnsi="Times New Roman" w:cs="Times New Roman"/>
          <w:sz w:val="24"/>
          <w:szCs w:val="24"/>
        </w:rPr>
        <w:t>,</w:t>
      </w:r>
    </w:p>
    <w:p w14:paraId="03EF319F" w14:textId="6C36A91B" w:rsidR="00CA2543" w:rsidRPr="00601C9C" w:rsidRDefault="001E4651" w:rsidP="00A31E3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122">
        <w:rPr>
          <w:rFonts w:ascii="Times New Roman" w:hAnsi="Times New Roman" w:cs="Times New Roman"/>
          <w:sz w:val="24"/>
          <w:szCs w:val="24"/>
        </w:rPr>
        <w:t>udział w działaniach na rzecz włączenia społecznego (środki towarzyszące)</w:t>
      </w:r>
      <w:r w:rsidR="00CA2543" w:rsidRPr="00DA5122">
        <w:rPr>
          <w:rFonts w:ascii="Times New Roman" w:hAnsi="Times New Roman" w:cs="Times New Roman"/>
          <w:sz w:val="24"/>
          <w:szCs w:val="24"/>
        </w:rPr>
        <w:t>.</w:t>
      </w:r>
    </w:p>
    <w:p w14:paraId="0A4F481A" w14:textId="77777777" w:rsidR="0078066D" w:rsidRPr="00DA5122" w:rsidRDefault="0078066D" w:rsidP="00DA5122">
      <w:pPr>
        <w:pStyle w:val="Podtytu"/>
        <w:rPr>
          <w:rFonts w:ascii="Times New Roman" w:hAnsi="Times New Roman" w:cs="Times New Roman"/>
          <w:u w:val="single"/>
        </w:rPr>
      </w:pPr>
      <w:r w:rsidRPr="00DA5122">
        <w:rPr>
          <w:rFonts w:ascii="Times New Roman" w:hAnsi="Times New Roman" w:cs="Times New Roman"/>
          <w:u w:val="single"/>
        </w:rPr>
        <w:t>Sieci dystrybucji</w:t>
      </w:r>
    </w:p>
    <w:p w14:paraId="0173AA26" w14:textId="77777777" w:rsidR="00100EF3" w:rsidRDefault="00CA2543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Artykuły spożywcze zakupione przez KOWR są nieodpłatnie </w:t>
      </w:r>
      <w:r w:rsidR="002806E9" w:rsidRPr="00A31E3D">
        <w:rPr>
          <w:rFonts w:ascii="Times New Roman" w:hAnsi="Times New Roman" w:cs="Times New Roman"/>
          <w:sz w:val="24"/>
          <w:szCs w:val="24"/>
        </w:rPr>
        <w:t xml:space="preserve">dostarczane do magazynów OPR wskazanych przez OPO. </w:t>
      </w:r>
    </w:p>
    <w:p w14:paraId="7111360A" w14:textId="6DEE6A4E" w:rsidR="00312030" w:rsidRDefault="00100EF3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Jakość artykułów spożywczych podlega kontroli </w:t>
      </w:r>
      <w:r w:rsidR="00312030">
        <w:rPr>
          <w:rFonts w:ascii="Times New Roman" w:hAnsi="Times New Roman" w:cs="Times New Roman"/>
          <w:sz w:val="24"/>
          <w:szCs w:val="24"/>
        </w:rPr>
        <w:t xml:space="preserve">w celu zapewnienia zgodności z zasadą bezpieczeństwa, o której mowa w art. 19 ust. 1 </w:t>
      </w:r>
      <w:proofErr w:type="spellStart"/>
      <w:r w:rsidR="00312030">
        <w:rPr>
          <w:rFonts w:ascii="Times New Roman" w:hAnsi="Times New Roman" w:cs="Times New Roman"/>
          <w:sz w:val="24"/>
          <w:szCs w:val="24"/>
        </w:rPr>
        <w:t>rozp</w:t>
      </w:r>
      <w:proofErr w:type="spellEnd"/>
      <w:r w:rsidR="00312030">
        <w:rPr>
          <w:rFonts w:ascii="Times New Roman" w:hAnsi="Times New Roman" w:cs="Times New Roman"/>
          <w:sz w:val="24"/>
          <w:szCs w:val="24"/>
        </w:rPr>
        <w:t xml:space="preserve">. EFS+. Za wykonywanie badań laboratoryjnych próbek artykułów spożywczych odpowiada </w:t>
      </w:r>
      <w:r w:rsidR="00312030" w:rsidRPr="00312030">
        <w:rPr>
          <w:rFonts w:ascii="Times New Roman" w:hAnsi="Times New Roman" w:cs="Times New Roman"/>
          <w:sz w:val="24"/>
          <w:szCs w:val="24"/>
        </w:rPr>
        <w:t>Inspekcj</w:t>
      </w:r>
      <w:r w:rsidR="00312030">
        <w:rPr>
          <w:rFonts w:ascii="Times New Roman" w:hAnsi="Times New Roman" w:cs="Times New Roman"/>
          <w:sz w:val="24"/>
          <w:szCs w:val="24"/>
        </w:rPr>
        <w:t>a</w:t>
      </w:r>
      <w:r w:rsidR="00312030" w:rsidRPr="00312030">
        <w:rPr>
          <w:rFonts w:ascii="Times New Roman" w:hAnsi="Times New Roman" w:cs="Times New Roman"/>
          <w:sz w:val="24"/>
          <w:szCs w:val="24"/>
        </w:rPr>
        <w:t xml:space="preserve"> Jakości Handlowej Artykułów Rolno -Spożywczych</w:t>
      </w:r>
      <w:r w:rsidR="00312030">
        <w:rPr>
          <w:rFonts w:ascii="Times New Roman" w:hAnsi="Times New Roman" w:cs="Times New Roman"/>
          <w:sz w:val="24"/>
          <w:szCs w:val="24"/>
        </w:rPr>
        <w:t xml:space="preserve"> na podstawie odrębnych przepisów w drodze porozumienia z KOWR.</w:t>
      </w:r>
    </w:p>
    <w:p w14:paraId="1E8DCEC9" w14:textId="7E17C5EE" w:rsidR="0078066D" w:rsidRPr="00A31E3D" w:rsidRDefault="002806E9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OPR wchodzą w skład struktury OPO lub są ich organizacjami członkowskimi. OPR dostarczają artykuły spożywcze do OPL lub wydają je bezpośrednio odbiorcom końcowym. </w:t>
      </w:r>
      <w:r w:rsidRPr="00A31E3D">
        <w:rPr>
          <w:rFonts w:ascii="Times New Roman" w:hAnsi="Times New Roman" w:cs="Times New Roman"/>
          <w:sz w:val="24"/>
          <w:szCs w:val="24"/>
        </w:rPr>
        <w:lastRenderedPageBreak/>
        <w:t>OPL prowadzą dystrybucję artykułów spożywczych bezpośrednio wśród odbiorców</w:t>
      </w:r>
      <w:r w:rsidR="0078066D" w:rsidRPr="00A31E3D">
        <w:rPr>
          <w:rFonts w:ascii="Times New Roman" w:hAnsi="Times New Roman" w:cs="Times New Roman"/>
          <w:sz w:val="24"/>
          <w:szCs w:val="24"/>
        </w:rPr>
        <w:t xml:space="preserve"> końcowych.</w:t>
      </w:r>
    </w:p>
    <w:p w14:paraId="4142B77B" w14:textId="77777777" w:rsidR="0078066D" w:rsidRPr="00A31E3D" w:rsidRDefault="0078066D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Pomoc w formie paczek żywnościowych wydaje się wyłącznie w pomieszczeniach organizacji prowadzących dystrybucję lub dostarcza do miejsc zamieszkania odbiorców.</w:t>
      </w:r>
    </w:p>
    <w:p w14:paraId="3785C7F2" w14:textId="77777777" w:rsidR="0078066D" w:rsidRPr="00A31E3D" w:rsidRDefault="0078066D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Posiłki do spożycia na miejscu  są przygotowywane i wydawane w placówkach posiadających zaplecze kuchenne, m.in. w schroniskach dla bezdomnych, jadłodajniach i noclegowniach.</w:t>
      </w:r>
    </w:p>
    <w:p w14:paraId="225455B9" w14:textId="647A34F8" w:rsidR="00EF5D8D" w:rsidRDefault="0078066D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Art</w:t>
      </w:r>
      <w:r w:rsidR="00A544FF">
        <w:rPr>
          <w:rFonts w:ascii="Times New Roman" w:hAnsi="Times New Roman" w:cs="Times New Roman"/>
          <w:sz w:val="24"/>
          <w:szCs w:val="24"/>
        </w:rPr>
        <w:t>ykuł</w:t>
      </w:r>
      <w:r w:rsidR="0048683C">
        <w:rPr>
          <w:rFonts w:ascii="Times New Roman" w:hAnsi="Times New Roman" w:cs="Times New Roman"/>
          <w:sz w:val="24"/>
          <w:szCs w:val="24"/>
        </w:rPr>
        <w:t>y</w:t>
      </w:r>
      <w:r w:rsidRPr="00A31E3D">
        <w:rPr>
          <w:rFonts w:ascii="Times New Roman" w:hAnsi="Times New Roman" w:cs="Times New Roman"/>
          <w:sz w:val="24"/>
          <w:szCs w:val="24"/>
        </w:rPr>
        <w:t xml:space="preserve"> spożywcze nie mogą być przekazywane instytucjom, które otrzymują dofinansowanie z innych źródeł obejmujące wyżywienie lub pobierają opłaty za wyżywienie; przy czym dopuszcza się przekazywanie artykułów spożywczych tym instytucjom, jeśli są:</w:t>
      </w:r>
      <w:r w:rsidRPr="00A31E3D" w:rsidDel="005C4F89">
        <w:rPr>
          <w:rFonts w:ascii="Times New Roman" w:hAnsi="Times New Roman" w:cs="Times New Roman"/>
          <w:sz w:val="24"/>
          <w:szCs w:val="24"/>
        </w:rPr>
        <w:t xml:space="preserve"> </w:t>
      </w:r>
      <w:r w:rsidRPr="00A31E3D">
        <w:rPr>
          <w:rFonts w:ascii="Times New Roman" w:hAnsi="Times New Roman" w:cs="Times New Roman"/>
          <w:sz w:val="24"/>
          <w:szCs w:val="24"/>
        </w:rPr>
        <w:t>placówkami</w:t>
      </w:r>
      <w:r w:rsidR="00D97666">
        <w:rPr>
          <w:rFonts w:ascii="Times New Roman" w:hAnsi="Times New Roman" w:cs="Times New Roman"/>
          <w:sz w:val="24"/>
          <w:szCs w:val="24"/>
        </w:rPr>
        <w:t xml:space="preserve"> o</w:t>
      </w:r>
      <w:r w:rsidR="00601C9C">
        <w:rPr>
          <w:rFonts w:ascii="Times New Roman" w:hAnsi="Times New Roman" w:cs="Times New Roman"/>
          <w:sz w:val="24"/>
          <w:szCs w:val="24"/>
        </w:rPr>
        <w:t> </w:t>
      </w:r>
      <w:r w:rsidRPr="00A31E3D">
        <w:rPr>
          <w:rFonts w:ascii="Times New Roman" w:hAnsi="Times New Roman" w:cs="Times New Roman"/>
          <w:sz w:val="24"/>
          <w:szCs w:val="24"/>
        </w:rPr>
        <w:t xml:space="preserve">charakterze dziennym świadczącymi pomoc dzieciom, placówkami dla osób bezdomnych, jadłodajniami, z tym, że osoby objęte pomocą żywnościową nie mogą wnosić opłat za posiłki otrzymywane w tych instytucjach. </w:t>
      </w:r>
    </w:p>
    <w:p w14:paraId="186966A3" w14:textId="77777777" w:rsidR="006B188C" w:rsidRPr="00A31E3D" w:rsidRDefault="006B188C" w:rsidP="00A31E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93392F" w14:textId="77777777" w:rsidR="0078066D" w:rsidRPr="00DA5122" w:rsidRDefault="0078066D" w:rsidP="00A31E3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5122">
        <w:rPr>
          <w:rFonts w:ascii="Times New Roman" w:hAnsi="Times New Roman" w:cs="Times New Roman"/>
          <w:sz w:val="24"/>
          <w:szCs w:val="24"/>
          <w:u w:val="single"/>
        </w:rPr>
        <w:t>Środki towarzyszące</w:t>
      </w:r>
    </w:p>
    <w:p w14:paraId="11057BDF" w14:textId="77777777" w:rsidR="00EF5D8D" w:rsidRPr="00A31E3D" w:rsidRDefault="00F404F9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Działania</w:t>
      </w:r>
      <w:r w:rsidR="005C0C82" w:rsidRPr="00A31E3D">
        <w:rPr>
          <w:rFonts w:ascii="Times New Roman" w:hAnsi="Times New Roman" w:cs="Times New Roman"/>
          <w:sz w:val="24"/>
          <w:szCs w:val="24"/>
        </w:rPr>
        <w:t xml:space="preserve"> prowadzone w ramach środków towarzyszących</w:t>
      </w:r>
      <w:r w:rsidR="004B431F" w:rsidRPr="00A31E3D">
        <w:rPr>
          <w:rFonts w:ascii="Times New Roman" w:hAnsi="Times New Roman" w:cs="Times New Roman"/>
          <w:sz w:val="24"/>
          <w:szCs w:val="24"/>
        </w:rPr>
        <w:t xml:space="preserve">, wykraczające poza dystrybucję żywności, mają na celu przeciwdziałanie wykluczeniu społecznemu odbiorców końcowych Programu i wzmacnianie ich samodzielności </w:t>
      </w:r>
      <w:r w:rsidR="00FD4405">
        <w:rPr>
          <w:rFonts w:ascii="Times New Roman" w:hAnsi="Times New Roman" w:cs="Times New Roman"/>
          <w:sz w:val="24"/>
          <w:szCs w:val="24"/>
        </w:rPr>
        <w:t xml:space="preserve">m.in. </w:t>
      </w:r>
      <w:r w:rsidR="004B431F" w:rsidRPr="00A31E3D">
        <w:rPr>
          <w:rFonts w:ascii="Times New Roman" w:hAnsi="Times New Roman" w:cs="Times New Roman"/>
          <w:sz w:val="24"/>
          <w:szCs w:val="24"/>
        </w:rPr>
        <w:t xml:space="preserve">poprzez </w:t>
      </w:r>
      <w:r w:rsidR="006E561A" w:rsidRPr="00A31E3D">
        <w:rPr>
          <w:rFonts w:ascii="Times New Roman" w:hAnsi="Times New Roman" w:cs="Times New Roman"/>
          <w:sz w:val="24"/>
          <w:szCs w:val="24"/>
        </w:rPr>
        <w:t xml:space="preserve">dostęp do usług społecznych i zdrowotnych, </w:t>
      </w:r>
      <w:r w:rsidR="004B431F" w:rsidRPr="00A31E3D">
        <w:rPr>
          <w:rFonts w:ascii="Times New Roman" w:hAnsi="Times New Roman" w:cs="Times New Roman"/>
          <w:sz w:val="24"/>
          <w:szCs w:val="24"/>
        </w:rPr>
        <w:t>w tym wsparci</w:t>
      </w:r>
      <w:r w:rsidR="006E561A" w:rsidRPr="00A31E3D">
        <w:rPr>
          <w:rFonts w:ascii="Times New Roman" w:hAnsi="Times New Roman" w:cs="Times New Roman"/>
          <w:sz w:val="24"/>
          <w:szCs w:val="24"/>
        </w:rPr>
        <w:t>a</w:t>
      </w:r>
      <w:r w:rsidR="004B431F" w:rsidRPr="00A31E3D">
        <w:rPr>
          <w:rFonts w:ascii="Times New Roman" w:hAnsi="Times New Roman" w:cs="Times New Roman"/>
          <w:sz w:val="24"/>
          <w:szCs w:val="24"/>
        </w:rPr>
        <w:t xml:space="preserve"> psychologiczne</w:t>
      </w:r>
      <w:r w:rsidR="006E561A" w:rsidRPr="00A31E3D">
        <w:rPr>
          <w:rFonts w:ascii="Times New Roman" w:hAnsi="Times New Roman" w:cs="Times New Roman"/>
          <w:sz w:val="24"/>
          <w:szCs w:val="24"/>
        </w:rPr>
        <w:t>go</w:t>
      </w:r>
      <w:r w:rsidR="004B431F" w:rsidRPr="00A31E3D">
        <w:rPr>
          <w:rFonts w:ascii="Times New Roman" w:hAnsi="Times New Roman" w:cs="Times New Roman"/>
          <w:sz w:val="24"/>
          <w:szCs w:val="24"/>
        </w:rPr>
        <w:t>,</w:t>
      </w:r>
      <w:r w:rsidR="006E561A" w:rsidRPr="00A31E3D">
        <w:rPr>
          <w:rFonts w:ascii="Times New Roman" w:hAnsi="Times New Roman" w:cs="Times New Roman"/>
          <w:sz w:val="24"/>
          <w:szCs w:val="24"/>
        </w:rPr>
        <w:t xml:space="preserve"> </w:t>
      </w:r>
      <w:r w:rsidR="004B431F" w:rsidRPr="00A31E3D">
        <w:rPr>
          <w:rFonts w:ascii="Times New Roman" w:hAnsi="Times New Roman" w:cs="Times New Roman"/>
          <w:sz w:val="24"/>
          <w:szCs w:val="24"/>
        </w:rPr>
        <w:t>stosownych informacji na temat usług publicznych lub</w:t>
      </w:r>
      <w:r w:rsidR="006E561A" w:rsidRPr="00A31E3D">
        <w:rPr>
          <w:rFonts w:ascii="Times New Roman" w:hAnsi="Times New Roman" w:cs="Times New Roman"/>
          <w:sz w:val="24"/>
          <w:szCs w:val="24"/>
        </w:rPr>
        <w:t xml:space="preserve"> </w:t>
      </w:r>
      <w:r w:rsidR="004B431F" w:rsidRPr="00A31E3D">
        <w:rPr>
          <w:rFonts w:ascii="Times New Roman" w:hAnsi="Times New Roman" w:cs="Times New Roman"/>
          <w:sz w:val="24"/>
          <w:szCs w:val="24"/>
        </w:rPr>
        <w:t>porad dotyczących gospodarowania budżetem domowym.</w:t>
      </w:r>
    </w:p>
    <w:p w14:paraId="1A6DCB8B" w14:textId="77777777" w:rsidR="002D240B" w:rsidRPr="00A31E3D" w:rsidRDefault="00EF5D8D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Działania towarzyszące mogą obejmować w szczególności zajęcia aktywizujące</w:t>
      </w:r>
      <w:r w:rsidR="002D240B" w:rsidRPr="00A31E3D">
        <w:rPr>
          <w:rFonts w:ascii="Times New Roman" w:hAnsi="Times New Roman" w:cs="Times New Roman"/>
          <w:sz w:val="24"/>
          <w:szCs w:val="24"/>
        </w:rPr>
        <w:t xml:space="preserve"> zmierzające do wyjścia z ubóstwa skierowane do różnych grup osób w najtrudniejszej sytuacji (np. osoby starsze, osoby niepełnosprawne, samotni rodzice, itp.).</w:t>
      </w:r>
    </w:p>
    <w:p w14:paraId="01264973" w14:textId="77777777" w:rsidR="00CA2543" w:rsidRPr="00A31E3D" w:rsidRDefault="002D240B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IZ w </w:t>
      </w:r>
      <w:r w:rsidR="00753320">
        <w:rPr>
          <w:rFonts w:ascii="Times New Roman" w:hAnsi="Times New Roman" w:cs="Times New Roman"/>
          <w:sz w:val="24"/>
          <w:szCs w:val="24"/>
        </w:rPr>
        <w:t>wytycz</w:t>
      </w:r>
      <w:r w:rsidRPr="00A31E3D">
        <w:rPr>
          <w:rFonts w:ascii="Times New Roman" w:hAnsi="Times New Roman" w:cs="Times New Roman"/>
          <w:sz w:val="24"/>
          <w:szCs w:val="24"/>
        </w:rPr>
        <w:t>nych na dany podprogram będzie określać rodzaje działań towarzyszących,</w:t>
      </w:r>
      <w:r w:rsidR="001B3AC0" w:rsidRPr="00A31E3D">
        <w:rPr>
          <w:rFonts w:ascii="Times New Roman" w:hAnsi="Times New Roman" w:cs="Times New Roman"/>
          <w:sz w:val="24"/>
          <w:szCs w:val="24"/>
        </w:rPr>
        <w:t xml:space="preserve"> objętych dofinansowaniem z Programu, w tym również na wniosek OPO.</w:t>
      </w:r>
      <w:r w:rsidR="00EF5D8D" w:rsidRPr="00A31E3D">
        <w:rPr>
          <w:rFonts w:ascii="Times New Roman" w:hAnsi="Times New Roman" w:cs="Times New Roman"/>
          <w:sz w:val="24"/>
          <w:szCs w:val="24"/>
        </w:rPr>
        <w:t xml:space="preserve"> </w:t>
      </w:r>
      <w:r w:rsidR="00F404F9" w:rsidRPr="00A31E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2C1C6" w14:textId="77777777" w:rsidR="00D97666" w:rsidRPr="00A31E3D" w:rsidRDefault="00D97666" w:rsidP="00A31E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7088A8" w14:textId="77777777" w:rsidR="00D005F7" w:rsidRPr="00DA5122" w:rsidRDefault="00D005F7" w:rsidP="00DA5122">
      <w:pPr>
        <w:pStyle w:val="Podtytu"/>
        <w:rPr>
          <w:rFonts w:ascii="Times New Roman" w:hAnsi="Times New Roman" w:cs="Times New Roman"/>
          <w:b/>
          <w:bCs/>
        </w:rPr>
      </w:pPr>
      <w:r w:rsidRPr="00DA5122">
        <w:rPr>
          <w:rFonts w:ascii="Times New Roman" w:hAnsi="Times New Roman" w:cs="Times New Roman"/>
          <w:b/>
          <w:bCs/>
        </w:rPr>
        <w:t>5. Główne grupy docelowe</w:t>
      </w:r>
    </w:p>
    <w:p w14:paraId="07376E50" w14:textId="77777777" w:rsidR="00E8331A" w:rsidRPr="00A31E3D" w:rsidRDefault="00B134E4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Pomocą objęte będą osoby i rodziny znajdujące się w trudnej sytuacji życiowej, dopuszczającej korzystanie z pomocy społecznej z powodów wskazanych w art. 7 ustawy o pomocy społecznej, których dochód nie przekroczy określonego poziomu, ustalonego procentowo w stosunku do dochodu uprawniającego do korzystania z pomocy społecznej.</w:t>
      </w:r>
    </w:p>
    <w:p w14:paraId="748FA39D" w14:textId="77777777" w:rsidR="00B134E4" w:rsidRPr="00A31E3D" w:rsidRDefault="00372C0E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Poziom kryteriów dochodowych na dany podprogram określa minister właściwy do spraw zabezpieczenia społecznego w </w:t>
      </w:r>
      <w:r w:rsidR="00753320">
        <w:rPr>
          <w:rFonts w:ascii="Times New Roman" w:hAnsi="Times New Roman" w:cs="Times New Roman"/>
          <w:sz w:val="24"/>
          <w:szCs w:val="24"/>
        </w:rPr>
        <w:t>Wytycz</w:t>
      </w:r>
      <w:r w:rsidRPr="00A31E3D">
        <w:rPr>
          <w:rFonts w:ascii="Times New Roman" w:hAnsi="Times New Roman" w:cs="Times New Roman"/>
          <w:sz w:val="24"/>
          <w:szCs w:val="24"/>
        </w:rPr>
        <w:t xml:space="preserve">nych </w:t>
      </w:r>
      <w:r w:rsidR="00B72C63" w:rsidRPr="00A31E3D">
        <w:rPr>
          <w:rFonts w:ascii="Times New Roman" w:hAnsi="Times New Roman" w:cs="Times New Roman"/>
          <w:sz w:val="24"/>
          <w:szCs w:val="24"/>
        </w:rPr>
        <w:t>IZ.</w:t>
      </w:r>
    </w:p>
    <w:p w14:paraId="4584B2D9" w14:textId="76D9A8AF" w:rsidR="00375214" w:rsidRPr="00A31E3D" w:rsidRDefault="00375214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OPS będą wydawać osobom skierowania do pomocy żywnościowej lub przekazywać OPR albo OPL listy osób zakwalifikowanych do pomocy z FE</w:t>
      </w:r>
      <w:r w:rsidR="00B5700C" w:rsidRPr="00A31E3D">
        <w:rPr>
          <w:rFonts w:ascii="Times New Roman" w:hAnsi="Times New Roman" w:cs="Times New Roman"/>
          <w:sz w:val="24"/>
          <w:szCs w:val="24"/>
        </w:rPr>
        <w:t>PŻ</w:t>
      </w:r>
      <w:r w:rsidRPr="00A31E3D">
        <w:rPr>
          <w:rFonts w:ascii="Times New Roman" w:hAnsi="Times New Roman" w:cs="Times New Roman"/>
          <w:sz w:val="24"/>
          <w:szCs w:val="24"/>
        </w:rPr>
        <w:t xml:space="preserve">, pod warunkiem uzyskania ich zgody. </w:t>
      </w:r>
      <w:r w:rsidR="00B5700C" w:rsidRPr="00A31E3D">
        <w:rPr>
          <w:rFonts w:ascii="Times New Roman" w:hAnsi="Times New Roman" w:cs="Times New Roman"/>
          <w:sz w:val="24"/>
          <w:szCs w:val="24"/>
        </w:rPr>
        <w:t>W skierowaniu wskazuje się</w:t>
      </w:r>
      <w:r w:rsidRPr="00A31E3D">
        <w:rPr>
          <w:rFonts w:ascii="Times New Roman" w:hAnsi="Times New Roman" w:cs="Times New Roman"/>
          <w:sz w:val="24"/>
          <w:szCs w:val="24"/>
        </w:rPr>
        <w:t xml:space="preserve"> punkt wydawania artykułów spożywczych</w:t>
      </w:r>
      <w:r w:rsidR="00B5700C" w:rsidRPr="00A31E3D">
        <w:rPr>
          <w:rFonts w:ascii="Times New Roman" w:hAnsi="Times New Roman" w:cs="Times New Roman"/>
          <w:sz w:val="24"/>
          <w:szCs w:val="24"/>
        </w:rPr>
        <w:t xml:space="preserve"> – siedzibę OPL lub OPR, z </w:t>
      </w:r>
      <w:r w:rsidR="00DA5122" w:rsidRPr="00A31E3D">
        <w:rPr>
          <w:rFonts w:ascii="Times New Roman" w:hAnsi="Times New Roman" w:cs="Times New Roman"/>
          <w:sz w:val="24"/>
          <w:szCs w:val="24"/>
        </w:rPr>
        <w:t>której</w:t>
      </w:r>
      <w:r w:rsidR="00B5700C" w:rsidRPr="00A31E3D">
        <w:rPr>
          <w:rFonts w:ascii="Times New Roman" w:hAnsi="Times New Roman" w:cs="Times New Roman"/>
          <w:sz w:val="24"/>
          <w:szCs w:val="24"/>
        </w:rPr>
        <w:t xml:space="preserve"> odbiorca otrzyma pomoc.</w:t>
      </w:r>
    </w:p>
    <w:p w14:paraId="0ECE0F91" w14:textId="17292ED3" w:rsidR="00696E3A" w:rsidRPr="00A31E3D" w:rsidRDefault="00B5700C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Osoby bezdomne mogą być kwalifikowane do FEPŻ bezpośrednio przez OPR lub OPL </w:t>
      </w:r>
      <w:r w:rsidR="00696E3A" w:rsidRPr="00A31E3D">
        <w:rPr>
          <w:rFonts w:ascii="Times New Roman" w:hAnsi="Times New Roman" w:cs="Times New Roman"/>
          <w:sz w:val="24"/>
          <w:szCs w:val="24"/>
        </w:rPr>
        <w:t>w</w:t>
      </w:r>
      <w:r w:rsidRPr="00A31E3D">
        <w:rPr>
          <w:rFonts w:ascii="Times New Roman" w:hAnsi="Times New Roman" w:cs="Times New Roman"/>
          <w:sz w:val="24"/>
          <w:szCs w:val="24"/>
        </w:rPr>
        <w:t> </w:t>
      </w:r>
      <w:r w:rsidR="00696E3A" w:rsidRPr="00A31E3D">
        <w:rPr>
          <w:rFonts w:ascii="Times New Roman" w:hAnsi="Times New Roman" w:cs="Times New Roman"/>
          <w:sz w:val="24"/>
          <w:szCs w:val="24"/>
        </w:rPr>
        <w:t>oparciu o ww. kryteria</w:t>
      </w:r>
      <w:r w:rsidRPr="00A31E3D">
        <w:rPr>
          <w:rFonts w:ascii="Times New Roman" w:hAnsi="Times New Roman" w:cs="Times New Roman"/>
          <w:sz w:val="24"/>
          <w:szCs w:val="24"/>
        </w:rPr>
        <w:t xml:space="preserve"> na podstawie oświadczenia o </w:t>
      </w:r>
      <w:r w:rsidR="00DA5122" w:rsidRPr="00A31E3D">
        <w:rPr>
          <w:rFonts w:ascii="Times New Roman" w:hAnsi="Times New Roman" w:cs="Times New Roman"/>
          <w:sz w:val="24"/>
          <w:szCs w:val="24"/>
        </w:rPr>
        <w:t>wysokości</w:t>
      </w:r>
      <w:r w:rsidRPr="00A31E3D">
        <w:rPr>
          <w:rFonts w:ascii="Times New Roman" w:hAnsi="Times New Roman" w:cs="Times New Roman"/>
          <w:sz w:val="24"/>
          <w:szCs w:val="24"/>
        </w:rPr>
        <w:t xml:space="preserve"> dochodu</w:t>
      </w:r>
      <w:r w:rsidR="00696E3A" w:rsidRPr="00A31E3D">
        <w:rPr>
          <w:rFonts w:ascii="Times New Roman" w:hAnsi="Times New Roman" w:cs="Times New Roman"/>
          <w:sz w:val="24"/>
          <w:szCs w:val="24"/>
        </w:rPr>
        <w:t>.</w:t>
      </w:r>
    </w:p>
    <w:p w14:paraId="07A265DE" w14:textId="4BAD9A72" w:rsidR="005C667F" w:rsidRPr="00A31E3D" w:rsidRDefault="00696E3A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Dostęp do pomocy będzie</w:t>
      </w:r>
      <w:r w:rsidR="00162B73" w:rsidRPr="00A31E3D">
        <w:rPr>
          <w:rFonts w:ascii="Times New Roman" w:hAnsi="Times New Roman" w:cs="Times New Roman"/>
          <w:sz w:val="24"/>
          <w:szCs w:val="24"/>
        </w:rPr>
        <w:t xml:space="preserve"> zapewniany</w:t>
      </w:r>
      <w:r w:rsidRPr="00A31E3D">
        <w:rPr>
          <w:rFonts w:ascii="Times New Roman" w:hAnsi="Times New Roman" w:cs="Times New Roman"/>
          <w:sz w:val="24"/>
          <w:szCs w:val="24"/>
        </w:rPr>
        <w:t xml:space="preserve"> bez jakiejkolwiek dyskryminacji i z poszanowaniem godności osób uprawnionych.</w:t>
      </w:r>
    </w:p>
    <w:p w14:paraId="7C2A999C" w14:textId="77777777" w:rsidR="00D005F7" w:rsidRPr="00DA5122" w:rsidRDefault="00D005F7" w:rsidP="00DA5122">
      <w:pPr>
        <w:pStyle w:val="Podtytu"/>
        <w:rPr>
          <w:rFonts w:ascii="Times New Roman" w:hAnsi="Times New Roman" w:cs="Times New Roman"/>
          <w:b/>
          <w:bCs/>
        </w:rPr>
      </w:pPr>
      <w:r w:rsidRPr="00DA5122">
        <w:rPr>
          <w:rFonts w:ascii="Times New Roman" w:hAnsi="Times New Roman" w:cs="Times New Roman"/>
          <w:b/>
          <w:bCs/>
        </w:rPr>
        <w:lastRenderedPageBreak/>
        <w:t>6. Kryteria wyboru operacji</w:t>
      </w:r>
    </w:p>
    <w:p w14:paraId="0953FD12" w14:textId="77777777" w:rsidR="00C27DCC" w:rsidRPr="00A31E3D" w:rsidRDefault="00041DA1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Realizacja Programu </w:t>
      </w:r>
      <w:r w:rsidR="00C27DCC" w:rsidRPr="00A31E3D">
        <w:rPr>
          <w:rFonts w:ascii="Times New Roman" w:hAnsi="Times New Roman" w:cs="Times New Roman"/>
          <w:sz w:val="24"/>
          <w:szCs w:val="24"/>
        </w:rPr>
        <w:t>opierać się będzie na następujących typach operacji</w:t>
      </w:r>
      <w:r w:rsidR="006A1798" w:rsidRPr="00A31E3D">
        <w:rPr>
          <w:rFonts w:ascii="Times New Roman" w:hAnsi="Times New Roman" w:cs="Times New Roman"/>
          <w:sz w:val="24"/>
          <w:szCs w:val="24"/>
        </w:rPr>
        <w:t>,</w:t>
      </w:r>
      <w:r w:rsidR="00C27DCC" w:rsidRPr="00A31E3D">
        <w:rPr>
          <w:rFonts w:ascii="Times New Roman" w:hAnsi="Times New Roman" w:cs="Times New Roman"/>
          <w:sz w:val="24"/>
          <w:szCs w:val="24"/>
        </w:rPr>
        <w:t xml:space="preserve"> </w:t>
      </w:r>
      <w:r w:rsidR="009567E4" w:rsidRPr="00A31E3D">
        <w:rPr>
          <w:rFonts w:ascii="Times New Roman" w:hAnsi="Times New Roman" w:cs="Times New Roman"/>
          <w:sz w:val="24"/>
          <w:szCs w:val="24"/>
        </w:rPr>
        <w:t xml:space="preserve">wdrażanych </w:t>
      </w:r>
      <w:r w:rsidR="00C27DCC" w:rsidRPr="00A31E3D">
        <w:rPr>
          <w:rFonts w:ascii="Times New Roman" w:hAnsi="Times New Roman" w:cs="Times New Roman"/>
          <w:sz w:val="24"/>
          <w:szCs w:val="24"/>
        </w:rPr>
        <w:t>w</w:t>
      </w:r>
      <w:r w:rsidR="009567E4" w:rsidRPr="00A31E3D">
        <w:rPr>
          <w:rFonts w:ascii="Times New Roman" w:hAnsi="Times New Roman" w:cs="Times New Roman"/>
          <w:sz w:val="24"/>
          <w:szCs w:val="24"/>
        </w:rPr>
        <w:t> </w:t>
      </w:r>
      <w:r w:rsidR="00C27DCC" w:rsidRPr="00A31E3D">
        <w:rPr>
          <w:rFonts w:ascii="Times New Roman" w:hAnsi="Times New Roman" w:cs="Times New Roman"/>
          <w:sz w:val="24"/>
          <w:szCs w:val="24"/>
        </w:rPr>
        <w:t>ramach odrębnych podprogramów:</w:t>
      </w:r>
    </w:p>
    <w:p w14:paraId="762057B4" w14:textId="77777777" w:rsidR="00C27DCC" w:rsidRPr="00A31E3D" w:rsidRDefault="009567E4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I. </w:t>
      </w:r>
      <w:r w:rsidR="00C27DCC" w:rsidRPr="00A31E3D">
        <w:rPr>
          <w:rFonts w:ascii="Times New Roman" w:hAnsi="Times New Roman" w:cs="Times New Roman"/>
          <w:sz w:val="24"/>
          <w:szCs w:val="24"/>
        </w:rPr>
        <w:t>zakup żywności</w:t>
      </w:r>
      <w:r w:rsidR="00352C80" w:rsidRPr="00A31E3D">
        <w:rPr>
          <w:rFonts w:ascii="Times New Roman" w:hAnsi="Times New Roman" w:cs="Times New Roman"/>
          <w:sz w:val="24"/>
          <w:szCs w:val="24"/>
        </w:rPr>
        <w:t xml:space="preserve"> </w:t>
      </w:r>
      <w:r w:rsidR="00C27DCC" w:rsidRPr="00A31E3D">
        <w:rPr>
          <w:rFonts w:ascii="Times New Roman" w:hAnsi="Times New Roman" w:cs="Times New Roman"/>
          <w:sz w:val="24"/>
          <w:szCs w:val="24"/>
        </w:rPr>
        <w:t xml:space="preserve">w procedurze zamówień publicznych, </w:t>
      </w:r>
    </w:p>
    <w:p w14:paraId="51D18F1F" w14:textId="77777777" w:rsidR="00C27DCC" w:rsidRPr="00A31E3D" w:rsidRDefault="009567E4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II. </w:t>
      </w:r>
      <w:r w:rsidR="00C27DCC" w:rsidRPr="00A31E3D">
        <w:rPr>
          <w:rFonts w:ascii="Times New Roman" w:hAnsi="Times New Roman" w:cs="Times New Roman"/>
          <w:sz w:val="24"/>
          <w:szCs w:val="24"/>
        </w:rPr>
        <w:t>dystrybucja żywności wraz ze środkami towarzyszącymi,</w:t>
      </w:r>
    </w:p>
    <w:p w14:paraId="6F6C867B" w14:textId="77777777" w:rsidR="009567E4" w:rsidRPr="00A31E3D" w:rsidRDefault="006A1798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II</w:t>
      </w:r>
      <w:r w:rsidR="00DA5122">
        <w:rPr>
          <w:rFonts w:ascii="Times New Roman" w:hAnsi="Times New Roman" w:cs="Times New Roman"/>
          <w:sz w:val="24"/>
          <w:szCs w:val="24"/>
        </w:rPr>
        <w:t xml:space="preserve"> </w:t>
      </w:r>
      <w:r w:rsidR="009567E4" w:rsidRPr="00A31E3D">
        <w:rPr>
          <w:rFonts w:ascii="Times New Roman" w:hAnsi="Times New Roman" w:cs="Times New Roman"/>
          <w:sz w:val="24"/>
          <w:szCs w:val="24"/>
        </w:rPr>
        <w:t>a</w:t>
      </w:r>
      <w:r w:rsidRPr="00A31E3D">
        <w:rPr>
          <w:rFonts w:ascii="Times New Roman" w:hAnsi="Times New Roman" w:cs="Times New Roman"/>
          <w:sz w:val="24"/>
          <w:szCs w:val="24"/>
        </w:rPr>
        <w:t>. dystrybucja żywności pochodzącej z darowizn</w:t>
      </w:r>
      <w:r w:rsidR="00EC1FA2" w:rsidRPr="00A31E3D">
        <w:rPr>
          <w:rFonts w:ascii="Times New Roman" w:hAnsi="Times New Roman" w:cs="Times New Roman"/>
          <w:sz w:val="24"/>
          <w:szCs w:val="24"/>
        </w:rPr>
        <w:t>,</w:t>
      </w:r>
      <w:r w:rsidRPr="00A31E3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6FFDF1" w14:textId="77777777" w:rsidR="00C27DCC" w:rsidRPr="00A31E3D" w:rsidRDefault="009567E4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III. </w:t>
      </w:r>
      <w:r w:rsidR="00C27DCC" w:rsidRPr="00A31E3D">
        <w:rPr>
          <w:rFonts w:ascii="Times New Roman" w:hAnsi="Times New Roman" w:cs="Times New Roman"/>
          <w:sz w:val="24"/>
          <w:szCs w:val="24"/>
        </w:rPr>
        <w:t xml:space="preserve">pomoc techniczna. </w:t>
      </w:r>
    </w:p>
    <w:p w14:paraId="306DD7B3" w14:textId="77777777" w:rsidR="009567E4" w:rsidRPr="00A31E3D" w:rsidRDefault="009567E4" w:rsidP="00A31E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F8BD02" w14:textId="77777777" w:rsidR="00C27DCC" w:rsidRPr="00A31E3D" w:rsidRDefault="00C27DCC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Operacja jest kwalifikowalna jeśli spełnione są następujące warunki: </w:t>
      </w:r>
      <w:r w:rsidRPr="00A31E3D">
        <w:rPr>
          <w:rFonts w:ascii="Times New Roman" w:hAnsi="Times New Roman" w:cs="Times New Roman"/>
          <w:sz w:val="24"/>
          <w:szCs w:val="24"/>
        </w:rPr>
        <w:tab/>
      </w:r>
    </w:p>
    <w:p w14:paraId="61779412" w14:textId="233524D1" w:rsidR="00C27DCC" w:rsidRPr="00175A08" w:rsidRDefault="00C27DCC" w:rsidP="00175A0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A08">
        <w:rPr>
          <w:rFonts w:ascii="Times New Roman" w:hAnsi="Times New Roman" w:cs="Times New Roman"/>
          <w:sz w:val="24"/>
          <w:szCs w:val="24"/>
        </w:rPr>
        <w:t>wydatki są ponoszone i regulowane w ramach realizacji P</w:t>
      </w:r>
      <w:r w:rsidR="009567E4" w:rsidRPr="00175A08">
        <w:rPr>
          <w:rFonts w:ascii="Times New Roman" w:hAnsi="Times New Roman" w:cs="Times New Roman"/>
          <w:sz w:val="24"/>
          <w:szCs w:val="24"/>
        </w:rPr>
        <w:t xml:space="preserve">rogramu </w:t>
      </w:r>
      <w:r w:rsidRPr="00175A08">
        <w:rPr>
          <w:rFonts w:ascii="Times New Roman" w:hAnsi="Times New Roman" w:cs="Times New Roman"/>
          <w:sz w:val="24"/>
          <w:szCs w:val="24"/>
        </w:rPr>
        <w:t>od 1</w:t>
      </w:r>
      <w:r w:rsidR="009567E4" w:rsidRPr="00175A08">
        <w:rPr>
          <w:rFonts w:ascii="Times New Roman" w:hAnsi="Times New Roman" w:cs="Times New Roman"/>
          <w:sz w:val="24"/>
          <w:szCs w:val="24"/>
        </w:rPr>
        <w:t xml:space="preserve"> stycznia </w:t>
      </w:r>
      <w:r w:rsidRPr="00175A08">
        <w:rPr>
          <w:rFonts w:ascii="Times New Roman" w:hAnsi="Times New Roman" w:cs="Times New Roman"/>
          <w:sz w:val="24"/>
          <w:szCs w:val="24"/>
        </w:rPr>
        <w:t>20</w:t>
      </w:r>
      <w:r w:rsidR="009567E4" w:rsidRPr="00175A08">
        <w:rPr>
          <w:rFonts w:ascii="Times New Roman" w:hAnsi="Times New Roman" w:cs="Times New Roman"/>
          <w:sz w:val="24"/>
          <w:szCs w:val="24"/>
        </w:rPr>
        <w:t>23</w:t>
      </w:r>
      <w:r w:rsidR="00175A08">
        <w:rPr>
          <w:rFonts w:ascii="Times New Roman" w:hAnsi="Times New Roman" w:cs="Times New Roman"/>
          <w:sz w:val="24"/>
          <w:szCs w:val="24"/>
        </w:rPr>
        <w:t> </w:t>
      </w:r>
      <w:r w:rsidRPr="00175A08">
        <w:rPr>
          <w:rFonts w:ascii="Times New Roman" w:hAnsi="Times New Roman" w:cs="Times New Roman"/>
          <w:sz w:val="24"/>
          <w:szCs w:val="24"/>
        </w:rPr>
        <w:t xml:space="preserve">r. </w:t>
      </w:r>
      <w:r w:rsidR="00664641">
        <w:rPr>
          <w:rFonts w:ascii="Times New Roman" w:hAnsi="Times New Roman" w:cs="Times New Roman"/>
          <w:sz w:val="24"/>
          <w:szCs w:val="24"/>
        </w:rPr>
        <w:t xml:space="preserve">do 31 grudnia 2029 r. </w:t>
      </w:r>
      <w:r w:rsidRPr="00175A08">
        <w:rPr>
          <w:rFonts w:ascii="Times New Roman" w:hAnsi="Times New Roman" w:cs="Times New Roman"/>
          <w:sz w:val="24"/>
          <w:szCs w:val="24"/>
        </w:rPr>
        <w:t>w przypadku operacji III;</w:t>
      </w:r>
      <w:r w:rsidRPr="00175A08">
        <w:rPr>
          <w:rFonts w:ascii="Times New Roman" w:hAnsi="Times New Roman" w:cs="Times New Roman"/>
          <w:sz w:val="24"/>
          <w:szCs w:val="24"/>
        </w:rPr>
        <w:tab/>
      </w:r>
    </w:p>
    <w:p w14:paraId="43786609" w14:textId="77777777" w:rsidR="00C27DCC" w:rsidRPr="00175A08" w:rsidRDefault="00C27DCC" w:rsidP="00175A0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A08">
        <w:rPr>
          <w:rFonts w:ascii="Times New Roman" w:hAnsi="Times New Roman" w:cs="Times New Roman"/>
          <w:sz w:val="24"/>
          <w:szCs w:val="24"/>
        </w:rPr>
        <w:t>wydatki są ponoszone i regulowane w ramach realizacji</w:t>
      </w:r>
      <w:r w:rsidR="009567E4" w:rsidRPr="00175A08">
        <w:rPr>
          <w:rFonts w:ascii="Times New Roman" w:hAnsi="Times New Roman" w:cs="Times New Roman"/>
          <w:sz w:val="24"/>
          <w:szCs w:val="24"/>
        </w:rPr>
        <w:t xml:space="preserve"> Programu </w:t>
      </w:r>
      <w:r w:rsidRPr="00175A08">
        <w:rPr>
          <w:rFonts w:ascii="Times New Roman" w:hAnsi="Times New Roman" w:cs="Times New Roman"/>
          <w:sz w:val="24"/>
          <w:szCs w:val="24"/>
        </w:rPr>
        <w:t>od daty zawarcia umowy dofinansowanie w przypadku operacji I</w:t>
      </w:r>
      <w:r w:rsidR="009567E4" w:rsidRPr="00175A08">
        <w:rPr>
          <w:rFonts w:ascii="Times New Roman" w:hAnsi="Times New Roman" w:cs="Times New Roman"/>
          <w:sz w:val="24"/>
          <w:szCs w:val="24"/>
        </w:rPr>
        <w:t xml:space="preserve">, </w:t>
      </w:r>
      <w:r w:rsidRPr="00175A08">
        <w:rPr>
          <w:rFonts w:ascii="Times New Roman" w:hAnsi="Times New Roman" w:cs="Times New Roman"/>
          <w:sz w:val="24"/>
          <w:szCs w:val="24"/>
        </w:rPr>
        <w:t>II,</w:t>
      </w:r>
      <w:r w:rsidR="009567E4" w:rsidRPr="00175A08">
        <w:rPr>
          <w:rFonts w:ascii="Times New Roman" w:hAnsi="Times New Roman" w:cs="Times New Roman"/>
          <w:sz w:val="24"/>
          <w:szCs w:val="24"/>
        </w:rPr>
        <w:t xml:space="preserve"> II</w:t>
      </w:r>
      <w:r w:rsidR="00DA5122" w:rsidRPr="00175A08">
        <w:rPr>
          <w:rFonts w:ascii="Times New Roman" w:hAnsi="Times New Roman" w:cs="Times New Roman"/>
          <w:sz w:val="24"/>
          <w:szCs w:val="24"/>
        </w:rPr>
        <w:t xml:space="preserve"> </w:t>
      </w:r>
      <w:r w:rsidR="0048683C">
        <w:rPr>
          <w:rFonts w:ascii="Times New Roman" w:hAnsi="Times New Roman" w:cs="Times New Roman"/>
          <w:sz w:val="24"/>
          <w:szCs w:val="24"/>
        </w:rPr>
        <w:t>a</w:t>
      </w:r>
      <w:r w:rsidRPr="00175A08">
        <w:rPr>
          <w:rFonts w:ascii="Times New Roman" w:hAnsi="Times New Roman" w:cs="Times New Roman"/>
          <w:sz w:val="24"/>
          <w:szCs w:val="24"/>
        </w:rPr>
        <w:t xml:space="preserve"> do 31 grudnia 202</w:t>
      </w:r>
      <w:r w:rsidR="009567E4" w:rsidRPr="00175A08">
        <w:rPr>
          <w:rFonts w:ascii="Times New Roman" w:hAnsi="Times New Roman" w:cs="Times New Roman"/>
          <w:sz w:val="24"/>
          <w:szCs w:val="24"/>
        </w:rPr>
        <w:t>9</w:t>
      </w:r>
      <w:r w:rsidRPr="00175A0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CEF30FF" w14:textId="77777777" w:rsidR="00C27DCC" w:rsidRPr="00175A08" w:rsidRDefault="00C27DCC" w:rsidP="00175A0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A08">
        <w:rPr>
          <w:rFonts w:ascii="Times New Roman" w:hAnsi="Times New Roman" w:cs="Times New Roman"/>
          <w:sz w:val="24"/>
          <w:szCs w:val="24"/>
        </w:rPr>
        <w:t xml:space="preserve">operacja jest prowadzona w Polsce, </w:t>
      </w:r>
    </w:p>
    <w:p w14:paraId="7F379CA5" w14:textId="79030E50" w:rsidR="00C27DCC" w:rsidRPr="00175A08" w:rsidRDefault="00C27DCC" w:rsidP="00175A0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A08">
        <w:rPr>
          <w:rFonts w:ascii="Times New Roman" w:hAnsi="Times New Roman" w:cs="Times New Roman"/>
          <w:sz w:val="24"/>
          <w:szCs w:val="24"/>
        </w:rPr>
        <w:t>operacja  nie jest fizycznie zakończona przed złożeniem wniosku o jej dofinansowanie</w:t>
      </w:r>
      <w:r w:rsidR="00322BA5">
        <w:rPr>
          <w:rFonts w:ascii="Times New Roman" w:hAnsi="Times New Roman" w:cs="Times New Roman"/>
          <w:sz w:val="24"/>
          <w:szCs w:val="24"/>
        </w:rPr>
        <w:t xml:space="preserve"> w ramach kolejnej operacji</w:t>
      </w:r>
      <w:r w:rsidRPr="00175A08">
        <w:rPr>
          <w:rFonts w:ascii="Times New Roman" w:hAnsi="Times New Roman" w:cs="Times New Roman"/>
          <w:sz w:val="24"/>
          <w:szCs w:val="24"/>
        </w:rPr>
        <w:t>,</w:t>
      </w:r>
    </w:p>
    <w:p w14:paraId="13816972" w14:textId="77777777" w:rsidR="00C27DCC" w:rsidRPr="00175A08" w:rsidRDefault="00C27DCC" w:rsidP="00175A0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A08">
        <w:rPr>
          <w:rFonts w:ascii="Times New Roman" w:hAnsi="Times New Roman" w:cs="Times New Roman"/>
          <w:sz w:val="24"/>
          <w:szCs w:val="24"/>
        </w:rPr>
        <w:t xml:space="preserve">operacja wchodzi w zakres </w:t>
      </w:r>
      <w:r w:rsidR="009567E4" w:rsidRPr="00175A08">
        <w:rPr>
          <w:rFonts w:ascii="Times New Roman" w:hAnsi="Times New Roman" w:cs="Times New Roman"/>
          <w:sz w:val="24"/>
          <w:szCs w:val="24"/>
        </w:rPr>
        <w:t>Programu</w:t>
      </w:r>
      <w:r w:rsidRPr="00175A0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6B6E57F" w14:textId="77777777" w:rsidR="0078544F" w:rsidRPr="00175A08" w:rsidRDefault="00C27DCC" w:rsidP="00175A0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A08">
        <w:rPr>
          <w:rFonts w:ascii="Times New Roman" w:hAnsi="Times New Roman" w:cs="Times New Roman"/>
          <w:sz w:val="24"/>
          <w:szCs w:val="24"/>
        </w:rPr>
        <w:t>operacja jest zgodna z odpowiednimi przepisami prawa.</w:t>
      </w:r>
    </w:p>
    <w:p w14:paraId="118F23FD" w14:textId="48BD696C" w:rsidR="00EC1FA2" w:rsidRPr="00A31E3D" w:rsidRDefault="00EC1FA2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Warunki oraz terminy realizacji operacji w ramach poszczególnych podprogramów będą określone szczegółowo w </w:t>
      </w:r>
      <w:r w:rsidR="00D97666">
        <w:rPr>
          <w:rFonts w:ascii="Times New Roman" w:hAnsi="Times New Roman" w:cs="Times New Roman"/>
          <w:sz w:val="24"/>
          <w:szCs w:val="24"/>
        </w:rPr>
        <w:t>Wytycz</w:t>
      </w:r>
      <w:r w:rsidR="00D97666" w:rsidRPr="00A31E3D">
        <w:rPr>
          <w:rFonts w:ascii="Times New Roman" w:hAnsi="Times New Roman" w:cs="Times New Roman"/>
          <w:sz w:val="24"/>
          <w:szCs w:val="24"/>
        </w:rPr>
        <w:t xml:space="preserve">nych </w:t>
      </w:r>
      <w:r w:rsidRPr="00A31E3D">
        <w:rPr>
          <w:rFonts w:ascii="Times New Roman" w:hAnsi="Times New Roman" w:cs="Times New Roman"/>
          <w:sz w:val="24"/>
          <w:szCs w:val="24"/>
        </w:rPr>
        <w:t>IZ.</w:t>
      </w:r>
    </w:p>
    <w:p w14:paraId="3B645523" w14:textId="77777777" w:rsidR="00352C80" w:rsidRPr="00A31E3D" w:rsidRDefault="00352C80" w:rsidP="00A31E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22EA59" w14:textId="77777777" w:rsidR="00352C80" w:rsidRPr="00DA5122" w:rsidRDefault="00352C80" w:rsidP="00DA5122">
      <w:pPr>
        <w:pStyle w:val="Podtytu"/>
        <w:rPr>
          <w:rFonts w:ascii="Times New Roman" w:hAnsi="Times New Roman" w:cs="Times New Roman"/>
          <w:b/>
          <w:bCs/>
        </w:rPr>
      </w:pPr>
      <w:r w:rsidRPr="00DA5122">
        <w:rPr>
          <w:rFonts w:ascii="Times New Roman" w:hAnsi="Times New Roman" w:cs="Times New Roman"/>
          <w:b/>
          <w:bCs/>
        </w:rPr>
        <w:t>6.1. Zakup żywności w procedurze zamówień publicznych</w:t>
      </w:r>
    </w:p>
    <w:p w14:paraId="3D850883" w14:textId="3CB68476" w:rsidR="00D005F7" w:rsidRPr="00A31E3D" w:rsidRDefault="00352C80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Zakupu żywności w procedurze zamówień publicznych dokonuje </w:t>
      </w:r>
      <w:r w:rsidR="002D637E">
        <w:rPr>
          <w:rFonts w:ascii="Times New Roman" w:hAnsi="Times New Roman" w:cs="Times New Roman"/>
          <w:sz w:val="24"/>
          <w:szCs w:val="24"/>
        </w:rPr>
        <w:t>KOWR</w:t>
      </w:r>
      <w:r w:rsidRPr="00A31E3D">
        <w:rPr>
          <w:rFonts w:ascii="Times New Roman" w:hAnsi="Times New Roman" w:cs="Times New Roman"/>
          <w:sz w:val="24"/>
          <w:szCs w:val="24"/>
        </w:rPr>
        <w:t>. Celem operacji jest dostarczenie artykułów spożywczych do magazynów OPR przez wykonawców wyłonionych w</w:t>
      </w:r>
      <w:r w:rsidR="002D637E">
        <w:rPr>
          <w:rFonts w:ascii="Times New Roman" w:hAnsi="Times New Roman" w:cs="Times New Roman"/>
          <w:sz w:val="24"/>
          <w:szCs w:val="24"/>
        </w:rPr>
        <w:t> </w:t>
      </w:r>
      <w:r w:rsidRPr="00A31E3D">
        <w:rPr>
          <w:rFonts w:ascii="Times New Roman" w:hAnsi="Times New Roman" w:cs="Times New Roman"/>
          <w:sz w:val="24"/>
          <w:szCs w:val="24"/>
        </w:rPr>
        <w:t>drodze przetargu.</w:t>
      </w:r>
    </w:p>
    <w:p w14:paraId="33A45B90" w14:textId="77777777" w:rsidR="00352C80" w:rsidRPr="00A31E3D" w:rsidRDefault="00352C80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KOWR jako beneficjent składa do IZ wniosek o dofinansowanie operacji.</w:t>
      </w:r>
    </w:p>
    <w:p w14:paraId="43597236" w14:textId="77777777" w:rsidR="00272109" w:rsidRDefault="00272109" w:rsidP="00A31E3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97F65B8" w14:textId="77777777" w:rsidR="00705F7D" w:rsidRPr="00DA5122" w:rsidRDefault="00705F7D" w:rsidP="00A31E3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5122">
        <w:rPr>
          <w:rFonts w:ascii="Times New Roman" w:hAnsi="Times New Roman" w:cs="Times New Roman"/>
          <w:sz w:val="24"/>
          <w:szCs w:val="24"/>
          <w:u w:val="single"/>
        </w:rPr>
        <w:t>Kryteria oceny wniosku:</w:t>
      </w:r>
    </w:p>
    <w:p w14:paraId="076E3776" w14:textId="77777777" w:rsidR="00705F7D" w:rsidRPr="00272109" w:rsidRDefault="00705F7D" w:rsidP="0027210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109">
        <w:rPr>
          <w:rFonts w:ascii="Times New Roman" w:hAnsi="Times New Roman" w:cs="Times New Roman"/>
          <w:sz w:val="24"/>
          <w:szCs w:val="24"/>
        </w:rPr>
        <w:t xml:space="preserve">zgodność asortymentu kupowanej żywności z wymogami art. </w:t>
      </w:r>
      <w:r w:rsidR="00964E52" w:rsidRPr="00272109">
        <w:rPr>
          <w:rFonts w:ascii="Times New Roman" w:hAnsi="Times New Roman" w:cs="Times New Roman"/>
          <w:sz w:val="24"/>
          <w:szCs w:val="24"/>
        </w:rPr>
        <w:t xml:space="preserve">19 ust. 2 </w:t>
      </w:r>
      <w:proofErr w:type="spellStart"/>
      <w:r w:rsidR="00964E52" w:rsidRPr="00272109">
        <w:rPr>
          <w:rFonts w:ascii="Times New Roman" w:hAnsi="Times New Roman" w:cs="Times New Roman"/>
          <w:sz w:val="24"/>
          <w:szCs w:val="24"/>
        </w:rPr>
        <w:t>rozp</w:t>
      </w:r>
      <w:proofErr w:type="spellEnd"/>
      <w:r w:rsidR="00964E52" w:rsidRPr="00272109">
        <w:rPr>
          <w:rFonts w:ascii="Times New Roman" w:hAnsi="Times New Roman" w:cs="Times New Roman"/>
          <w:sz w:val="24"/>
          <w:szCs w:val="24"/>
        </w:rPr>
        <w:t>. EFS+,</w:t>
      </w:r>
    </w:p>
    <w:p w14:paraId="2A5267C2" w14:textId="77777777" w:rsidR="00964E52" w:rsidRPr="00272109" w:rsidRDefault="00964E52" w:rsidP="0027210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109">
        <w:rPr>
          <w:rFonts w:ascii="Times New Roman" w:hAnsi="Times New Roman" w:cs="Times New Roman"/>
          <w:sz w:val="24"/>
          <w:szCs w:val="24"/>
        </w:rPr>
        <w:t xml:space="preserve">przeprowadzenie konsultacji z OPO w zakresie doboru asortymentu </w:t>
      </w:r>
      <w:r w:rsidR="00DA5122" w:rsidRPr="00272109">
        <w:rPr>
          <w:rFonts w:ascii="Times New Roman" w:hAnsi="Times New Roman" w:cs="Times New Roman"/>
          <w:sz w:val="24"/>
          <w:szCs w:val="24"/>
        </w:rPr>
        <w:t>artykułów</w:t>
      </w:r>
      <w:r w:rsidRPr="00272109">
        <w:rPr>
          <w:rFonts w:ascii="Times New Roman" w:hAnsi="Times New Roman" w:cs="Times New Roman"/>
          <w:sz w:val="24"/>
          <w:szCs w:val="24"/>
        </w:rPr>
        <w:t xml:space="preserve"> spożywczych,</w:t>
      </w:r>
    </w:p>
    <w:p w14:paraId="366358AA" w14:textId="77777777" w:rsidR="00964E52" w:rsidRPr="00272109" w:rsidRDefault="00964E52" w:rsidP="0027210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109">
        <w:rPr>
          <w:rFonts w:ascii="Times New Roman" w:hAnsi="Times New Roman" w:cs="Times New Roman"/>
          <w:sz w:val="24"/>
          <w:szCs w:val="24"/>
        </w:rPr>
        <w:t>dostosowanie ilości i rodzajów artykułów do liczebności grupy docelowej planowanej do objęcia wsparciem przez OPO,</w:t>
      </w:r>
    </w:p>
    <w:p w14:paraId="1C4D4DC6" w14:textId="77777777" w:rsidR="00964E52" w:rsidRPr="00272109" w:rsidRDefault="00964E52" w:rsidP="0027210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109">
        <w:rPr>
          <w:rFonts w:ascii="Times New Roman" w:hAnsi="Times New Roman" w:cs="Times New Roman"/>
          <w:sz w:val="24"/>
          <w:szCs w:val="24"/>
        </w:rPr>
        <w:t xml:space="preserve">wartość pomocy skierowanej do odbiorców w poszczególnych </w:t>
      </w:r>
      <w:r w:rsidR="00DA5122" w:rsidRPr="00272109">
        <w:rPr>
          <w:rFonts w:ascii="Times New Roman" w:hAnsi="Times New Roman" w:cs="Times New Roman"/>
          <w:sz w:val="24"/>
          <w:szCs w:val="24"/>
        </w:rPr>
        <w:t>województw</w:t>
      </w:r>
      <w:r w:rsidRPr="00272109">
        <w:rPr>
          <w:rFonts w:ascii="Times New Roman" w:hAnsi="Times New Roman" w:cs="Times New Roman"/>
          <w:sz w:val="24"/>
          <w:szCs w:val="24"/>
        </w:rPr>
        <w:t xml:space="preserve"> zgodna z </w:t>
      </w:r>
      <w:r w:rsidR="00753320">
        <w:rPr>
          <w:rFonts w:ascii="Times New Roman" w:hAnsi="Times New Roman" w:cs="Times New Roman"/>
          <w:sz w:val="24"/>
          <w:szCs w:val="24"/>
        </w:rPr>
        <w:t>Wytycz</w:t>
      </w:r>
      <w:r w:rsidRPr="00272109">
        <w:rPr>
          <w:rFonts w:ascii="Times New Roman" w:hAnsi="Times New Roman" w:cs="Times New Roman"/>
          <w:sz w:val="24"/>
          <w:szCs w:val="24"/>
        </w:rPr>
        <w:t>nymi IZ.</w:t>
      </w:r>
    </w:p>
    <w:p w14:paraId="5CAD5A81" w14:textId="3C122050" w:rsidR="00C85DD8" w:rsidRPr="00272109" w:rsidRDefault="00C85DD8" w:rsidP="00272109">
      <w:pPr>
        <w:jc w:val="both"/>
        <w:rPr>
          <w:rFonts w:ascii="Times New Roman" w:hAnsi="Times New Roman" w:cs="Times New Roman"/>
          <w:sz w:val="24"/>
          <w:szCs w:val="24"/>
        </w:rPr>
      </w:pPr>
      <w:r w:rsidRPr="00272109">
        <w:rPr>
          <w:rFonts w:ascii="Times New Roman" w:hAnsi="Times New Roman" w:cs="Times New Roman"/>
          <w:sz w:val="24"/>
          <w:szCs w:val="24"/>
        </w:rPr>
        <w:t xml:space="preserve">IZ określa w </w:t>
      </w:r>
      <w:r w:rsidR="00753320">
        <w:rPr>
          <w:rFonts w:ascii="Times New Roman" w:hAnsi="Times New Roman" w:cs="Times New Roman"/>
          <w:sz w:val="24"/>
          <w:szCs w:val="24"/>
        </w:rPr>
        <w:t>Wytycz</w:t>
      </w:r>
      <w:r w:rsidRPr="00272109">
        <w:rPr>
          <w:rFonts w:ascii="Times New Roman" w:hAnsi="Times New Roman" w:cs="Times New Roman"/>
          <w:sz w:val="24"/>
          <w:szCs w:val="24"/>
        </w:rPr>
        <w:t>nych okres realizacji operacji, przy czym dopuszcza się możliwość zawierania umów na dostawy artykułów spożywczych na</w:t>
      </w:r>
      <w:r w:rsidR="00CA709D">
        <w:rPr>
          <w:rFonts w:ascii="Times New Roman" w:hAnsi="Times New Roman" w:cs="Times New Roman"/>
          <w:sz w:val="24"/>
          <w:szCs w:val="24"/>
        </w:rPr>
        <w:t xml:space="preserve"> jeden</w:t>
      </w:r>
      <w:r w:rsidR="00601C9C">
        <w:rPr>
          <w:rFonts w:ascii="Times New Roman" w:hAnsi="Times New Roman" w:cs="Times New Roman"/>
          <w:sz w:val="24"/>
          <w:szCs w:val="24"/>
        </w:rPr>
        <w:t xml:space="preserve"> </w:t>
      </w:r>
      <w:r w:rsidRPr="00272109">
        <w:rPr>
          <w:rFonts w:ascii="Times New Roman" w:hAnsi="Times New Roman" w:cs="Times New Roman"/>
          <w:sz w:val="24"/>
          <w:szCs w:val="24"/>
        </w:rPr>
        <w:t xml:space="preserve">lub </w:t>
      </w:r>
      <w:r w:rsidR="00CA709D">
        <w:rPr>
          <w:rFonts w:ascii="Times New Roman" w:hAnsi="Times New Roman" w:cs="Times New Roman"/>
          <w:sz w:val="24"/>
          <w:szCs w:val="24"/>
        </w:rPr>
        <w:t xml:space="preserve">więcej </w:t>
      </w:r>
      <w:r w:rsidRPr="00272109">
        <w:rPr>
          <w:rFonts w:ascii="Times New Roman" w:hAnsi="Times New Roman" w:cs="Times New Roman"/>
          <w:sz w:val="24"/>
          <w:szCs w:val="24"/>
        </w:rPr>
        <w:t>Podprogram</w:t>
      </w:r>
      <w:r w:rsidR="00CA709D">
        <w:rPr>
          <w:rFonts w:ascii="Times New Roman" w:hAnsi="Times New Roman" w:cs="Times New Roman"/>
          <w:sz w:val="24"/>
          <w:szCs w:val="24"/>
        </w:rPr>
        <w:t>ów</w:t>
      </w:r>
      <w:r w:rsidR="004E6584" w:rsidRPr="00272109">
        <w:rPr>
          <w:rFonts w:ascii="Times New Roman" w:hAnsi="Times New Roman" w:cs="Times New Roman"/>
          <w:sz w:val="24"/>
          <w:szCs w:val="24"/>
        </w:rPr>
        <w:t>.</w:t>
      </w:r>
    </w:p>
    <w:p w14:paraId="0175DBD6" w14:textId="77777777" w:rsidR="00964E52" w:rsidRPr="00A31E3D" w:rsidRDefault="00964E52" w:rsidP="00A31E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7F5379" w14:textId="77777777" w:rsidR="00964E52" w:rsidRPr="00DA5122" w:rsidRDefault="00964E52" w:rsidP="00DA5122">
      <w:pPr>
        <w:pStyle w:val="Podtytu"/>
        <w:rPr>
          <w:rFonts w:ascii="Times New Roman" w:hAnsi="Times New Roman" w:cs="Times New Roman"/>
          <w:b/>
          <w:bCs/>
        </w:rPr>
      </w:pPr>
      <w:r w:rsidRPr="00DA5122">
        <w:rPr>
          <w:rFonts w:ascii="Times New Roman" w:hAnsi="Times New Roman" w:cs="Times New Roman"/>
          <w:b/>
          <w:bCs/>
        </w:rPr>
        <w:lastRenderedPageBreak/>
        <w:t>6.2. Dystrybucja żywności wraz ze środkami towarzyszącymi</w:t>
      </w:r>
    </w:p>
    <w:p w14:paraId="2CB1FB50" w14:textId="77777777" w:rsidR="007639A4" w:rsidRPr="00A31E3D" w:rsidRDefault="0068524C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Celem operacji jest przekazywanie żywności odbiorcom końcowym </w:t>
      </w:r>
      <w:r w:rsidR="00FC377F" w:rsidRPr="00A31E3D">
        <w:rPr>
          <w:rFonts w:ascii="Times New Roman" w:hAnsi="Times New Roman" w:cs="Times New Roman"/>
          <w:sz w:val="24"/>
          <w:szCs w:val="24"/>
        </w:rPr>
        <w:t>oraz prowadzenie działań towarzyszących.</w:t>
      </w:r>
    </w:p>
    <w:p w14:paraId="4302ED70" w14:textId="77777777" w:rsidR="00272109" w:rsidRDefault="00272109" w:rsidP="00A31E3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25BBAD0" w14:textId="77777777" w:rsidR="00A2286A" w:rsidRPr="00DA5122" w:rsidRDefault="00A2286A" w:rsidP="00A31E3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5122">
        <w:rPr>
          <w:rFonts w:ascii="Times New Roman" w:hAnsi="Times New Roman" w:cs="Times New Roman"/>
          <w:sz w:val="24"/>
          <w:szCs w:val="24"/>
          <w:u w:val="single"/>
        </w:rPr>
        <w:t>Wybór organizacji partnerskich</w:t>
      </w:r>
    </w:p>
    <w:p w14:paraId="741AACE7" w14:textId="77777777" w:rsidR="00507E9F" w:rsidRPr="00A31E3D" w:rsidRDefault="00507E9F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Wyboru  OPO dokonuje IZ w drodze konkursu, określając podprogramy, których wybór dotyczy. Wybrane mogą być organizacje niedziałające w celu osiągnięcia zysku, których jednym z zadań statutowych jest wspieranie osób najbardziej potrzebujących, będących w trudnej sytuacji życiowej lub materialnej. Organizacje muszą mieć zasięg ogólnopolski albo ponadregionalny, dysponować infrastrukturą do przechowywania artykułów spożywczych, w tym wymagających przechowywania w niskich temperaturach. Działalność ich nie może dotyczyć tylko dystrybucji żywności, chyba że współpracują z innymi organizacjami, które  realizują zadania towarzyszące dystrybucji żywności. Przy wyborze OPO są brane pod uwagę:</w:t>
      </w:r>
    </w:p>
    <w:p w14:paraId="3E6816F9" w14:textId="77777777" w:rsidR="00507E9F" w:rsidRPr="00A31E3D" w:rsidRDefault="00507E9F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1) działania non-profit na rzecz osób najbardziej potrzebujących,</w:t>
      </w:r>
    </w:p>
    <w:p w14:paraId="3A462E71" w14:textId="77777777" w:rsidR="00507E9F" w:rsidRPr="00A31E3D" w:rsidRDefault="00507E9F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2) potencjał organizacyjny i techniczny do realizacji działań w zakresie dystrybucji artykułów spożywczych, jak również działań na rzecz włączenia społecznego – zasięg ogólnopolski lub ponadregionalny (tj. infrastruktura magazynowa w co najmniej 5 województwach, w tym magazyny i chłodnie), </w:t>
      </w:r>
    </w:p>
    <w:p w14:paraId="317072AD" w14:textId="77777777" w:rsidR="00507E9F" w:rsidRPr="00A31E3D" w:rsidRDefault="00507E9F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3) zdolności administracyjne do:</w:t>
      </w:r>
    </w:p>
    <w:p w14:paraId="41EC3795" w14:textId="77777777" w:rsidR="00507E9F" w:rsidRPr="00A31E3D" w:rsidRDefault="00507E9F" w:rsidP="00A83E86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a) realizacji działań w zakresie dystrybucji artykułów spożywczych finansowanych z Programu, </w:t>
      </w:r>
    </w:p>
    <w:p w14:paraId="1E1D15B7" w14:textId="77777777" w:rsidR="00507E9F" w:rsidRPr="00A31E3D" w:rsidRDefault="00507E9F" w:rsidP="00A83E86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b) realizacji działań na rzecz włączenia społecznego,</w:t>
      </w:r>
    </w:p>
    <w:p w14:paraId="5CD6C500" w14:textId="21F601D6" w:rsidR="00507E9F" w:rsidRPr="00A31E3D" w:rsidRDefault="00507E9F" w:rsidP="00A83E86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c) prowadzenia odrębnych systemów ewidencji księgowej i gospodarki magazynowej artykułów dostarczanych z FEPŻ</w:t>
      </w:r>
      <w:r w:rsidR="004314C3" w:rsidRPr="00A31E3D">
        <w:rPr>
          <w:rFonts w:ascii="Times New Roman" w:hAnsi="Times New Roman" w:cs="Times New Roman"/>
          <w:sz w:val="24"/>
          <w:szCs w:val="24"/>
        </w:rPr>
        <w:t xml:space="preserve"> </w:t>
      </w:r>
      <w:r w:rsidRPr="00A31E3D">
        <w:rPr>
          <w:rFonts w:ascii="Times New Roman" w:hAnsi="Times New Roman" w:cs="Times New Roman"/>
          <w:sz w:val="24"/>
          <w:szCs w:val="24"/>
        </w:rPr>
        <w:t xml:space="preserve">oraz z innych źródeł, </w:t>
      </w:r>
    </w:p>
    <w:p w14:paraId="365081B1" w14:textId="77777777" w:rsidR="00507E9F" w:rsidRPr="00A31E3D" w:rsidRDefault="00507E9F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4) doświadczenie we współpracy z lokalnymi organizacjami charytatywnymi lub posiadanie sieci organizacji współpracujących przy dystrybucji żywności i prowadzeniu działań na rzecz włączenia społecznego, </w:t>
      </w:r>
    </w:p>
    <w:p w14:paraId="498C4455" w14:textId="7F6EDE77" w:rsidR="00507E9F" w:rsidRPr="00A31E3D" w:rsidRDefault="00507E9F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5) doświadczenie w prowadzeniu działań o charakterze włączenia społecznego</w:t>
      </w:r>
      <w:r w:rsidR="002D637E">
        <w:rPr>
          <w:rFonts w:ascii="Times New Roman" w:hAnsi="Times New Roman" w:cs="Times New Roman"/>
          <w:sz w:val="24"/>
          <w:szCs w:val="24"/>
        </w:rPr>
        <w:t xml:space="preserve"> lub </w:t>
      </w:r>
      <w:r w:rsidRPr="00A31E3D">
        <w:rPr>
          <w:rFonts w:ascii="Times New Roman" w:hAnsi="Times New Roman" w:cs="Times New Roman"/>
          <w:sz w:val="24"/>
          <w:szCs w:val="24"/>
        </w:rPr>
        <w:t xml:space="preserve">stała współpraca z organizacjami lub podmiotami prowadzącymi takie działania. </w:t>
      </w:r>
    </w:p>
    <w:p w14:paraId="25265356" w14:textId="77777777" w:rsidR="00507E9F" w:rsidRPr="00A31E3D" w:rsidRDefault="00507E9F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OPO są odpowiedzialne za wszystkie działania realizowane w ramach umów z IP, w tym za dystrybucję</w:t>
      </w:r>
      <w:r w:rsidR="00753320">
        <w:rPr>
          <w:rFonts w:ascii="Times New Roman" w:hAnsi="Times New Roman" w:cs="Times New Roman"/>
          <w:sz w:val="24"/>
          <w:szCs w:val="24"/>
        </w:rPr>
        <w:t xml:space="preserve"> żywności wraz </w:t>
      </w:r>
      <w:r w:rsidRPr="00A31E3D">
        <w:rPr>
          <w:rFonts w:ascii="Times New Roman" w:hAnsi="Times New Roman" w:cs="Times New Roman"/>
          <w:sz w:val="24"/>
          <w:szCs w:val="24"/>
        </w:rPr>
        <w:t xml:space="preserve">ze środkami towarzyszącymi,  realizowane odpowiednio przez OPR i OPL. </w:t>
      </w:r>
    </w:p>
    <w:p w14:paraId="4A57D7A5" w14:textId="77777777" w:rsidR="004314C3" w:rsidRPr="00A31E3D" w:rsidRDefault="00507E9F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OPO wybierają OPR oraz odpowiednio OPR wybierają OPL wg kryteriów określonych w pkt 1, 3 i 5. OPO ustala zasięg działania OPR, a OPR ustala zasięg działania OPL, w zależności od potrzeb odbiorców końcowych i warunków lokalnych. Od OPL, a także OPR, jeśli prowadzą dystrybucję bezpośrednio wśród odbiorców końcowych, wymaga się również współpracy</w:t>
      </w:r>
      <w:r w:rsidR="00753320">
        <w:rPr>
          <w:rFonts w:ascii="Times New Roman" w:hAnsi="Times New Roman" w:cs="Times New Roman"/>
          <w:sz w:val="24"/>
          <w:szCs w:val="24"/>
        </w:rPr>
        <w:t xml:space="preserve"> </w:t>
      </w:r>
      <w:r w:rsidRPr="00A31E3D">
        <w:rPr>
          <w:rFonts w:ascii="Times New Roman" w:hAnsi="Times New Roman" w:cs="Times New Roman"/>
          <w:sz w:val="24"/>
          <w:szCs w:val="24"/>
        </w:rPr>
        <w:t>z</w:t>
      </w:r>
      <w:r w:rsidR="00753320">
        <w:rPr>
          <w:rFonts w:ascii="Times New Roman" w:hAnsi="Times New Roman" w:cs="Times New Roman"/>
          <w:sz w:val="24"/>
          <w:szCs w:val="24"/>
        </w:rPr>
        <w:t> </w:t>
      </w:r>
      <w:r w:rsidRPr="00A31E3D">
        <w:rPr>
          <w:rFonts w:ascii="Times New Roman" w:hAnsi="Times New Roman" w:cs="Times New Roman"/>
          <w:sz w:val="24"/>
          <w:szCs w:val="24"/>
        </w:rPr>
        <w:t xml:space="preserve">właściwymi terytorialnie OPS. </w:t>
      </w:r>
    </w:p>
    <w:p w14:paraId="26F8A0C5" w14:textId="77777777" w:rsidR="004314C3" w:rsidRPr="00A31E3D" w:rsidRDefault="00507E9F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OPR i OPL spełniają  określone w </w:t>
      </w:r>
      <w:r w:rsidR="00753320">
        <w:rPr>
          <w:rFonts w:ascii="Times New Roman" w:hAnsi="Times New Roman" w:cs="Times New Roman"/>
          <w:sz w:val="24"/>
          <w:szCs w:val="24"/>
        </w:rPr>
        <w:t>wytycz</w:t>
      </w:r>
      <w:r w:rsidRPr="00A31E3D">
        <w:rPr>
          <w:rFonts w:ascii="Times New Roman" w:hAnsi="Times New Roman" w:cs="Times New Roman"/>
          <w:sz w:val="24"/>
          <w:szCs w:val="24"/>
        </w:rPr>
        <w:t>nych IZ standardy</w:t>
      </w:r>
      <w:r w:rsidR="004314C3" w:rsidRPr="00A31E3D">
        <w:rPr>
          <w:rFonts w:ascii="Times New Roman" w:hAnsi="Times New Roman" w:cs="Times New Roman"/>
          <w:sz w:val="24"/>
          <w:szCs w:val="24"/>
        </w:rPr>
        <w:t xml:space="preserve"> minimalne w zakresie realizacji dystrybucji żywności i działań towarzyszących</w:t>
      </w:r>
      <w:r w:rsidRPr="00A31E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3C7883" w14:textId="77777777" w:rsidR="00A2286A" w:rsidRPr="00A31E3D" w:rsidRDefault="00507E9F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lastRenderedPageBreak/>
        <w:t xml:space="preserve">Powierzenie zadań przez OPO do OPR oraz przez OPR do OPL odbywa się w drodze umowy albo wewnętrznych </w:t>
      </w:r>
      <w:r w:rsidR="00753320">
        <w:rPr>
          <w:rFonts w:ascii="Times New Roman" w:hAnsi="Times New Roman" w:cs="Times New Roman"/>
          <w:sz w:val="24"/>
          <w:szCs w:val="24"/>
        </w:rPr>
        <w:t>wytycz</w:t>
      </w:r>
      <w:r w:rsidRPr="00A31E3D">
        <w:rPr>
          <w:rFonts w:ascii="Times New Roman" w:hAnsi="Times New Roman" w:cs="Times New Roman"/>
          <w:sz w:val="24"/>
          <w:szCs w:val="24"/>
        </w:rPr>
        <w:t>nych. Warunkiem podpisania umów jest przedłożenie (przez OPR do OPO oraz przez OPL do OPR)  opisu dystrybucji, w tym zakresu współpracy z OPS  i  planu działań towarzyszących.</w:t>
      </w:r>
    </w:p>
    <w:p w14:paraId="49E8165A" w14:textId="77777777" w:rsidR="004314C3" w:rsidRPr="00A31E3D" w:rsidRDefault="003C29BE" w:rsidP="00A31E3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78264729"/>
      <w:r w:rsidRPr="00A31E3D">
        <w:rPr>
          <w:rFonts w:ascii="Times New Roman" w:hAnsi="Times New Roman" w:cs="Times New Roman"/>
          <w:sz w:val="24"/>
          <w:szCs w:val="24"/>
        </w:rPr>
        <w:t xml:space="preserve">OPO składają do IP wnioski o </w:t>
      </w:r>
      <w:r w:rsidR="00DA5122" w:rsidRPr="00A31E3D">
        <w:rPr>
          <w:rFonts w:ascii="Times New Roman" w:hAnsi="Times New Roman" w:cs="Times New Roman"/>
          <w:sz w:val="24"/>
          <w:szCs w:val="24"/>
        </w:rPr>
        <w:t>dofinansowanie</w:t>
      </w:r>
      <w:r w:rsidRPr="00A31E3D">
        <w:rPr>
          <w:rFonts w:ascii="Times New Roman" w:hAnsi="Times New Roman" w:cs="Times New Roman"/>
          <w:sz w:val="24"/>
          <w:szCs w:val="24"/>
        </w:rPr>
        <w:t xml:space="preserve"> operacji dystrybucji żywności </w:t>
      </w:r>
      <w:bookmarkEnd w:id="3"/>
      <w:r w:rsidRPr="00A31E3D">
        <w:rPr>
          <w:rFonts w:ascii="Times New Roman" w:hAnsi="Times New Roman" w:cs="Times New Roman"/>
          <w:sz w:val="24"/>
          <w:szCs w:val="24"/>
        </w:rPr>
        <w:t>oraz prowadzenia działań towarzyszących.</w:t>
      </w:r>
    </w:p>
    <w:p w14:paraId="67AE4F96" w14:textId="77777777" w:rsidR="003C29BE" w:rsidRPr="00A31E3D" w:rsidRDefault="003C29BE" w:rsidP="00A31E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3025FB" w14:textId="77777777" w:rsidR="003C29BE" w:rsidRPr="00DA5122" w:rsidRDefault="003C29BE" w:rsidP="00A31E3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5122">
        <w:rPr>
          <w:rFonts w:ascii="Times New Roman" w:hAnsi="Times New Roman" w:cs="Times New Roman"/>
          <w:sz w:val="24"/>
          <w:szCs w:val="24"/>
          <w:u w:val="single"/>
        </w:rPr>
        <w:t>Kryteria oceny wniosków</w:t>
      </w:r>
    </w:p>
    <w:p w14:paraId="432DC4A8" w14:textId="77777777" w:rsidR="00ED44EB" w:rsidRPr="00272109" w:rsidRDefault="00ED44EB" w:rsidP="0027210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109">
        <w:rPr>
          <w:rFonts w:ascii="Times New Roman" w:hAnsi="Times New Roman" w:cs="Times New Roman"/>
          <w:sz w:val="24"/>
          <w:szCs w:val="24"/>
        </w:rPr>
        <w:t xml:space="preserve">doświadczenie i potencjał OPO oraz współpracujących OPR i OPL, </w:t>
      </w:r>
    </w:p>
    <w:p w14:paraId="4DDE3CE5" w14:textId="77777777" w:rsidR="00B57C8E" w:rsidRPr="00272109" w:rsidRDefault="00ED44EB" w:rsidP="0027210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109">
        <w:rPr>
          <w:rFonts w:ascii="Times New Roman" w:hAnsi="Times New Roman" w:cs="Times New Roman"/>
          <w:sz w:val="24"/>
          <w:szCs w:val="24"/>
        </w:rPr>
        <w:t xml:space="preserve">liczba odbiorców </w:t>
      </w:r>
      <w:bookmarkStart w:id="4" w:name="_Hlk78185459"/>
      <w:r w:rsidRPr="00272109">
        <w:rPr>
          <w:rFonts w:ascii="Times New Roman" w:hAnsi="Times New Roman" w:cs="Times New Roman"/>
          <w:sz w:val="24"/>
          <w:szCs w:val="24"/>
        </w:rPr>
        <w:t>końcowych planowanych do objęcia pomocą żywnościową</w:t>
      </w:r>
      <w:r w:rsidR="00B57C8E" w:rsidRPr="00272109">
        <w:rPr>
          <w:rFonts w:ascii="Times New Roman" w:hAnsi="Times New Roman" w:cs="Times New Roman"/>
          <w:sz w:val="24"/>
          <w:szCs w:val="24"/>
        </w:rPr>
        <w:t>,</w:t>
      </w:r>
    </w:p>
    <w:p w14:paraId="61D2EB31" w14:textId="77777777" w:rsidR="00B57C8E" w:rsidRPr="00272109" w:rsidRDefault="00B57C8E" w:rsidP="0027210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109">
        <w:rPr>
          <w:rFonts w:ascii="Times New Roman" w:hAnsi="Times New Roman" w:cs="Times New Roman"/>
          <w:sz w:val="24"/>
          <w:szCs w:val="24"/>
        </w:rPr>
        <w:t>liczba planowanych do przeprowadzenia działań towarzyszących oraz szacowana liczba uczestników tych działań</w:t>
      </w:r>
      <w:bookmarkEnd w:id="4"/>
      <w:r w:rsidRPr="00272109">
        <w:rPr>
          <w:rFonts w:ascii="Times New Roman" w:hAnsi="Times New Roman" w:cs="Times New Roman"/>
          <w:sz w:val="24"/>
          <w:szCs w:val="24"/>
        </w:rPr>
        <w:t>.</w:t>
      </w:r>
    </w:p>
    <w:p w14:paraId="73959402" w14:textId="77777777" w:rsidR="006D4ED1" w:rsidRPr="00A31E3D" w:rsidRDefault="006D4ED1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W ramach każdego Podprogramu IZ wydaje </w:t>
      </w:r>
      <w:r w:rsidR="00753320">
        <w:rPr>
          <w:rFonts w:ascii="Times New Roman" w:hAnsi="Times New Roman" w:cs="Times New Roman"/>
          <w:sz w:val="24"/>
          <w:szCs w:val="24"/>
        </w:rPr>
        <w:t>Wytycz</w:t>
      </w:r>
      <w:r w:rsidRPr="00A31E3D">
        <w:rPr>
          <w:rFonts w:ascii="Times New Roman" w:hAnsi="Times New Roman" w:cs="Times New Roman"/>
          <w:sz w:val="24"/>
          <w:szCs w:val="24"/>
        </w:rPr>
        <w:t>ne dotyczące realizacji operacji, zawierające m.in.</w:t>
      </w:r>
    </w:p>
    <w:p w14:paraId="4C5C0F6E" w14:textId="77777777" w:rsidR="006D4ED1" w:rsidRPr="00DA5122" w:rsidRDefault="006D4ED1" w:rsidP="00515FE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122">
        <w:rPr>
          <w:rFonts w:ascii="Times New Roman" w:hAnsi="Times New Roman" w:cs="Times New Roman"/>
          <w:sz w:val="24"/>
          <w:szCs w:val="24"/>
        </w:rPr>
        <w:t xml:space="preserve">łączną wartość środków </w:t>
      </w:r>
      <w:r w:rsidR="00B86FE3" w:rsidRPr="00DA5122">
        <w:rPr>
          <w:rFonts w:ascii="Times New Roman" w:hAnsi="Times New Roman" w:cs="Times New Roman"/>
          <w:sz w:val="24"/>
          <w:szCs w:val="24"/>
        </w:rPr>
        <w:t xml:space="preserve">finansowych </w:t>
      </w:r>
      <w:r w:rsidRPr="00DA5122">
        <w:rPr>
          <w:rFonts w:ascii="Times New Roman" w:hAnsi="Times New Roman" w:cs="Times New Roman"/>
          <w:sz w:val="24"/>
          <w:szCs w:val="24"/>
        </w:rPr>
        <w:t>przeznaczonych na zakup artykułów spożywczych</w:t>
      </w:r>
      <w:r w:rsidR="008068D5" w:rsidRPr="00DA5122">
        <w:rPr>
          <w:rFonts w:ascii="Times New Roman" w:hAnsi="Times New Roman" w:cs="Times New Roman"/>
          <w:sz w:val="24"/>
          <w:szCs w:val="24"/>
        </w:rPr>
        <w:t>,</w:t>
      </w:r>
    </w:p>
    <w:p w14:paraId="02C8CECC" w14:textId="77777777" w:rsidR="00B86FE3" w:rsidRPr="00DA5122" w:rsidRDefault="00B86FE3" w:rsidP="00515FE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122">
        <w:rPr>
          <w:rFonts w:ascii="Times New Roman" w:hAnsi="Times New Roman" w:cs="Times New Roman"/>
          <w:sz w:val="24"/>
          <w:szCs w:val="24"/>
        </w:rPr>
        <w:t xml:space="preserve">szacowany </w:t>
      </w:r>
      <w:r w:rsidR="006D4ED1" w:rsidRPr="00DA5122">
        <w:rPr>
          <w:rFonts w:ascii="Times New Roman" w:hAnsi="Times New Roman" w:cs="Times New Roman"/>
          <w:sz w:val="24"/>
          <w:szCs w:val="24"/>
        </w:rPr>
        <w:t xml:space="preserve">procentowy podział na województwa wartości pomocy dla osób potrzebujących w oparciu o wskaźniki: zagrożenia ubóstwem (po uwzględnieniu transferów socjalnych), zagrożenia głęboką deprywacją materialną oraz zagrożenia niską </w:t>
      </w:r>
      <w:r w:rsidR="00DA5122" w:rsidRPr="00DA5122">
        <w:rPr>
          <w:rFonts w:ascii="Times New Roman" w:hAnsi="Times New Roman" w:cs="Times New Roman"/>
          <w:sz w:val="24"/>
          <w:szCs w:val="24"/>
        </w:rPr>
        <w:t>intensywnością</w:t>
      </w:r>
      <w:r w:rsidR="006D4ED1" w:rsidRPr="00DA5122">
        <w:rPr>
          <w:rFonts w:ascii="Times New Roman" w:hAnsi="Times New Roman" w:cs="Times New Roman"/>
          <w:sz w:val="24"/>
          <w:szCs w:val="24"/>
        </w:rPr>
        <w:t xml:space="preserve"> pracy</w:t>
      </w:r>
      <w:r w:rsidR="006D4ED1" w:rsidRPr="00DA5122">
        <w:rPr>
          <w:vertAlign w:val="superscript"/>
        </w:rPr>
        <w:footnoteReference w:id="15"/>
      </w:r>
      <w:r w:rsidRPr="00DA5122">
        <w:rPr>
          <w:rFonts w:ascii="Times New Roman" w:hAnsi="Times New Roman" w:cs="Times New Roman"/>
          <w:sz w:val="24"/>
          <w:szCs w:val="24"/>
        </w:rPr>
        <w:t xml:space="preserve"> w</w:t>
      </w:r>
      <w:r w:rsidR="00DA5122" w:rsidRPr="00DA5122">
        <w:rPr>
          <w:rFonts w:ascii="Times New Roman" w:hAnsi="Times New Roman" w:cs="Times New Roman"/>
          <w:sz w:val="24"/>
          <w:szCs w:val="24"/>
        </w:rPr>
        <w:t> </w:t>
      </w:r>
      <w:r w:rsidRPr="00DA5122">
        <w:rPr>
          <w:rFonts w:ascii="Times New Roman" w:hAnsi="Times New Roman" w:cs="Times New Roman"/>
          <w:sz w:val="24"/>
          <w:szCs w:val="24"/>
        </w:rPr>
        <w:t>proporcji 50/25/25,</w:t>
      </w:r>
    </w:p>
    <w:p w14:paraId="6CB227CC" w14:textId="77777777" w:rsidR="00B86FE3" w:rsidRPr="00DA5122" w:rsidRDefault="00B86FE3" w:rsidP="00515FE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122">
        <w:rPr>
          <w:rFonts w:ascii="Times New Roman" w:hAnsi="Times New Roman" w:cs="Times New Roman"/>
          <w:sz w:val="24"/>
          <w:szCs w:val="24"/>
        </w:rPr>
        <w:t xml:space="preserve">szacowany </w:t>
      </w:r>
      <w:bookmarkStart w:id="5" w:name="_Hlk78188238"/>
      <w:r w:rsidRPr="00DA5122">
        <w:rPr>
          <w:rFonts w:ascii="Times New Roman" w:hAnsi="Times New Roman" w:cs="Times New Roman"/>
          <w:sz w:val="24"/>
          <w:szCs w:val="24"/>
        </w:rPr>
        <w:t xml:space="preserve">procentowy podział środków finansowych na OPO </w:t>
      </w:r>
      <w:bookmarkEnd w:id="5"/>
      <w:r w:rsidRPr="00DA5122">
        <w:rPr>
          <w:rFonts w:ascii="Times New Roman" w:hAnsi="Times New Roman" w:cs="Times New Roman"/>
          <w:sz w:val="24"/>
          <w:szCs w:val="24"/>
        </w:rPr>
        <w:t>w poszczególnych województwach w oparciu o liczbę osób zadeklarowanych przez OPO do objęcia wsparciem z uwzględnieniem liczby gmin planowanych do objęcia dystrybucją oraz liczbę OPL tworzących sieć danej OPO,</w:t>
      </w:r>
      <w:r w:rsidR="002C226B" w:rsidRPr="00DA5122">
        <w:rPr>
          <w:rFonts w:ascii="Times New Roman" w:hAnsi="Times New Roman" w:cs="Times New Roman"/>
          <w:sz w:val="24"/>
          <w:szCs w:val="24"/>
        </w:rPr>
        <w:t xml:space="preserve"> przy czym dopuszcza się dokonywanie przesunięć nieprzekraczających +/-4% łącznej alokacji danej OPO na poszczególne województwa,</w:t>
      </w:r>
    </w:p>
    <w:p w14:paraId="09ADA617" w14:textId="77777777" w:rsidR="008068D5" w:rsidRPr="00DA5122" w:rsidRDefault="008068D5" w:rsidP="00515FE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122">
        <w:rPr>
          <w:rFonts w:ascii="Times New Roman" w:hAnsi="Times New Roman" w:cs="Times New Roman"/>
          <w:sz w:val="24"/>
          <w:szCs w:val="24"/>
        </w:rPr>
        <w:t>zasady realizacji dystrybucji żywności,</w:t>
      </w:r>
      <w:r w:rsidR="008B71AE" w:rsidRPr="00DA5122">
        <w:rPr>
          <w:rFonts w:ascii="Times New Roman" w:hAnsi="Times New Roman" w:cs="Times New Roman"/>
          <w:sz w:val="24"/>
          <w:szCs w:val="24"/>
        </w:rPr>
        <w:t xml:space="preserve"> w tym formy jej przekazywania odbiorcom końcowym (definicja paczki żywnościowej i posiłku, ilość artykułów wchodzących w skład zestawu dla jednego odbiorcy końcowego), </w:t>
      </w:r>
    </w:p>
    <w:p w14:paraId="65C976D4" w14:textId="77777777" w:rsidR="00B86FE3" w:rsidRPr="00DA5122" w:rsidRDefault="00B86FE3" w:rsidP="00515FE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122">
        <w:rPr>
          <w:rFonts w:ascii="Times New Roman" w:hAnsi="Times New Roman" w:cs="Times New Roman"/>
          <w:sz w:val="24"/>
          <w:szCs w:val="24"/>
        </w:rPr>
        <w:t>minimalne standardy dla OPO, OPR i OPL w obszarze transportu, magazynowania i</w:t>
      </w:r>
      <w:r w:rsidR="00ED6D35" w:rsidRPr="00DA5122">
        <w:rPr>
          <w:rFonts w:ascii="Times New Roman" w:hAnsi="Times New Roman" w:cs="Times New Roman"/>
          <w:sz w:val="24"/>
          <w:szCs w:val="24"/>
        </w:rPr>
        <w:t> </w:t>
      </w:r>
      <w:r w:rsidRPr="00DA5122">
        <w:rPr>
          <w:rFonts w:ascii="Times New Roman" w:hAnsi="Times New Roman" w:cs="Times New Roman"/>
          <w:sz w:val="24"/>
          <w:szCs w:val="24"/>
        </w:rPr>
        <w:t>administracji,</w:t>
      </w:r>
    </w:p>
    <w:p w14:paraId="7CE07EE0" w14:textId="77777777" w:rsidR="008068D5" w:rsidRPr="00DA5122" w:rsidRDefault="008068D5" w:rsidP="00515FE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122">
        <w:rPr>
          <w:rFonts w:ascii="Times New Roman" w:hAnsi="Times New Roman" w:cs="Times New Roman"/>
          <w:sz w:val="24"/>
          <w:szCs w:val="24"/>
        </w:rPr>
        <w:t>rodzaje działań w ramach środków towarzyszących objętych współfinansowaniem z</w:t>
      </w:r>
      <w:r w:rsidR="001D652B" w:rsidRPr="00DA5122">
        <w:rPr>
          <w:rFonts w:ascii="Times New Roman" w:hAnsi="Times New Roman" w:cs="Times New Roman"/>
          <w:sz w:val="24"/>
          <w:szCs w:val="24"/>
        </w:rPr>
        <w:t> </w:t>
      </w:r>
      <w:r w:rsidRPr="00DA5122">
        <w:rPr>
          <w:rFonts w:ascii="Times New Roman" w:hAnsi="Times New Roman" w:cs="Times New Roman"/>
          <w:sz w:val="24"/>
          <w:szCs w:val="24"/>
        </w:rPr>
        <w:t>Programu,</w:t>
      </w:r>
    </w:p>
    <w:p w14:paraId="4B704BBD" w14:textId="77777777" w:rsidR="00B86FE3" w:rsidRPr="00DA5122" w:rsidRDefault="00B86FE3" w:rsidP="00515FE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122">
        <w:rPr>
          <w:rFonts w:ascii="Times New Roman" w:hAnsi="Times New Roman" w:cs="Times New Roman"/>
          <w:sz w:val="24"/>
          <w:szCs w:val="24"/>
        </w:rPr>
        <w:t>minimalne standardy realizacji działań w ramach środków towarzyszących</w:t>
      </w:r>
      <w:r w:rsidR="008068D5" w:rsidRPr="00DA5122">
        <w:rPr>
          <w:rFonts w:ascii="Times New Roman" w:hAnsi="Times New Roman" w:cs="Times New Roman"/>
          <w:sz w:val="24"/>
          <w:szCs w:val="24"/>
        </w:rPr>
        <w:t>,</w:t>
      </w:r>
    </w:p>
    <w:p w14:paraId="2E166EF3" w14:textId="77777777" w:rsidR="008068D5" w:rsidRPr="00DA5122" w:rsidRDefault="008068D5" w:rsidP="00515FE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122">
        <w:rPr>
          <w:rFonts w:ascii="Times New Roman" w:hAnsi="Times New Roman" w:cs="Times New Roman"/>
          <w:sz w:val="24"/>
          <w:szCs w:val="24"/>
        </w:rPr>
        <w:t>zasady składania wniosków o dofinansowanie i rozliczania operacji,</w:t>
      </w:r>
    </w:p>
    <w:p w14:paraId="2DAB1939" w14:textId="77777777" w:rsidR="008068D5" w:rsidRPr="00DA5122" w:rsidRDefault="008068D5" w:rsidP="00515FE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122">
        <w:rPr>
          <w:rFonts w:ascii="Times New Roman" w:hAnsi="Times New Roman" w:cs="Times New Roman"/>
          <w:sz w:val="24"/>
          <w:szCs w:val="24"/>
        </w:rPr>
        <w:t>zasady sprawozdawczości,</w:t>
      </w:r>
    </w:p>
    <w:p w14:paraId="17F37B59" w14:textId="77777777" w:rsidR="001D652B" w:rsidRPr="00DA5122" w:rsidRDefault="008068D5" w:rsidP="00515FE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122">
        <w:rPr>
          <w:rFonts w:ascii="Times New Roman" w:hAnsi="Times New Roman" w:cs="Times New Roman"/>
          <w:sz w:val="24"/>
          <w:szCs w:val="24"/>
        </w:rPr>
        <w:t>zasady prowadzenia kontroli</w:t>
      </w:r>
      <w:r w:rsidR="001D652B" w:rsidRPr="00DA5122">
        <w:rPr>
          <w:rFonts w:ascii="Times New Roman" w:hAnsi="Times New Roman" w:cs="Times New Roman"/>
          <w:sz w:val="24"/>
          <w:szCs w:val="24"/>
        </w:rPr>
        <w:t>,</w:t>
      </w:r>
    </w:p>
    <w:p w14:paraId="72CFBE6D" w14:textId="77777777" w:rsidR="008068D5" w:rsidRPr="00DA5122" w:rsidRDefault="001D652B" w:rsidP="00515FE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122">
        <w:rPr>
          <w:rFonts w:ascii="Times New Roman" w:hAnsi="Times New Roman" w:cs="Times New Roman"/>
          <w:sz w:val="24"/>
          <w:szCs w:val="24"/>
        </w:rPr>
        <w:t>przesłanki odzyskiwania środków od beneficjentów w związku z nieprawidłową realizacją operacji.</w:t>
      </w:r>
    </w:p>
    <w:p w14:paraId="26C9452C" w14:textId="77777777" w:rsidR="002C226B" w:rsidRPr="00A31E3D" w:rsidRDefault="002C226B" w:rsidP="00A31E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6F8047" w14:textId="73D7E131" w:rsidR="00F422DC" w:rsidRPr="00A31E3D" w:rsidRDefault="002C226B" w:rsidP="00D0194B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lastRenderedPageBreak/>
        <w:t xml:space="preserve">Na realizację dystrybucji OPO otrzymują ryczałtowe środki finansowe w wysokości 7% wartości żywności dostarczonej do magazynów OPR należących do ich sieci dystrybucji. Środki przeznacza się na pokrycie kosztów związanych z transportem, magazynowaniem i administrowaniem, przy czym OPO </w:t>
      </w:r>
      <w:r w:rsidR="00100EF3">
        <w:rPr>
          <w:rFonts w:ascii="Times New Roman" w:hAnsi="Times New Roman" w:cs="Times New Roman"/>
          <w:sz w:val="24"/>
          <w:szCs w:val="24"/>
        </w:rPr>
        <w:t xml:space="preserve"> za pośrednictwem OPR </w:t>
      </w:r>
      <w:r w:rsidRPr="00A31E3D">
        <w:rPr>
          <w:rFonts w:ascii="Times New Roman" w:hAnsi="Times New Roman" w:cs="Times New Roman"/>
          <w:sz w:val="24"/>
          <w:szCs w:val="24"/>
        </w:rPr>
        <w:t xml:space="preserve">jest zobowiązana do przekazania </w:t>
      </w:r>
      <w:r w:rsidR="005E14C9" w:rsidRPr="00A31E3D">
        <w:rPr>
          <w:rFonts w:ascii="Times New Roman" w:hAnsi="Times New Roman" w:cs="Times New Roman"/>
          <w:sz w:val="24"/>
          <w:szCs w:val="24"/>
        </w:rPr>
        <w:t xml:space="preserve">od 0,5% do </w:t>
      </w:r>
      <w:r w:rsidR="003C2C39">
        <w:rPr>
          <w:rFonts w:ascii="Times New Roman" w:hAnsi="Times New Roman" w:cs="Times New Roman"/>
          <w:sz w:val="24"/>
          <w:szCs w:val="24"/>
        </w:rPr>
        <w:t>1,5</w:t>
      </w:r>
      <w:r w:rsidR="005E14C9" w:rsidRPr="00A31E3D">
        <w:rPr>
          <w:rFonts w:ascii="Times New Roman" w:hAnsi="Times New Roman" w:cs="Times New Roman"/>
          <w:sz w:val="24"/>
          <w:szCs w:val="24"/>
        </w:rPr>
        <w:t xml:space="preserve">% </w:t>
      </w:r>
      <w:r w:rsidR="008C7379">
        <w:rPr>
          <w:rFonts w:ascii="Times New Roman" w:hAnsi="Times New Roman" w:cs="Times New Roman"/>
          <w:sz w:val="24"/>
          <w:szCs w:val="24"/>
        </w:rPr>
        <w:t xml:space="preserve">wartości </w:t>
      </w:r>
      <w:r w:rsidR="00D0194B">
        <w:rPr>
          <w:rFonts w:ascii="Times New Roman" w:hAnsi="Times New Roman" w:cs="Times New Roman"/>
          <w:sz w:val="24"/>
          <w:szCs w:val="24"/>
        </w:rPr>
        <w:t>żywności dostarczonej</w:t>
      </w:r>
      <w:r w:rsidR="005E14C9" w:rsidRPr="00A31E3D">
        <w:rPr>
          <w:rFonts w:ascii="Times New Roman" w:hAnsi="Times New Roman" w:cs="Times New Roman"/>
          <w:sz w:val="24"/>
          <w:szCs w:val="24"/>
        </w:rPr>
        <w:t xml:space="preserve"> do OPL, na pokrycie kosztów związanych z </w:t>
      </w:r>
      <w:r w:rsidR="004A13A7">
        <w:rPr>
          <w:rFonts w:ascii="Times New Roman" w:hAnsi="Times New Roman" w:cs="Times New Roman"/>
          <w:sz w:val="24"/>
          <w:szCs w:val="24"/>
        </w:rPr>
        <w:t xml:space="preserve">bezpośrednim </w:t>
      </w:r>
      <w:r w:rsidR="005E14C9" w:rsidRPr="00A31E3D">
        <w:rPr>
          <w:rFonts w:ascii="Times New Roman" w:hAnsi="Times New Roman" w:cs="Times New Roman"/>
          <w:sz w:val="24"/>
          <w:szCs w:val="24"/>
        </w:rPr>
        <w:t>wydawaniem żywności odbiorcom końcowym.</w:t>
      </w:r>
      <w:r w:rsidR="008C7379" w:rsidRPr="008C7379">
        <w:t xml:space="preserve"> </w:t>
      </w:r>
      <w:r w:rsidR="008C7379" w:rsidRPr="008C7379">
        <w:rPr>
          <w:rFonts w:ascii="Times New Roman" w:hAnsi="Times New Roman" w:cs="Times New Roman"/>
          <w:sz w:val="24"/>
          <w:szCs w:val="24"/>
        </w:rPr>
        <w:t>Poziom dofinasowania OPL przez OPR zależeć będzie od faktycznego udziału danej OPL w realizacji poszczególnych działań.</w:t>
      </w:r>
    </w:p>
    <w:p w14:paraId="5A98EEB8" w14:textId="77777777" w:rsidR="00C56626" w:rsidRPr="00A31E3D" w:rsidRDefault="00F422DC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Na realizację działań towarzyszących OPO otrzymują ryczałtowe środki finansowe w wysokości 7% wartości żywności dostarczonej do magazynów OPR należących do ich sieci dystrybucji. Działania towarzyszące mogą prowadzić OPR i OPL, przy czym OPO jest zobowiązana do przekazania środków ryczałtowych na rzecz organizacji, która faktycznie ponosi koszty przeprowadzenia działań towarzyszących.</w:t>
      </w:r>
    </w:p>
    <w:p w14:paraId="380AFB43" w14:textId="55D09397" w:rsidR="00F422DC" w:rsidRPr="00A31E3D" w:rsidRDefault="00C56626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Zasady przekazywania ryczałtowych środków finansowych w obrębie sieci dystrybucji danej OPO oraz zasady prowadzenia kontroli w tym zakresie</w:t>
      </w:r>
      <w:r w:rsidR="005B6AF2" w:rsidRPr="00A31E3D">
        <w:rPr>
          <w:rFonts w:ascii="Times New Roman" w:hAnsi="Times New Roman" w:cs="Times New Roman"/>
          <w:sz w:val="24"/>
          <w:szCs w:val="24"/>
        </w:rPr>
        <w:t>,</w:t>
      </w:r>
      <w:r w:rsidRPr="00A31E3D">
        <w:rPr>
          <w:rFonts w:ascii="Times New Roman" w:hAnsi="Times New Roman" w:cs="Times New Roman"/>
          <w:sz w:val="24"/>
          <w:szCs w:val="24"/>
        </w:rPr>
        <w:t xml:space="preserve"> określa IZ w </w:t>
      </w:r>
      <w:r w:rsidR="00E6110F">
        <w:rPr>
          <w:rFonts w:ascii="Times New Roman" w:hAnsi="Times New Roman" w:cs="Times New Roman"/>
          <w:sz w:val="24"/>
          <w:szCs w:val="24"/>
        </w:rPr>
        <w:t>Wytycz</w:t>
      </w:r>
      <w:r w:rsidR="00E6110F" w:rsidRPr="00A31E3D">
        <w:rPr>
          <w:rFonts w:ascii="Times New Roman" w:hAnsi="Times New Roman" w:cs="Times New Roman"/>
          <w:sz w:val="24"/>
          <w:szCs w:val="24"/>
        </w:rPr>
        <w:t>nych</w:t>
      </w:r>
      <w:r w:rsidRPr="00A31E3D">
        <w:rPr>
          <w:rFonts w:ascii="Times New Roman" w:hAnsi="Times New Roman" w:cs="Times New Roman"/>
          <w:sz w:val="24"/>
          <w:szCs w:val="24"/>
        </w:rPr>
        <w:t>.</w:t>
      </w:r>
      <w:r w:rsidR="00F422DC" w:rsidRPr="00A31E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5FAD4" w14:textId="77777777" w:rsidR="009C6307" w:rsidRPr="00A31E3D" w:rsidRDefault="009C6307" w:rsidP="00A31E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84676A" w14:textId="527B88B4" w:rsidR="009C6307" w:rsidRPr="00515FE4" w:rsidRDefault="009C6307" w:rsidP="00515FE4">
      <w:pPr>
        <w:pStyle w:val="Podtytu"/>
        <w:rPr>
          <w:rFonts w:ascii="Times New Roman" w:hAnsi="Times New Roman" w:cs="Times New Roman"/>
          <w:b/>
          <w:bCs/>
        </w:rPr>
      </w:pPr>
      <w:r w:rsidRPr="00515FE4">
        <w:rPr>
          <w:rFonts w:ascii="Times New Roman" w:hAnsi="Times New Roman" w:cs="Times New Roman"/>
          <w:b/>
          <w:bCs/>
        </w:rPr>
        <w:t>6.3. Dystrybucja żywności pochodzącej z darowizn</w:t>
      </w:r>
      <w:r w:rsidR="003C2C39">
        <w:rPr>
          <w:rStyle w:val="Odwoanieprzypisudolnego"/>
          <w:b/>
          <w:bCs/>
        </w:rPr>
        <w:footnoteReference w:id="16"/>
      </w:r>
    </w:p>
    <w:p w14:paraId="33802387" w14:textId="77777777" w:rsidR="00544437" w:rsidRPr="00A31E3D" w:rsidRDefault="00544437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Celem operacji jest zapewnienie odbiorcom końcowym Programu dostępu do dodatkowego wsparcia w postaci żywności pozyskiwanej przez organizacje partnerskie z darowizn</w:t>
      </w:r>
      <w:r w:rsidR="007256E9" w:rsidRPr="00A31E3D">
        <w:rPr>
          <w:rFonts w:ascii="Times New Roman" w:hAnsi="Times New Roman" w:cs="Times New Roman"/>
          <w:sz w:val="24"/>
          <w:szCs w:val="24"/>
        </w:rPr>
        <w:t xml:space="preserve">, o której mowa w art. 22 ust. 1 pkt. d) </w:t>
      </w:r>
      <w:proofErr w:type="spellStart"/>
      <w:r w:rsidR="007256E9" w:rsidRPr="00A31E3D">
        <w:rPr>
          <w:rFonts w:ascii="Times New Roman" w:hAnsi="Times New Roman" w:cs="Times New Roman"/>
          <w:sz w:val="24"/>
          <w:szCs w:val="24"/>
        </w:rPr>
        <w:t>rozp</w:t>
      </w:r>
      <w:proofErr w:type="spellEnd"/>
      <w:r w:rsidR="007256E9" w:rsidRPr="00A31E3D">
        <w:rPr>
          <w:rFonts w:ascii="Times New Roman" w:hAnsi="Times New Roman" w:cs="Times New Roman"/>
          <w:sz w:val="24"/>
          <w:szCs w:val="24"/>
        </w:rPr>
        <w:t>. EFS+</w:t>
      </w:r>
      <w:r w:rsidRPr="00A31E3D">
        <w:rPr>
          <w:rFonts w:ascii="Times New Roman" w:hAnsi="Times New Roman" w:cs="Times New Roman"/>
          <w:sz w:val="24"/>
          <w:szCs w:val="24"/>
        </w:rPr>
        <w:t>.</w:t>
      </w:r>
    </w:p>
    <w:p w14:paraId="55DFB999" w14:textId="77777777" w:rsidR="00515FE4" w:rsidRDefault="000E5CB6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OPO składają do IP wnioski o </w:t>
      </w:r>
      <w:r w:rsidR="00515FE4" w:rsidRPr="00A31E3D">
        <w:rPr>
          <w:rFonts w:ascii="Times New Roman" w:hAnsi="Times New Roman" w:cs="Times New Roman"/>
          <w:sz w:val="24"/>
          <w:szCs w:val="24"/>
        </w:rPr>
        <w:t>dofinansowanie</w:t>
      </w:r>
      <w:r w:rsidRPr="00A31E3D">
        <w:rPr>
          <w:rFonts w:ascii="Times New Roman" w:hAnsi="Times New Roman" w:cs="Times New Roman"/>
          <w:sz w:val="24"/>
          <w:szCs w:val="24"/>
        </w:rPr>
        <w:t xml:space="preserve"> operacji dystrybucji żywności pochodzącej z darowizn.</w:t>
      </w:r>
    </w:p>
    <w:p w14:paraId="02E00E55" w14:textId="77777777" w:rsidR="00272109" w:rsidRPr="00A31E3D" w:rsidRDefault="00272109" w:rsidP="00A31E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928DFF" w14:textId="77777777" w:rsidR="00544437" w:rsidRPr="00515FE4" w:rsidRDefault="00544437" w:rsidP="00A31E3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5FE4">
        <w:rPr>
          <w:rFonts w:ascii="Times New Roman" w:hAnsi="Times New Roman" w:cs="Times New Roman"/>
          <w:sz w:val="24"/>
          <w:szCs w:val="24"/>
          <w:u w:val="single"/>
        </w:rPr>
        <w:t>Kryteria oceny wniosków</w:t>
      </w:r>
    </w:p>
    <w:p w14:paraId="595E558A" w14:textId="77777777" w:rsidR="00165227" w:rsidRPr="00515FE4" w:rsidRDefault="00165227" w:rsidP="00515FE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78188715"/>
      <w:r w:rsidRPr="00515FE4">
        <w:rPr>
          <w:rFonts w:ascii="Times New Roman" w:hAnsi="Times New Roman" w:cs="Times New Roman"/>
          <w:sz w:val="24"/>
          <w:szCs w:val="24"/>
        </w:rPr>
        <w:t>s</w:t>
      </w:r>
      <w:r w:rsidR="000F3264" w:rsidRPr="00515FE4">
        <w:rPr>
          <w:rFonts w:ascii="Times New Roman" w:hAnsi="Times New Roman" w:cs="Times New Roman"/>
          <w:sz w:val="24"/>
          <w:szCs w:val="24"/>
        </w:rPr>
        <w:t>zacowana ilość żywności pochodzącej z darowizn</w:t>
      </w:r>
      <w:r w:rsidRPr="00515FE4">
        <w:rPr>
          <w:rFonts w:ascii="Times New Roman" w:hAnsi="Times New Roman" w:cs="Times New Roman"/>
          <w:sz w:val="24"/>
          <w:szCs w:val="24"/>
        </w:rPr>
        <w:t xml:space="preserve"> planowanej do przekazania odbiorcom końcowym</w:t>
      </w:r>
      <w:r w:rsidR="00C640FD" w:rsidRPr="00515FE4">
        <w:rPr>
          <w:rFonts w:ascii="Times New Roman" w:hAnsi="Times New Roman" w:cs="Times New Roman"/>
          <w:sz w:val="24"/>
          <w:szCs w:val="24"/>
        </w:rPr>
        <w:t>,</w:t>
      </w:r>
    </w:p>
    <w:p w14:paraId="1304812D" w14:textId="77777777" w:rsidR="00165227" w:rsidRPr="00515FE4" w:rsidRDefault="00165227" w:rsidP="00515FE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FE4">
        <w:rPr>
          <w:rFonts w:ascii="Times New Roman" w:hAnsi="Times New Roman" w:cs="Times New Roman"/>
          <w:sz w:val="24"/>
          <w:szCs w:val="24"/>
        </w:rPr>
        <w:t>liczba odbiorców końcowych planowanych do objęcia pomocą żywnościową</w:t>
      </w:r>
      <w:r w:rsidR="000F3264" w:rsidRPr="00515FE4">
        <w:rPr>
          <w:rFonts w:ascii="Times New Roman" w:hAnsi="Times New Roman" w:cs="Times New Roman"/>
          <w:sz w:val="24"/>
          <w:szCs w:val="24"/>
        </w:rPr>
        <w:t xml:space="preserve"> </w:t>
      </w:r>
      <w:r w:rsidRPr="00515FE4">
        <w:rPr>
          <w:rFonts w:ascii="Times New Roman" w:hAnsi="Times New Roman" w:cs="Times New Roman"/>
          <w:sz w:val="24"/>
          <w:szCs w:val="24"/>
        </w:rPr>
        <w:t>pochodzącą z</w:t>
      </w:r>
      <w:r w:rsidR="00C640FD" w:rsidRPr="00515FE4">
        <w:rPr>
          <w:rFonts w:ascii="Times New Roman" w:hAnsi="Times New Roman" w:cs="Times New Roman"/>
          <w:sz w:val="24"/>
          <w:szCs w:val="24"/>
        </w:rPr>
        <w:t> </w:t>
      </w:r>
      <w:r w:rsidRPr="00515FE4">
        <w:rPr>
          <w:rFonts w:ascii="Times New Roman" w:hAnsi="Times New Roman" w:cs="Times New Roman"/>
          <w:sz w:val="24"/>
          <w:szCs w:val="24"/>
        </w:rPr>
        <w:t>darowizn</w:t>
      </w:r>
      <w:r w:rsidR="00C640FD" w:rsidRPr="00515FE4">
        <w:rPr>
          <w:rFonts w:ascii="Times New Roman" w:hAnsi="Times New Roman" w:cs="Times New Roman"/>
          <w:sz w:val="24"/>
          <w:szCs w:val="24"/>
        </w:rPr>
        <w:t>,</w:t>
      </w:r>
    </w:p>
    <w:bookmarkEnd w:id="6"/>
    <w:p w14:paraId="2EDC605C" w14:textId="77777777" w:rsidR="000F3264" w:rsidRPr="00515FE4" w:rsidRDefault="00165227" w:rsidP="00515FE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FE4">
        <w:rPr>
          <w:rFonts w:ascii="Times New Roman" w:hAnsi="Times New Roman" w:cs="Times New Roman"/>
          <w:sz w:val="24"/>
          <w:szCs w:val="24"/>
        </w:rPr>
        <w:t xml:space="preserve">liczba </w:t>
      </w:r>
      <w:r w:rsidR="00C640FD" w:rsidRPr="00515FE4">
        <w:rPr>
          <w:rFonts w:ascii="Times New Roman" w:hAnsi="Times New Roman" w:cs="Times New Roman"/>
          <w:sz w:val="24"/>
          <w:szCs w:val="24"/>
        </w:rPr>
        <w:t>organizacji partnerskich lokalnych, które będą wydawać odbiorcom końcowym żywność z darowizn,</w:t>
      </w:r>
    </w:p>
    <w:p w14:paraId="57696810" w14:textId="77777777" w:rsidR="00C640FD" w:rsidRPr="00515FE4" w:rsidRDefault="00C640FD" w:rsidP="00515FE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FE4">
        <w:rPr>
          <w:rFonts w:ascii="Times New Roman" w:hAnsi="Times New Roman" w:cs="Times New Roman"/>
          <w:sz w:val="24"/>
          <w:szCs w:val="24"/>
        </w:rPr>
        <w:t xml:space="preserve">liczba gmin, w których będzie dostępna pomoc żywnościowa z darowizn. </w:t>
      </w:r>
    </w:p>
    <w:p w14:paraId="01CA01F6" w14:textId="77777777" w:rsidR="00C640FD" w:rsidRPr="00A31E3D" w:rsidRDefault="00C640FD" w:rsidP="00A31E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B9ED2B" w14:textId="494B2EFA" w:rsidR="00961F47" w:rsidRPr="00A31E3D" w:rsidRDefault="00C640FD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W </w:t>
      </w:r>
      <w:r w:rsidR="001E1BE7">
        <w:rPr>
          <w:rFonts w:ascii="Times New Roman" w:hAnsi="Times New Roman" w:cs="Times New Roman"/>
          <w:sz w:val="24"/>
          <w:szCs w:val="24"/>
        </w:rPr>
        <w:t>Wytycz</w:t>
      </w:r>
      <w:r w:rsidR="001E1BE7" w:rsidRPr="00A31E3D">
        <w:rPr>
          <w:rFonts w:ascii="Times New Roman" w:hAnsi="Times New Roman" w:cs="Times New Roman"/>
          <w:sz w:val="24"/>
          <w:szCs w:val="24"/>
        </w:rPr>
        <w:t xml:space="preserve">nych </w:t>
      </w:r>
      <w:r w:rsidRPr="00A31E3D">
        <w:rPr>
          <w:rFonts w:ascii="Times New Roman" w:hAnsi="Times New Roman" w:cs="Times New Roman"/>
          <w:sz w:val="24"/>
          <w:szCs w:val="24"/>
        </w:rPr>
        <w:t>na dany Podprogram IZ określa</w:t>
      </w:r>
      <w:r w:rsidR="00961F47" w:rsidRPr="00A31E3D">
        <w:rPr>
          <w:rFonts w:ascii="Times New Roman" w:hAnsi="Times New Roman" w:cs="Times New Roman"/>
          <w:sz w:val="24"/>
          <w:szCs w:val="24"/>
        </w:rPr>
        <w:t>:</w:t>
      </w:r>
    </w:p>
    <w:p w14:paraId="20CC6A4F" w14:textId="2A858CF8" w:rsidR="00961F47" w:rsidRPr="00515FE4" w:rsidRDefault="00961F47" w:rsidP="00515FE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FE4">
        <w:rPr>
          <w:rFonts w:ascii="Times New Roman" w:hAnsi="Times New Roman" w:cs="Times New Roman"/>
          <w:sz w:val="24"/>
          <w:szCs w:val="24"/>
        </w:rPr>
        <w:t>łączną wartość środków finansowych, przeznaczonych na dystrybucję żywności z</w:t>
      </w:r>
      <w:r w:rsidR="00272109">
        <w:rPr>
          <w:rFonts w:ascii="Times New Roman" w:hAnsi="Times New Roman" w:cs="Times New Roman"/>
          <w:sz w:val="24"/>
          <w:szCs w:val="24"/>
        </w:rPr>
        <w:t> </w:t>
      </w:r>
      <w:r w:rsidRPr="00515FE4">
        <w:rPr>
          <w:rFonts w:ascii="Times New Roman" w:hAnsi="Times New Roman" w:cs="Times New Roman"/>
          <w:sz w:val="24"/>
          <w:szCs w:val="24"/>
        </w:rPr>
        <w:t xml:space="preserve">darowizn, wyrażoną jako % łącznej </w:t>
      </w:r>
      <w:r w:rsidR="00515FE4" w:rsidRPr="00515FE4">
        <w:rPr>
          <w:rFonts w:ascii="Times New Roman" w:hAnsi="Times New Roman" w:cs="Times New Roman"/>
          <w:sz w:val="24"/>
          <w:szCs w:val="24"/>
        </w:rPr>
        <w:t>alokacji</w:t>
      </w:r>
      <w:r w:rsidRPr="00515FE4">
        <w:rPr>
          <w:rFonts w:ascii="Times New Roman" w:hAnsi="Times New Roman" w:cs="Times New Roman"/>
          <w:sz w:val="24"/>
          <w:szCs w:val="24"/>
        </w:rPr>
        <w:t xml:space="preserve"> środków finansowych przeznaczonych na </w:t>
      </w:r>
      <w:r w:rsidR="00F86331" w:rsidRPr="00515FE4">
        <w:rPr>
          <w:rFonts w:ascii="Times New Roman" w:hAnsi="Times New Roman" w:cs="Times New Roman"/>
          <w:sz w:val="24"/>
          <w:szCs w:val="24"/>
        </w:rPr>
        <w:t>zakup żywności w danym</w:t>
      </w:r>
      <w:r w:rsidRPr="00515FE4">
        <w:rPr>
          <w:rFonts w:ascii="Times New Roman" w:hAnsi="Times New Roman" w:cs="Times New Roman"/>
          <w:sz w:val="24"/>
          <w:szCs w:val="24"/>
        </w:rPr>
        <w:t xml:space="preserve"> Podprogram</w:t>
      </w:r>
      <w:r w:rsidR="00F86331" w:rsidRPr="00515FE4">
        <w:rPr>
          <w:rFonts w:ascii="Times New Roman" w:hAnsi="Times New Roman" w:cs="Times New Roman"/>
          <w:sz w:val="24"/>
          <w:szCs w:val="24"/>
        </w:rPr>
        <w:t xml:space="preserve">ie, jednakże nieprzekraczającą dla wszystkich Podprogramów </w:t>
      </w:r>
      <w:r w:rsidR="003C2C39">
        <w:rPr>
          <w:rFonts w:ascii="Times New Roman" w:hAnsi="Times New Roman" w:cs="Times New Roman"/>
          <w:sz w:val="24"/>
          <w:szCs w:val="24"/>
        </w:rPr>
        <w:t>3</w:t>
      </w:r>
      <w:r w:rsidR="00F86331" w:rsidRPr="00515FE4">
        <w:rPr>
          <w:rFonts w:ascii="Times New Roman" w:hAnsi="Times New Roman" w:cs="Times New Roman"/>
          <w:sz w:val="24"/>
          <w:szCs w:val="24"/>
        </w:rPr>
        <w:t xml:space="preserve">%  </w:t>
      </w:r>
      <w:r w:rsidR="00094BD6" w:rsidRPr="00515FE4">
        <w:rPr>
          <w:rFonts w:ascii="Times New Roman" w:hAnsi="Times New Roman" w:cs="Times New Roman"/>
          <w:sz w:val="24"/>
          <w:szCs w:val="24"/>
        </w:rPr>
        <w:t xml:space="preserve">łącznej </w:t>
      </w:r>
      <w:r w:rsidR="00F86331" w:rsidRPr="00515FE4">
        <w:rPr>
          <w:rFonts w:ascii="Times New Roman" w:hAnsi="Times New Roman" w:cs="Times New Roman"/>
          <w:sz w:val="24"/>
          <w:szCs w:val="24"/>
        </w:rPr>
        <w:t>wartości środków finansowych przeznaczonych na zakup żywności w Programie,</w:t>
      </w:r>
    </w:p>
    <w:p w14:paraId="5D172174" w14:textId="77777777" w:rsidR="001A02F6" w:rsidRPr="00515FE4" w:rsidRDefault="001A02F6" w:rsidP="00515FE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FE4">
        <w:rPr>
          <w:rFonts w:ascii="Times New Roman" w:hAnsi="Times New Roman" w:cs="Times New Roman"/>
          <w:sz w:val="24"/>
          <w:szCs w:val="24"/>
        </w:rPr>
        <w:lastRenderedPageBreak/>
        <w:t xml:space="preserve">procentowy podział środków finansowych na OPO, dokonany w oparciu o określone we wniosku o </w:t>
      </w:r>
      <w:r w:rsidR="00515FE4" w:rsidRPr="00515FE4">
        <w:rPr>
          <w:rFonts w:ascii="Times New Roman" w:hAnsi="Times New Roman" w:cs="Times New Roman"/>
          <w:sz w:val="24"/>
          <w:szCs w:val="24"/>
        </w:rPr>
        <w:t>dofinansowanie</w:t>
      </w:r>
      <w:r w:rsidRPr="00515FE4">
        <w:rPr>
          <w:rFonts w:ascii="Times New Roman" w:hAnsi="Times New Roman" w:cs="Times New Roman"/>
          <w:sz w:val="24"/>
          <w:szCs w:val="24"/>
        </w:rPr>
        <w:t xml:space="preserve"> wartości wskaźników</w:t>
      </w:r>
      <w:r w:rsidR="00707554" w:rsidRPr="00515FE4">
        <w:rPr>
          <w:rFonts w:ascii="Times New Roman" w:hAnsi="Times New Roman" w:cs="Times New Roman"/>
          <w:sz w:val="24"/>
          <w:szCs w:val="24"/>
        </w:rPr>
        <w:t>: szacowana ilość żywności pochodzącej z darowizn planowanej do przekazania odbiorcom końcowym i liczba odbiorców końcowych planowanych do objęcia pomocą żywnościową pochodzącą z</w:t>
      </w:r>
      <w:r w:rsidR="00515FE4">
        <w:rPr>
          <w:rFonts w:ascii="Times New Roman" w:hAnsi="Times New Roman" w:cs="Times New Roman"/>
          <w:sz w:val="24"/>
          <w:szCs w:val="24"/>
        </w:rPr>
        <w:t> </w:t>
      </w:r>
      <w:r w:rsidR="00707554" w:rsidRPr="00515FE4">
        <w:rPr>
          <w:rFonts w:ascii="Times New Roman" w:hAnsi="Times New Roman" w:cs="Times New Roman"/>
          <w:sz w:val="24"/>
          <w:szCs w:val="24"/>
        </w:rPr>
        <w:t>darowizn,</w:t>
      </w:r>
    </w:p>
    <w:p w14:paraId="5B6B474A" w14:textId="77777777" w:rsidR="00961F47" w:rsidRPr="00515FE4" w:rsidRDefault="00C640FD" w:rsidP="00515FE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FE4">
        <w:rPr>
          <w:rFonts w:ascii="Times New Roman" w:hAnsi="Times New Roman" w:cs="Times New Roman"/>
          <w:sz w:val="24"/>
          <w:szCs w:val="24"/>
        </w:rPr>
        <w:t>rodzaje artykułów spożywczych pochodzących z darowizn, których dystrybucja może być finansowana z Programu</w:t>
      </w:r>
      <w:r w:rsidR="00961F47" w:rsidRPr="00515FE4">
        <w:rPr>
          <w:rFonts w:ascii="Times New Roman" w:hAnsi="Times New Roman" w:cs="Times New Roman"/>
          <w:sz w:val="24"/>
          <w:szCs w:val="24"/>
        </w:rPr>
        <w:t>,</w:t>
      </w:r>
    </w:p>
    <w:p w14:paraId="3D9ACE28" w14:textId="77777777" w:rsidR="003405E9" w:rsidRPr="00515FE4" w:rsidRDefault="00515FE4" w:rsidP="00515FE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FE4">
        <w:rPr>
          <w:rFonts w:ascii="Times New Roman" w:hAnsi="Times New Roman" w:cs="Times New Roman"/>
          <w:sz w:val="24"/>
          <w:szCs w:val="24"/>
        </w:rPr>
        <w:t>minimalne</w:t>
      </w:r>
      <w:r w:rsidR="00C640FD" w:rsidRPr="00515FE4">
        <w:rPr>
          <w:rFonts w:ascii="Times New Roman" w:hAnsi="Times New Roman" w:cs="Times New Roman"/>
          <w:sz w:val="24"/>
          <w:szCs w:val="24"/>
        </w:rPr>
        <w:t xml:space="preserve"> standardy</w:t>
      </w:r>
      <w:r w:rsidR="00961F47" w:rsidRPr="00515FE4">
        <w:rPr>
          <w:rFonts w:ascii="Times New Roman" w:hAnsi="Times New Roman" w:cs="Times New Roman"/>
          <w:sz w:val="24"/>
          <w:szCs w:val="24"/>
        </w:rPr>
        <w:t xml:space="preserve"> dla OPO, OPR i OPL dotyczące </w:t>
      </w:r>
      <w:r w:rsidR="00C640FD" w:rsidRPr="00515FE4">
        <w:rPr>
          <w:rFonts w:ascii="Times New Roman" w:hAnsi="Times New Roman" w:cs="Times New Roman"/>
          <w:sz w:val="24"/>
          <w:szCs w:val="24"/>
        </w:rPr>
        <w:t>dystrybucji</w:t>
      </w:r>
      <w:r w:rsidR="00961F47" w:rsidRPr="00515FE4">
        <w:rPr>
          <w:rFonts w:ascii="Times New Roman" w:hAnsi="Times New Roman" w:cs="Times New Roman"/>
          <w:sz w:val="24"/>
          <w:szCs w:val="24"/>
        </w:rPr>
        <w:t xml:space="preserve"> </w:t>
      </w:r>
      <w:r w:rsidR="00C640FD" w:rsidRPr="00515FE4">
        <w:rPr>
          <w:rFonts w:ascii="Times New Roman" w:hAnsi="Times New Roman" w:cs="Times New Roman"/>
          <w:sz w:val="24"/>
          <w:szCs w:val="24"/>
        </w:rPr>
        <w:t>artykułów</w:t>
      </w:r>
      <w:r w:rsidR="00961F47" w:rsidRPr="00515FE4">
        <w:rPr>
          <w:rFonts w:ascii="Times New Roman" w:hAnsi="Times New Roman" w:cs="Times New Roman"/>
          <w:sz w:val="24"/>
          <w:szCs w:val="24"/>
        </w:rPr>
        <w:t xml:space="preserve"> spożywczych pochodzących z darowizn</w:t>
      </w:r>
      <w:r w:rsidR="003305D0" w:rsidRPr="00515FE4">
        <w:rPr>
          <w:rFonts w:ascii="Times New Roman" w:hAnsi="Times New Roman" w:cs="Times New Roman"/>
          <w:sz w:val="24"/>
          <w:szCs w:val="24"/>
        </w:rPr>
        <w:t>.</w:t>
      </w:r>
    </w:p>
    <w:p w14:paraId="76E39A10" w14:textId="77777777" w:rsidR="00784AB5" w:rsidRPr="00A31E3D" w:rsidRDefault="00784AB5" w:rsidP="00A31E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9A473C" w14:textId="77777777" w:rsidR="00784AB5" w:rsidRPr="00A31E3D" w:rsidRDefault="0046601C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Ze środków przeznaczonych na tę operację organizacje partnerskie mogą finansować również koszty </w:t>
      </w:r>
      <w:r w:rsidR="00BC2242" w:rsidRPr="00A31E3D">
        <w:rPr>
          <w:rFonts w:ascii="Times New Roman" w:hAnsi="Times New Roman" w:cs="Times New Roman"/>
          <w:sz w:val="24"/>
          <w:szCs w:val="24"/>
        </w:rPr>
        <w:t xml:space="preserve">prowadzenia </w:t>
      </w:r>
      <w:r w:rsidRPr="00A31E3D">
        <w:rPr>
          <w:rFonts w:ascii="Times New Roman" w:hAnsi="Times New Roman" w:cs="Times New Roman"/>
          <w:sz w:val="24"/>
          <w:szCs w:val="24"/>
        </w:rPr>
        <w:t>działań podnoszących świadomość społeczną</w:t>
      </w:r>
      <w:r w:rsidR="00BC2242" w:rsidRPr="00A31E3D">
        <w:rPr>
          <w:rFonts w:ascii="Times New Roman" w:hAnsi="Times New Roman" w:cs="Times New Roman"/>
          <w:sz w:val="24"/>
          <w:szCs w:val="24"/>
        </w:rPr>
        <w:t>, bezpośrednio związanych z pozyskiwaniem żywności z darowizn</w:t>
      </w:r>
      <w:r w:rsidR="008E68E6" w:rsidRPr="00A31E3D">
        <w:rPr>
          <w:rFonts w:ascii="Times New Roman" w:hAnsi="Times New Roman" w:cs="Times New Roman"/>
          <w:sz w:val="24"/>
          <w:szCs w:val="24"/>
        </w:rPr>
        <w:t xml:space="preserve">. Rodzaje takich działań określa IZ w </w:t>
      </w:r>
      <w:r w:rsidR="004A13A7">
        <w:rPr>
          <w:rFonts w:ascii="Times New Roman" w:hAnsi="Times New Roman" w:cs="Times New Roman"/>
          <w:sz w:val="24"/>
          <w:szCs w:val="24"/>
        </w:rPr>
        <w:t>w</w:t>
      </w:r>
      <w:r w:rsidR="00753320">
        <w:rPr>
          <w:rFonts w:ascii="Times New Roman" w:hAnsi="Times New Roman" w:cs="Times New Roman"/>
          <w:sz w:val="24"/>
          <w:szCs w:val="24"/>
        </w:rPr>
        <w:t>ytycz</w:t>
      </w:r>
      <w:r w:rsidR="008E68E6" w:rsidRPr="00A31E3D">
        <w:rPr>
          <w:rFonts w:ascii="Times New Roman" w:hAnsi="Times New Roman" w:cs="Times New Roman"/>
          <w:sz w:val="24"/>
          <w:szCs w:val="24"/>
        </w:rPr>
        <w:t>nych na dany Podprogram.</w:t>
      </w:r>
    </w:p>
    <w:p w14:paraId="7DAB802A" w14:textId="3BE70844" w:rsidR="00272109" w:rsidRDefault="004A6EFB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OPO</w:t>
      </w:r>
      <w:r w:rsidR="00100EF3">
        <w:rPr>
          <w:rFonts w:ascii="Times New Roman" w:hAnsi="Times New Roman" w:cs="Times New Roman"/>
          <w:sz w:val="24"/>
          <w:szCs w:val="24"/>
        </w:rPr>
        <w:t xml:space="preserve"> za pośrednictwem OPR</w:t>
      </w:r>
      <w:r w:rsidRPr="00A31E3D">
        <w:rPr>
          <w:rFonts w:ascii="Times New Roman" w:hAnsi="Times New Roman" w:cs="Times New Roman"/>
          <w:sz w:val="24"/>
          <w:szCs w:val="24"/>
        </w:rPr>
        <w:t xml:space="preserve"> jest zobowiązana do przekazania od 0,5% do </w:t>
      </w:r>
      <w:r w:rsidR="003C2C39">
        <w:rPr>
          <w:rFonts w:ascii="Times New Roman" w:hAnsi="Times New Roman" w:cs="Times New Roman"/>
          <w:sz w:val="24"/>
          <w:szCs w:val="24"/>
        </w:rPr>
        <w:t>1,5</w:t>
      </w:r>
      <w:r w:rsidRPr="00A31E3D">
        <w:rPr>
          <w:rFonts w:ascii="Times New Roman" w:hAnsi="Times New Roman" w:cs="Times New Roman"/>
          <w:sz w:val="24"/>
          <w:szCs w:val="24"/>
        </w:rPr>
        <w:t xml:space="preserve">% </w:t>
      </w:r>
      <w:r w:rsidR="003E3C69">
        <w:rPr>
          <w:rFonts w:ascii="Times New Roman" w:hAnsi="Times New Roman" w:cs="Times New Roman"/>
          <w:sz w:val="24"/>
          <w:szCs w:val="24"/>
        </w:rPr>
        <w:t xml:space="preserve">wartości żywności </w:t>
      </w:r>
      <w:r w:rsidRPr="00A31E3D">
        <w:rPr>
          <w:rFonts w:ascii="Times New Roman" w:hAnsi="Times New Roman" w:cs="Times New Roman"/>
          <w:sz w:val="24"/>
          <w:szCs w:val="24"/>
        </w:rPr>
        <w:t>w</w:t>
      </w:r>
      <w:r w:rsidR="00144B09">
        <w:rPr>
          <w:rFonts w:ascii="Times New Roman" w:hAnsi="Times New Roman" w:cs="Times New Roman"/>
          <w:sz w:val="24"/>
          <w:szCs w:val="24"/>
        </w:rPr>
        <w:t> </w:t>
      </w:r>
      <w:r w:rsidRPr="00A31E3D">
        <w:rPr>
          <w:rFonts w:ascii="Times New Roman" w:hAnsi="Times New Roman" w:cs="Times New Roman"/>
          <w:sz w:val="24"/>
          <w:szCs w:val="24"/>
        </w:rPr>
        <w:t xml:space="preserve">ramach tej operacji do OPL, która wydaje żywność bezpośrednio odbiorcom końcowym. </w:t>
      </w:r>
    </w:p>
    <w:p w14:paraId="3760D461" w14:textId="77777777" w:rsidR="004A6EFB" w:rsidRPr="00A31E3D" w:rsidRDefault="005B6AF2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Zasady przekazywania ryczałtowych środków finansowych w obrębie sieci dystrybucji danej OPO oraz zasady prowadzenia kontroli w tym zakresie, określa IZ w </w:t>
      </w:r>
      <w:r w:rsidR="001E1BE7">
        <w:rPr>
          <w:rFonts w:ascii="Times New Roman" w:hAnsi="Times New Roman" w:cs="Times New Roman"/>
          <w:sz w:val="24"/>
          <w:szCs w:val="24"/>
        </w:rPr>
        <w:t>W</w:t>
      </w:r>
      <w:r w:rsidR="001E1BE7" w:rsidRPr="001E1BE7">
        <w:rPr>
          <w:rFonts w:ascii="Times New Roman" w:hAnsi="Times New Roman" w:cs="Times New Roman"/>
          <w:sz w:val="24"/>
          <w:szCs w:val="24"/>
        </w:rPr>
        <w:t>ytycznych</w:t>
      </w:r>
      <w:r w:rsidR="001E1BE7">
        <w:rPr>
          <w:rFonts w:ascii="Times New Roman" w:hAnsi="Times New Roman" w:cs="Times New Roman"/>
          <w:sz w:val="24"/>
          <w:szCs w:val="24"/>
        </w:rPr>
        <w:t>.</w:t>
      </w:r>
    </w:p>
    <w:p w14:paraId="18C0504D" w14:textId="77777777" w:rsidR="007256E9" w:rsidRPr="00A31E3D" w:rsidRDefault="007256E9" w:rsidP="00A31E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D56341" w14:textId="77777777" w:rsidR="009C6307" w:rsidRPr="00515FE4" w:rsidRDefault="009C6307" w:rsidP="00515FE4">
      <w:pPr>
        <w:pStyle w:val="Podtytu"/>
        <w:rPr>
          <w:rFonts w:ascii="Times New Roman" w:hAnsi="Times New Roman" w:cs="Times New Roman"/>
          <w:b/>
          <w:bCs/>
        </w:rPr>
      </w:pPr>
      <w:r w:rsidRPr="00515FE4">
        <w:rPr>
          <w:rFonts w:ascii="Times New Roman" w:hAnsi="Times New Roman" w:cs="Times New Roman"/>
          <w:b/>
          <w:bCs/>
        </w:rPr>
        <w:t>6.</w:t>
      </w:r>
      <w:r w:rsidR="00D03333">
        <w:rPr>
          <w:rFonts w:ascii="Times New Roman" w:hAnsi="Times New Roman" w:cs="Times New Roman"/>
          <w:b/>
          <w:bCs/>
        </w:rPr>
        <w:t>4</w:t>
      </w:r>
      <w:r w:rsidRPr="00515FE4">
        <w:rPr>
          <w:rFonts w:ascii="Times New Roman" w:hAnsi="Times New Roman" w:cs="Times New Roman"/>
          <w:b/>
          <w:bCs/>
        </w:rPr>
        <w:t>. Pomoc techniczna</w:t>
      </w:r>
    </w:p>
    <w:p w14:paraId="294D80D1" w14:textId="77777777" w:rsidR="006C2216" w:rsidRPr="00A31E3D" w:rsidRDefault="00C53B65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Środki finansowe z pomocy technicznej mogą być przeznaczone na działania</w:t>
      </w:r>
      <w:r w:rsidR="00001735" w:rsidRPr="00A31E3D">
        <w:rPr>
          <w:rFonts w:ascii="Times New Roman" w:hAnsi="Times New Roman" w:cs="Times New Roman"/>
          <w:sz w:val="24"/>
          <w:szCs w:val="24"/>
        </w:rPr>
        <w:t xml:space="preserve"> </w:t>
      </w:r>
      <w:r w:rsidRPr="00A31E3D">
        <w:rPr>
          <w:rFonts w:ascii="Times New Roman" w:hAnsi="Times New Roman" w:cs="Times New Roman"/>
          <w:sz w:val="24"/>
          <w:szCs w:val="24"/>
        </w:rPr>
        <w:t xml:space="preserve">niezbędne do skutecznego zarządzania </w:t>
      </w:r>
      <w:r w:rsidR="00001735" w:rsidRPr="00A31E3D">
        <w:rPr>
          <w:rFonts w:ascii="Times New Roman" w:hAnsi="Times New Roman" w:cs="Times New Roman"/>
          <w:sz w:val="24"/>
          <w:szCs w:val="24"/>
        </w:rPr>
        <w:t>Programem</w:t>
      </w:r>
      <w:r w:rsidRPr="00A31E3D">
        <w:rPr>
          <w:rFonts w:ascii="Times New Roman" w:hAnsi="Times New Roman" w:cs="Times New Roman"/>
          <w:sz w:val="24"/>
          <w:szCs w:val="24"/>
        </w:rPr>
        <w:t xml:space="preserve"> i </w:t>
      </w:r>
      <w:r w:rsidR="00001735" w:rsidRPr="00A31E3D">
        <w:rPr>
          <w:rFonts w:ascii="Times New Roman" w:hAnsi="Times New Roman" w:cs="Times New Roman"/>
          <w:sz w:val="24"/>
          <w:szCs w:val="24"/>
        </w:rPr>
        <w:t>jego</w:t>
      </w:r>
      <w:r w:rsidR="00764D0B" w:rsidRPr="00A31E3D">
        <w:rPr>
          <w:rFonts w:ascii="Times New Roman" w:hAnsi="Times New Roman" w:cs="Times New Roman"/>
          <w:sz w:val="24"/>
          <w:szCs w:val="24"/>
        </w:rPr>
        <w:t xml:space="preserve"> </w:t>
      </w:r>
      <w:r w:rsidR="00001735" w:rsidRPr="00A31E3D">
        <w:rPr>
          <w:rFonts w:ascii="Times New Roman" w:hAnsi="Times New Roman" w:cs="Times New Roman"/>
          <w:sz w:val="24"/>
          <w:szCs w:val="24"/>
        </w:rPr>
        <w:t xml:space="preserve">wdrażania, </w:t>
      </w:r>
      <w:r w:rsidRPr="00A31E3D">
        <w:rPr>
          <w:rFonts w:ascii="Times New Roman" w:hAnsi="Times New Roman" w:cs="Times New Roman"/>
          <w:sz w:val="24"/>
          <w:szCs w:val="24"/>
        </w:rPr>
        <w:t xml:space="preserve">zgodnie z art. 36 ust. 1 </w:t>
      </w:r>
      <w:proofErr w:type="spellStart"/>
      <w:r w:rsidRPr="00A31E3D">
        <w:rPr>
          <w:rFonts w:ascii="Times New Roman" w:hAnsi="Times New Roman" w:cs="Times New Roman"/>
          <w:sz w:val="24"/>
          <w:szCs w:val="24"/>
        </w:rPr>
        <w:t>rozp</w:t>
      </w:r>
      <w:proofErr w:type="spellEnd"/>
      <w:r w:rsidRPr="00A31E3D">
        <w:rPr>
          <w:rFonts w:ascii="Times New Roman" w:hAnsi="Times New Roman" w:cs="Times New Roman"/>
          <w:sz w:val="24"/>
          <w:szCs w:val="24"/>
        </w:rPr>
        <w:t>. ogólnego.</w:t>
      </w:r>
    </w:p>
    <w:p w14:paraId="1D53A15A" w14:textId="77777777" w:rsidR="00C53B65" w:rsidRPr="00A31E3D" w:rsidRDefault="00C53B65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Beneficjentami pomocy technicznej są instytucje </w:t>
      </w:r>
      <w:r w:rsidR="00001735" w:rsidRPr="00A31E3D">
        <w:rPr>
          <w:rFonts w:ascii="Times New Roman" w:hAnsi="Times New Roman" w:cs="Times New Roman"/>
          <w:sz w:val="24"/>
          <w:szCs w:val="24"/>
        </w:rPr>
        <w:t xml:space="preserve">uczestniczące w systemie realizacji </w:t>
      </w:r>
      <w:r w:rsidRPr="00A31E3D">
        <w:rPr>
          <w:rFonts w:ascii="Times New Roman" w:hAnsi="Times New Roman" w:cs="Times New Roman"/>
          <w:sz w:val="24"/>
          <w:szCs w:val="24"/>
        </w:rPr>
        <w:t>Programu wskazane w pkt. 3</w:t>
      </w:r>
      <w:r w:rsidR="006B0C88">
        <w:rPr>
          <w:rFonts w:ascii="Times New Roman" w:hAnsi="Times New Roman" w:cs="Times New Roman"/>
          <w:sz w:val="24"/>
          <w:szCs w:val="24"/>
        </w:rPr>
        <w:t>.1</w:t>
      </w:r>
      <w:r w:rsidR="00442BE0" w:rsidRPr="00A31E3D">
        <w:rPr>
          <w:rFonts w:ascii="Times New Roman" w:hAnsi="Times New Roman" w:cs="Times New Roman"/>
          <w:sz w:val="24"/>
          <w:szCs w:val="24"/>
        </w:rPr>
        <w:t xml:space="preserve"> Programu</w:t>
      </w:r>
      <w:r w:rsidRPr="00A31E3D">
        <w:rPr>
          <w:rFonts w:ascii="Times New Roman" w:hAnsi="Times New Roman" w:cs="Times New Roman"/>
          <w:sz w:val="24"/>
          <w:szCs w:val="24"/>
        </w:rPr>
        <w:t>. Środki pomocy technicznej mogą być przeznaczone</w:t>
      </w:r>
      <w:r w:rsidR="00442BE0" w:rsidRPr="00A31E3D">
        <w:rPr>
          <w:rFonts w:ascii="Times New Roman" w:hAnsi="Times New Roman" w:cs="Times New Roman"/>
          <w:sz w:val="24"/>
          <w:szCs w:val="24"/>
        </w:rPr>
        <w:t xml:space="preserve"> m.in.</w:t>
      </w:r>
      <w:r w:rsidRPr="00A31E3D">
        <w:rPr>
          <w:rFonts w:ascii="Times New Roman" w:hAnsi="Times New Roman" w:cs="Times New Roman"/>
          <w:sz w:val="24"/>
          <w:szCs w:val="24"/>
        </w:rPr>
        <w:t xml:space="preserve"> na:</w:t>
      </w:r>
    </w:p>
    <w:p w14:paraId="2C61C1DA" w14:textId="77777777" w:rsidR="00595DCD" w:rsidRPr="00515FE4" w:rsidRDefault="00595DCD" w:rsidP="00515FE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FE4">
        <w:rPr>
          <w:rFonts w:ascii="Times New Roman" w:hAnsi="Times New Roman" w:cs="Times New Roman"/>
          <w:sz w:val="24"/>
          <w:szCs w:val="24"/>
        </w:rPr>
        <w:t>zatrudnienie i podnoszenie kompetencji pracowników,</w:t>
      </w:r>
    </w:p>
    <w:p w14:paraId="3D569EF6" w14:textId="77777777" w:rsidR="00595DCD" w:rsidRPr="00515FE4" w:rsidRDefault="00595DCD" w:rsidP="00515FE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FE4">
        <w:rPr>
          <w:rFonts w:ascii="Times New Roman" w:hAnsi="Times New Roman" w:cs="Times New Roman"/>
          <w:sz w:val="24"/>
          <w:szCs w:val="24"/>
        </w:rPr>
        <w:t xml:space="preserve">budowę, wdrożenie i utrzymanie systemów informatycznych niezbędnych do obsługi Programu, </w:t>
      </w:r>
    </w:p>
    <w:p w14:paraId="3F1D2A3E" w14:textId="77777777" w:rsidR="00595DCD" w:rsidRPr="00515FE4" w:rsidRDefault="00595DCD" w:rsidP="00515FE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FE4">
        <w:rPr>
          <w:rFonts w:ascii="Times New Roman" w:hAnsi="Times New Roman" w:cs="Times New Roman"/>
          <w:sz w:val="24"/>
          <w:szCs w:val="24"/>
        </w:rPr>
        <w:t>wsparcie eksperckie (m.in. ekspertyzy, analizy, badania, ewaluacje)</w:t>
      </w:r>
      <w:r w:rsidR="001E1BE7">
        <w:rPr>
          <w:rFonts w:ascii="Times New Roman" w:hAnsi="Times New Roman" w:cs="Times New Roman"/>
          <w:sz w:val="24"/>
          <w:szCs w:val="24"/>
        </w:rPr>
        <w:t>,</w:t>
      </w:r>
    </w:p>
    <w:p w14:paraId="5CEA756C" w14:textId="77777777" w:rsidR="00001735" w:rsidRPr="00515FE4" w:rsidRDefault="00595DCD" w:rsidP="00515FE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FE4">
        <w:rPr>
          <w:rFonts w:ascii="Times New Roman" w:hAnsi="Times New Roman" w:cs="Times New Roman"/>
          <w:sz w:val="24"/>
          <w:szCs w:val="24"/>
        </w:rPr>
        <w:t xml:space="preserve">działania z zakresu widoczności i komunikacji (m.in. organizacja spotkań ciał doradczych, </w:t>
      </w:r>
      <w:r w:rsidR="00C81EF3" w:rsidRPr="00515FE4">
        <w:rPr>
          <w:rFonts w:ascii="Times New Roman" w:hAnsi="Times New Roman" w:cs="Times New Roman"/>
          <w:sz w:val="24"/>
          <w:szCs w:val="24"/>
        </w:rPr>
        <w:t xml:space="preserve">działania informacyjno-promocyjne, w tym skierowane do partnerów społecznych i </w:t>
      </w:r>
      <w:r w:rsidR="00794F4C" w:rsidRPr="00515FE4">
        <w:rPr>
          <w:rFonts w:ascii="Times New Roman" w:hAnsi="Times New Roman" w:cs="Times New Roman"/>
          <w:sz w:val="24"/>
          <w:szCs w:val="24"/>
        </w:rPr>
        <w:t xml:space="preserve">organizacji </w:t>
      </w:r>
      <w:r w:rsidR="00C81EF3" w:rsidRPr="00515FE4">
        <w:rPr>
          <w:rFonts w:ascii="Times New Roman" w:hAnsi="Times New Roman" w:cs="Times New Roman"/>
          <w:sz w:val="24"/>
          <w:szCs w:val="24"/>
        </w:rPr>
        <w:t>społeczeństwa obywatelskiego)</w:t>
      </w:r>
      <w:r w:rsidR="003F491A" w:rsidRPr="00515FE4">
        <w:rPr>
          <w:rFonts w:ascii="Times New Roman" w:hAnsi="Times New Roman" w:cs="Times New Roman"/>
          <w:sz w:val="24"/>
          <w:szCs w:val="24"/>
        </w:rPr>
        <w:t>.</w:t>
      </w:r>
    </w:p>
    <w:p w14:paraId="15453037" w14:textId="0BE446BD" w:rsidR="00797249" w:rsidRDefault="003F491A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Koszty kwalifikowalne w ramach pomocy technicznej, zasady ich ponoszenia i rozliczania IZ określ</w:t>
      </w:r>
      <w:r w:rsidR="004A13A7">
        <w:rPr>
          <w:rFonts w:ascii="Times New Roman" w:hAnsi="Times New Roman" w:cs="Times New Roman"/>
          <w:sz w:val="24"/>
          <w:szCs w:val="24"/>
        </w:rPr>
        <w:t>a</w:t>
      </w:r>
      <w:r w:rsidRPr="00A31E3D">
        <w:rPr>
          <w:rFonts w:ascii="Times New Roman" w:hAnsi="Times New Roman" w:cs="Times New Roman"/>
          <w:sz w:val="24"/>
          <w:szCs w:val="24"/>
        </w:rPr>
        <w:t xml:space="preserve"> w odrębnych </w:t>
      </w:r>
      <w:r w:rsidR="004A13A7">
        <w:rPr>
          <w:rFonts w:ascii="Times New Roman" w:hAnsi="Times New Roman" w:cs="Times New Roman"/>
          <w:sz w:val="24"/>
          <w:szCs w:val="24"/>
        </w:rPr>
        <w:t>w</w:t>
      </w:r>
      <w:r w:rsidR="00753320">
        <w:rPr>
          <w:rFonts w:ascii="Times New Roman" w:hAnsi="Times New Roman" w:cs="Times New Roman"/>
          <w:sz w:val="24"/>
          <w:szCs w:val="24"/>
        </w:rPr>
        <w:t>ytycz</w:t>
      </w:r>
      <w:r w:rsidRPr="00A31E3D">
        <w:rPr>
          <w:rFonts w:ascii="Times New Roman" w:hAnsi="Times New Roman" w:cs="Times New Roman"/>
          <w:sz w:val="24"/>
          <w:szCs w:val="24"/>
        </w:rPr>
        <w:t>nych dotyczących pomocy technicznej.</w:t>
      </w:r>
    </w:p>
    <w:p w14:paraId="4F7A8AB0" w14:textId="77777777" w:rsidR="00F41D75" w:rsidRPr="00A31E3D" w:rsidRDefault="00F41D75" w:rsidP="00A31E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4BDC2D" w14:textId="77777777" w:rsidR="009C6307" w:rsidRPr="00640572" w:rsidRDefault="009C6307" w:rsidP="00640572">
      <w:pPr>
        <w:pStyle w:val="Podtytu"/>
        <w:rPr>
          <w:rFonts w:ascii="Times New Roman" w:hAnsi="Times New Roman" w:cs="Times New Roman"/>
          <w:b/>
          <w:bCs/>
        </w:rPr>
      </w:pPr>
      <w:r w:rsidRPr="00640572">
        <w:rPr>
          <w:rFonts w:ascii="Times New Roman" w:hAnsi="Times New Roman" w:cs="Times New Roman"/>
          <w:b/>
          <w:bCs/>
        </w:rPr>
        <w:t>7. Sprawozdawczość i monitoring</w:t>
      </w:r>
    </w:p>
    <w:p w14:paraId="314A64CB" w14:textId="2934EF19" w:rsidR="00070F2C" w:rsidRPr="00A31E3D" w:rsidRDefault="006C2216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Sprawozdawczość w ramach Programu </w:t>
      </w:r>
      <w:r w:rsidR="00640572" w:rsidRPr="00A31E3D">
        <w:rPr>
          <w:rFonts w:ascii="Times New Roman" w:hAnsi="Times New Roman" w:cs="Times New Roman"/>
          <w:sz w:val="24"/>
          <w:szCs w:val="24"/>
        </w:rPr>
        <w:t>obejmuje</w:t>
      </w:r>
      <w:r w:rsidRPr="00A31E3D">
        <w:rPr>
          <w:rFonts w:ascii="Times New Roman" w:hAnsi="Times New Roman" w:cs="Times New Roman"/>
          <w:sz w:val="24"/>
          <w:szCs w:val="24"/>
        </w:rPr>
        <w:t xml:space="preserve"> </w:t>
      </w:r>
      <w:r w:rsidR="00640572" w:rsidRPr="00A31E3D">
        <w:rPr>
          <w:rFonts w:ascii="Times New Roman" w:hAnsi="Times New Roman" w:cs="Times New Roman"/>
          <w:sz w:val="24"/>
          <w:szCs w:val="24"/>
        </w:rPr>
        <w:t>wskaźniki</w:t>
      </w:r>
      <w:r w:rsidRPr="00A31E3D">
        <w:rPr>
          <w:rFonts w:ascii="Times New Roman" w:hAnsi="Times New Roman" w:cs="Times New Roman"/>
          <w:sz w:val="24"/>
          <w:szCs w:val="24"/>
        </w:rPr>
        <w:t xml:space="preserve"> produktu i rezultatu</w:t>
      </w:r>
      <w:r w:rsidR="00CB3C00" w:rsidRPr="00A31E3D">
        <w:rPr>
          <w:rFonts w:ascii="Times New Roman" w:hAnsi="Times New Roman" w:cs="Times New Roman"/>
          <w:sz w:val="24"/>
          <w:szCs w:val="24"/>
        </w:rPr>
        <w:t xml:space="preserve">, dotyczące wsparcia na przeciwdziałanie </w:t>
      </w:r>
      <w:r w:rsidR="00AB7A66" w:rsidRPr="00A31E3D">
        <w:rPr>
          <w:rFonts w:ascii="Times New Roman" w:hAnsi="Times New Roman" w:cs="Times New Roman"/>
          <w:sz w:val="24"/>
          <w:szCs w:val="24"/>
        </w:rPr>
        <w:t xml:space="preserve">deprywacji materialnej, zgodnie z załącznikiem nr 3 do </w:t>
      </w:r>
      <w:proofErr w:type="spellStart"/>
      <w:r w:rsidRPr="00A31E3D">
        <w:rPr>
          <w:rFonts w:ascii="Times New Roman" w:hAnsi="Times New Roman" w:cs="Times New Roman"/>
          <w:sz w:val="24"/>
          <w:szCs w:val="24"/>
        </w:rPr>
        <w:t>Rozp</w:t>
      </w:r>
      <w:proofErr w:type="spellEnd"/>
      <w:r w:rsidRPr="00A31E3D">
        <w:rPr>
          <w:rFonts w:ascii="Times New Roman" w:hAnsi="Times New Roman" w:cs="Times New Roman"/>
          <w:sz w:val="24"/>
          <w:szCs w:val="24"/>
        </w:rPr>
        <w:t>. EFS+</w:t>
      </w:r>
      <w:r w:rsidR="00AB7A66" w:rsidRPr="00A31E3D">
        <w:rPr>
          <w:rFonts w:ascii="Times New Roman" w:hAnsi="Times New Roman" w:cs="Times New Roman"/>
          <w:sz w:val="24"/>
          <w:szCs w:val="24"/>
        </w:rPr>
        <w:t>.</w:t>
      </w:r>
      <w:r w:rsidR="00070F2C" w:rsidRPr="00A31E3D">
        <w:rPr>
          <w:rFonts w:ascii="Times New Roman" w:hAnsi="Times New Roman" w:cs="Times New Roman"/>
          <w:sz w:val="24"/>
          <w:szCs w:val="24"/>
        </w:rPr>
        <w:t xml:space="preserve"> Wskaźniki te stanowią podstawę</w:t>
      </w:r>
      <w:r w:rsidR="0081691F">
        <w:rPr>
          <w:rFonts w:ascii="Times New Roman" w:hAnsi="Times New Roman" w:cs="Times New Roman"/>
          <w:sz w:val="24"/>
          <w:szCs w:val="24"/>
        </w:rPr>
        <w:t xml:space="preserve"> </w:t>
      </w:r>
      <w:r w:rsidR="00070F2C" w:rsidRPr="00A31E3D">
        <w:rPr>
          <w:rFonts w:ascii="Times New Roman" w:hAnsi="Times New Roman" w:cs="Times New Roman"/>
          <w:sz w:val="24"/>
          <w:szCs w:val="24"/>
        </w:rPr>
        <w:t xml:space="preserve">sprawozdawczości do Komisji Europejskiej i są przekazywane przez IZ do KE w formie elektronicznej </w:t>
      </w:r>
      <w:r w:rsidR="00CA709D">
        <w:rPr>
          <w:rFonts w:ascii="Times New Roman" w:hAnsi="Times New Roman" w:cs="Times New Roman"/>
          <w:sz w:val="24"/>
          <w:szCs w:val="24"/>
        </w:rPr>
        <w:t xml:space="preserve">za dany rok </w:t>
      </w:r>
      <w:r w:rsidR="00070F2C" w:rsidRPr="00A31E3D">
        <w:rPr>
          <w:rFonts w:ascii="Times New Roman" w:hAnsi="Times New Roman" w:cs="Times New Roman"/>
          <w:sz w:val="24"/>
          <w:szCs w:val="24"/>
        </w:rPr>
        <w:t>do 31 stycznia</w:t>
      </w:r>
      <w:r w:rsidR="00CA709D">
        <w:rPr>
          <w:rFonts w:ascii="Times New Roman" w:hAnsi="Times New Roman" w:cs="Times New Roman"/>
          <w:sz w:val="24"/>
          <w:szCs w:val="24"/>
        </w:rPr>
        <w:t xml:space="preserve"> następnego roku</w:t>
      </w:r>
      <w:r w:rsidR="00AF0F29" w:rsidRPr="00A31E3D">
        <w:rPr>
          <w:rFonts w:ascii="Times New Roman" w:hAnsi="Times New Roman" w:cs="Times New Roman"/>
          <w:sz w:val="24"/>
          <w:szCs w:val="24"/>
        </w:rPr>
        <w:t>.</w:t>
      </w:r>
      <w:r w:rsidR="00070F2C" w:rsidRPr="00A31E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98D4D" w14:textId="197B26F5" w:rsidR="006C2216" w:rsidRDefault="00070F2C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lastRenderedPageBreak/>
        <w:t xml:space="preserve">Dodatkowo na potrzeby monitorowania i kontroli IZ określa wskaźniki dodatkowe dotyczące poszczególnych operacji. </w:t>
      </w:r>
      <w:r w:rsidR="00AF0F29" w:rsidRPr="00A31E3D">
        <w:rPr>
          <w:rFonts w:ascii="Times New Roman" w:hAnsi="Times New Roman" w:cs="Times New Roman"/>
          <w:sz w:val="24"/>
          <w:szCs w:val="24"/>
        </w:rPr>
        <w:t xml:space="preserve">Wskaźniki te </w:t>
      </w:r>
      <w:r w:rsidR="00640572" w:rsidRPr="00A31E3D">
        <w:rPr>
          <w:rFonts w:ascii="Times New Roman" w:hAnsi="Times New Roman" w:cs="Times New Roman"/>
          <w:sz w:val="24"/>
          <w:szCs w:val="24"/>
        </w:rPr>
        <w:t>podlegają</w:t>
      </w:r>
      <w:r w:rsidR="00AF0F29" w:rsidRPr="00A31E3D">
        <w:rPr>
          <w:rFonts w:ascii="Times New Roman" w:hAnsi="Times New Roman" w:cs="Times New Roman"/>
          <w:sz w:val="24"/>
          <w:szCs w:val="24"/>
        </w:rPr>
        <w:t xml:space="preserve"> sprawozdawczości każdorazowo na zakończenie danego Podprogramu</w:t>
      </w:r>
      <w:r w:rsidR="00361CFB" w:rsidRPr="00A31E3D">
        <w:rPr>
          <w:rFonts w:ascii="Times New Roman" w:hAnsi="Times New Roman" w:cs="Times New Roman"/>
          <w:sz w:val="24"/>
          <w:szCs w:val="24"/>
        </w:rPr>
        <w:t xml:space="preserve"> i są określane przez IZ w </w:t>
      </w:r>
      <w:r w:rsidR="00284A18">
        <w:rPr>
          <w:rFonts w:ascii="Times New Roman" w:hAnsi="Times New Roman" w:cs="Times New Roman"/>
          <w:sz w:val="24"/>
          <w:szCs w:val="24"/>
        </w:rPr>
        <w:t>w</w:t>
      </w:r>
      <w:r w:rsidR="00753320">
        <w:rPr>
          <w:rFonts w:ascii="Times New Roman" w:hAnsi="Times New Roman" w:cs="Times New Roman"/>
          <w:sz w:val="24"/>
          <w:szCs w:val="24"/>
        </w:rPr>
        <w:t>ytycz</w:t>
      </w:r>
      <w:r w:rsidR="00361CFB" w:rsidRPr="00A31E3D">
        <w:rPr>
          <w:rFonts w:ascii="Times New Roman" w:hAnsi="Times New Roman" w:cs="Times New Roman"/>
          <w:sz w:val="24"/>
          <w:szCs w:val="24"/>
        </w:rPr>
        <w:t>nych.</w:t>
      </w:r>
      <w:r w:rsidR="00765120" w:rsidRPr="00A31E3D">
        <w:rPr>
          <w:rFonts w:ascii="Times New Roman" w:hAnsi="Times New Roman" w:cs="Times New Roman"/>
          <w:sz w:val="24"/>
          <w:szCs w:val="24"/>
        </w:rPr>
        <w:t xml:space="preserve"> Szczegółowe zasady sprawozdawczości wraz z zakresem i terminami przekazywania danych określa IZ w </w:t>
      </w:r>
      <w:r w:rsidR="00753320">
        <w:rPr>
          <w:rFonts w:ascii="Times New Roman" w:hAnsi="Times New Roman" w:cs="Times New Roman"/>
          <w:sz w:val="24"/>
          <w:szCs w:val="24"/>
        </w:rPr>
        <w:t>Wytycz</w:t>
      </w:r>
      <w:r w:rsidR="00765120" w:rsidRPr="00A31E3D">
        <w:rPr>
          <w:rFonts w:ascii="Times New Roman" w:hAnsi="Times New Roman" w:cs="Times New Roman"/>
          <w:sz w:val="24"/>
          <w:szCs w:val="24"/>
        </w:rPr>
        <w:t>nych.</w:t>
      </w:r>
    </w:p>
    <w:p w14:paraId="24924931" w14:textId="0E6C055B" w:rsidR="00AD7186" w:rsidRPr="00A31E3D" w:rsidRDefault="00AD7186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wskaźników produktu i rezultatu nie ustanawia się wartości bazowych i docelowych</w:t>
      </w:r>
      <w:r w:rsidR="001D55B3">
        <w:rPr>
          <w:rFonts w:ascii="Times New Roman" w:hAnsi="Times New Roman" w:cs="Times New Roman"/>
          <w:sz w:val="24"/>
          <w:szCs w:val="24"/>
        </w:rPr>
        <w:t xml:space="preserve">. Wartości wskaźników za dany podprogram stanowią wskaźniki odniesienia </w:t>
      </w:r>
      <w:r w:rsidR="005D7766">
        <w:rPr>
          <w:rFonts w:ascii="Times New Roman" w:hAnsi="Times New Roman" w:cs="Times New Roman"/>
          <w:sz w:val="24"/>
          <w:szCs w:val="24"/>
        </w:rPr>
        <w:t xml:space="preserve">w </w:t>
      </w:r>
      <w:r w:rsidR="001D55B3">
        <w:rPr>
          <w:rFonts w:ascii="Times New Roman" w:hAnsi="Times New Roman" w:cs="Times New Roman"/>
          <w:sz w:val="24"/>
          <w:szCs w:val="24"/>
        </w:rPr>
        <w:t xml:space="preserve">kolejnym podprogramie. </w:t>
      </w:r>
    </w:p>
    <w:p w14:paraId="1F7E7660" w14:textId="77777777" w:rsidR="0095320C" w:rsidRPr="00A31E3D" w:rsidRDefault="0095320C" w:rsidP="00A31E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900B94" w14:textId="77777777" w:rsidR="0095320C" w:rsidRPr="00640572" w:rsidRDefault="0095320C" w:rsidP="00640572">
      <w:pPr>
        <w:pStyle w:val="Podtytu"/>
        <w:rPr>
          <w:rFonts w:ascii="Times New Roman" w:hAnsi="Times New Roman" w:cs="Times New Roman"/>
          <w:b/>
          <w:bCs/>
        </w:rPr>
      </w:pPr>
      <w:r w:rsidRPr="00640572">
        <w:rPr>
          <w:rFonts w:ascii="Times New Roman" w:hAnsi="Times New Roman" w:cs="Times New Roman"/>
          <w:b/>
          <w:bCs/>
        </w:rPr>
        <w:t>8. Ewaluacja</w:t>
      </w:r>
    </w:p>
    <w:p w14:paraId="1E190A47" w14:textId="77777777" w:rsidR="009200E0" w:rsidRPr="00A31E3D" w:rsidRDefault="00B764D9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Na podstawie art. 23 ust. 3 </w:t>
      </w:r>
      <w:proofErr w:type="spellStart"/>
      <w:r w:rsidRPr="00A31E3D">
        <w:rPr>
          <w:rFonts w:ascii="Times New Roman" w:hAnsi="Times New Roman" w:cs="Times New Roman"/>
          <w:sz w:val="24"/>
          <w:szCs w:val="24"/>
        </w:rPr>
        <w:t>rozp</w:t>
      </w:r>
      <w:proofErr w:type="spellEnd"/>
      <w:r w:rsidRPr="00A31E3D">
        <w:rPr>
          <w:rFonts w:ascii="Times New Roman" w:hAnsi="Times New Roman" w:cs="Times New Roman"/>
          <w:sz w:val="24"/>
          <w:szCs w:val="24"/>
        </w:rPr>
        <w:t xml:space="preserve">. EFS+, </w:t>
      </w:r>
      <w:r w:rsidR="009200E0" w:rsidRPr="00A31E3D">
        <w:rPr>
          <w:rFonts w:ascii="Times New Roman" w:hAnsi="Times New Roman" w:cs="Times New Roman"/>
          <w:sz w:val="24"/>
          <w:szCs w:val="24"/>
        </w:rPr>
        <w:t xml:space="preserve">IZ przeprowadza dwukrotnie ustrukturyzowane badanie odbiorców końcowych </w:t>
      </w:r>
      <w:r w:rsidR="00180366">
        <w:rPr>
          <w:rFonts w:ascii="Times New Roman" w:hAnsi="Times New Roman" w:cs="Times New Roman"/>
          <w:sz w:val="24"/>
          <w:szCs w:val="24"/>
        </w:rPr>
        <w:t xml:space="preserve">w celu oceny </w:t>
      </w:r>
      <w:r w:rsidR="009200E0" w:rsidRPr="00A31E3D">
        <w:rPr>
          <w:rFonts w:ascii="Times New Roman" w:hAnsi="Times New Roman" w:cs="Times New Roman"/>
          <w:sz w:val="24"/>
          <w:szCs w:val="24"/>
        </w:rPr>
        <w:t>wsparcia otrzymanego</w:t>
      </w:r>
      <w:r w:rsidR="00180366">
        <w:rPr>
          <w:rFonts w:ascii="Times New Roman" w:hAnsi="Times New Roman" w:cs="Times New Roman"/>
          <w:sz w:val="24"/>
          <w:szCs w:val="24"/>
        </w:rPr>
        <w:t xml:space="preserve"> przez te osoby</w:t>
      </w:r>
      <w:r w:rsidR="009200E0" w:rsidRPr="00A31E3D">
        <w:rPr>
          <w:rFonts w:ascii="Times New Roman" w:hAnsi="Times New Roman" w:cs="Times New Roman"/>
          <w:sz w:val="24"/>
          <w:szCs w:val="24"/>
        </w:rPr>
        <w:t xml:space="preserve"> z E</w:t>
      </w:r>
      <w:r w:rsidR="00180366">
        <w:rPr>
          <w:rFonts w:ascii="Times New Roman" w:hAnsi="Times New Roman" w:cs="Times New Roman"/>
          <w:sz w:val="24"/>
          <w:szCs w:val="24"/>
        </w:rPr>
        <w:t>FS</w:t>
      </w:r>
      <w:r w:rsidR="009200E0" w:rsidRPr="00A31E3D">
        <w:rPr>
          <w:rFonts w:ascii="Times New Roman" w:hAnsi="Times New Roman" w:cs="Times New Roman"/>
          <w:sz w:val="24"/>
          <w:szCs w:val="24"/>
        </w:rPr>
        <w:t>+, ich warunków życia oraz deprywacji materialnej, jakiej podlegają</w:t>
      </w:r>
      <w:r w:rsidR="009200E0" w:rsidRPr="00640572">
        <w:rPr>
          <w:rFonts w:ascii="Times New Roman" w:hAnsi="Times New Roman" w:cs="Times New Roman"/>
          <w:sz w:val="24"/>
          <w:szCs w:val="24"/>
          <w:vertAlign w:val="superscript"/>
        </w:rPr>
        <w:footnoteReference w:id="17"/>
      </w:r>
      <w:r w:rsidR="009200E0" w:rsidRPr="00A31E3D">
        <w:rPr>
          <w:rFonts w:ascii="Times New Roman" w:hAnsi="Times New Roman" w:cs="Times New Roman"/>
          <w:sz w:val="24"/>
          <w:szCs w:val="24"/>
        </w:rPr>
        <w:t>. IZ przekazuje do KE sprawozdania dotyczące wyników badania: do dnia 30 czerwca 2025 r. (według danych na koniec 2024 r.) oraz do 30</w:t>
      </w:r>
      <w:r w:rsidRPr="00A31E3D">
        <w:rPr>
          <w:rFonts w:ascii="Times New Roman" w:hAnsi="Times New Roman" w:cs="Times New Roman"/>
          <w:sz w:val="24"/>
          <w:szCs w:val="24"/>
        </w:rPr>
        <w:t> </w:t>
      </w:r>
      <w:r w:rsidR="009200E0" w:rsidRPr="00A31E3D">
        <w:rPr>
          <w:rFonts w:ascii="Times New Roman" w:hAnsi="Times New Roman" w:cs="Times New Roman"/>
          <w:sz w:val="24"/>
          <w:szCs w:val="24"/>
        </w:rPr>
        <w:t>czerwca 2028 r. (według danych na koniec 2027 r.)</w:t>
      </w:r>
      <w:r w:rsidR="00BF2C98" w:rsidRPr="00A31E3D">
        <w:rPr>
          <w:rFonts w:ascii="Times New Roman" w:hAnsi="Times New Roman" w:cs="Times New Roman"/>
          <w:sz w:val="24"/>
          <w:szCs w:val="24"/>
        </w:rPr>
        <w:t>.</w:t>
      </w:r>
    </w:p>
    <w:p w14:paraId="41AC13A5" w14:textId="77777777" w:rsidR="00BF2C98" w:rsidRPr="00A31E3D" w:rsidRDefault="00BF2C98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Dodatkowo IZ może przeprowadzać inne badania w ramach ewaluacji w zależności od zidentyfikowanych potrzeb.</w:t>
      </w:r>
    </w:p>
    <w:p w14:paraId="017A7038" w14:textId="77777777" w:rsidR="00AB7A66" w:rsidRPr="00640572" w:rsidRDefault="00AB7A66" w:rsidP="00A31E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FCE90" w14:textId="77777777" w:rsidR="008E68E6" w:rsidRPr="00640572" w:rsidRDefault="0095320C" w:rsidP="00640572">
      <w:pPr>
        <w:pStyle w:val="Podtytu"/>
        <w:rPr>
          <w:rFonts w:ascii="Times New Roman" w:hAnsi="Times New Roman" w:cs="Times New Roman"/>
          <w:b/>
          <w:bCs/>
        </w:rPr>
      </w:pPr>
      <w:r w:rsidRPr="00640572">
        <w:rPr>
          <w:rFonts w:ascii="Times New Roman" w:hAnsi="Times New Roman" w:cs="Times New Roman"/>
          <w:b/>
          <w:bCs/>
        </w:rPr>
        <w:t>9</w:t>
      </w:r>
      <w:r w:rsidR="008E68E6" w:rsidRPr="00640572">
        <w:rPr>
          <w:rFonts w:ascii="Times New Roman" w:hAnsi="Times New Roman" w:cs="Times New Roman"/>
          <w:b/>
          <w:bCs/>
        </w:rPr>
        <w:t>. Partnerstwo</w:t>
      </w:r>
    </w:p>
    <w:p w14:paraId="32144953" w14:textId="77777777" w:rsidR="001719F5" w:rsidRPr="00A31E3D" w:rsidRDefault="00F273C2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Zasada </w:t>
      </w:r>
      <w:r w:rsidR="00640572" w:rsidRPr="00A31E3D">
        <w:rPr>
          <w:rFonts w:ascii="Times New Roman" w:hAnsi="Times New Roman" w:cs="Times New Roman"/>
          <w:sz w:val="24"/>
          <w:szCs w:val="24"/>
        </w:rPr>
        <w:t>partnerstwa</w:t>
      </w:r>
      <w:r w:rsidR="00AB7A66" w:rsidRPr="00A31E3D">
        <w:rPr>
          <w:rFonts w:ascii="Times New Roman" w:hAnsi="Times New Roman" w:cs="Times New Roman"/>
          <w:sz w:val="24"/>
          <w:szCs w:val="24"/>
        </w:rPr>
        <w:t xml:space="preserve"> obejmuje zaangażowanie właściwych partnerów  w  proces przygotowania programu i jego zmian, a także działania  służące  zapewnieniu  uczestnictwa partnerów we wdrażaniu  programu</w:t>
      </w:r>
      <w:r w:rsidR="00AB7A66" w:rsidRPr="00095DD1">
        <w:rPr>
          <w:rFonts w:ascii="Times New Roman" w:hAnsi="Times New Roman" w:cs="Times New Roman"/>
          <w:sz w:val="24"/>
          <w:szCs w:val="24"/>
          <w:vertAlign w:val="superscript"/>
        </w:rPr>
        <w:footnoteReference w:id="18"/>
      </w:r>
      <w:r w:rsidR="00AB7A66" w:rsidRPr="00A31E3D">
        <w:rPr>
          <w:rFonts w:ascii="Times New Roman" w:hAnsi="Times New Roman" w:cs="Times New Roman"/>
          <w:sz w:val="24"/>
          <w:szCs w:val="24"/>
        </w:rPr>
        <w:t>.</w:t>
      </w:r>
    </w:p>
    <w:p w14:paraId="4F4DC061" w14:textId="541C29A0" w:rsidR="00764D0B" w:rsidRPr="00A31E3D" w:rsidRDefault="00764D0B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Partnerzy społeczni uczestniczyli w przygotowaniu projektu Programu w ramach prac powołanej do tego celu Grupy Roboczej</w:t>
      </w:r>
      <w:r w:rsidR="001E1BE7">
        <w:rPr>
          <w:rFonts w:ascii="Times New Roman" w:hAnsi="Times New Roman" w:cs="Times New Roman"/>
          <w:sz w:val="24"/>
          <w:szCs w:val="24"/>
        </w:rPr>
        <w:t>.</w:t>
      </w:r>
      <w:r w:rsidRPr="00095DD1">
        <w:rPr>
          <w:rFonts w:ascii="Times New Roman" w:hAnsi="Times New Roman" w:cs="Times New Roman"/>
          <w:sz w:val="24"/>
          <w:szCs w:val="24"/>
          <w:vertAlign w:val="superscript"/>
        </w:rPr>
        <w:footnoteReference w:id="19"/>
      </w:r>
      <w:r w:rsidRPr="00A31E3D">
        <w:rPr>
          <w:rFonts w:ascii="Times New Roman" w:hAnsi="Times New Roman" w:cs="Times New Roman"/>
          <w:sz w:val="24"/>
          <w:szCs w:val="24"/>
        </w:rPr>
        <w:t xml:space="preserve"> Grupa jako organ pomocniczy </w:t>
      </w:r>
      <w:r w:rsidR="003D7A27">
        <w:rPr>
          <w:rFonts w:ascii="Times New Roman" w:hAnsi="Times New Roman" w:cs="Times New Roman"/>
          <w:sz w:val="24"/>
          <w:szCs w:val="24"/>
        </w:rPr>
        <w:t>m</w:t>
      </w:r>
      <w:r w:rsidRPr="00A31E3D">
        <w:rPr>
          <w:rFonts w:ascii="Times New Roman" w:hAnsi="Times New Roman" w:cs="Times New Roman"/>
          <w:sz w:val="24"/>
          <w:szCs w:val="24"/>
        </w:rPr>
        <w:t>inistra</w:t>
      </w:r>
      <w:r w:rsidR="003D7A27">
        <w:rPr>
          <w:rFonts w:ascii="Times New Roman" w:hAnsi="Times New Roman" w:cs="Times New Roman"/>
          <w:sz w:val="24"/>
          <w:szCs w:val="24"/>
        </w:rPr>
        <w:t xml:space="preserve"> do spraw zabezpieczenia społecznego</w:t>
      </w:r>
      <w:r w:rsidRPr="00A31E3D">
        <w:rPr>
          <w:rFonts w:ascii="Times New Roman" w:hAnsi="Times New Roman" w:cs="Times New Roman"/>
          <w:sz w:val="24"/>
          <w:szCs w:val="24"/>
        </w:rPr>
        <w:t xml:space="preserve"> miała za zadanie opracować projekt Programu, w tym m.in. określając:</w:t>
      </w:r>
    </w:p>
    <w:p w14:paraId="74DA3129" w14:textId="77777777" w:rsidR="00764D0B" w:rsidRPr="00095DD1" w:rsidRDefault="00764D0B" w:rsidP="00095DD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5DD1">
        <w:rPr>
          <w:rFonts w:ascii="Times New Roman" w:hAnsi="Times New Roman" w:cs="Times New Roman"/>
          <w:sz w:val="24"/>
          <w:szCs w:val="24"/>
        </w:rPr>
        <w:t>rodzaje deprywacji materialnej oraz sposób ustalania kryteriów kwalifikowalności osób  najbardziej potrzebujących, które będą adresatami pomocy;</w:t>
      </w:r>
    </w:p>
    <w:p w14:paraId="719CEF9F" w14:textId="77777777" w:rsidR="00764D0B" w:rsidRPr="00095DD1" w:rsidRDefault="00764D0B" w:rsidP="00095DD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5DD1">
        <w:rPr>
          <w:rFonts w:ascii="Times New Roman" w:hAnsi="Times New Roman" w:cs="Times New Roman"/>
          <w:sz w:val="24"/>
          <w:szCs w:val="24"/>
        </w:rPr>
        <w:t>kryteria wyboru operacji i opis mechanizmu selekcji;</w:t>
      </w:r>
    </w:p>
    <w:p w14:paraId="2CA19F2C" w14:textId="77777777" w:rsidR="00764D0B" w:rsidRPr="00095DD1" w:rsidRDefault="00764D0B" w:rsidP="00095DD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5DD1">
        <w:rPr>
          <w:rFonts w:ascii="Times New Roman" w:hAnsi="Times New Roman" w:cs="Times New Roman"/>
          <w:sz w:val="24"/>
          <w:szCs w:val="24"/>
        </w:rPr>
        <w:t>kryteria wyboru organizacji partnerskich;</w:t>
      </w:r>
    </w:p>
    <w:p w14:paraId="4F6430ED" w14:textId="77777777" w:rsidR="00764D0B" w:rsidRPr="00095DD1" w:rsidRDefault="00764D0B" w:rsidP="00095DD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5DD1">
        <w:rPr>
          <w:rFonts w:ascii="Times New Roman" w:hAnsi="Times New Roman" w:cs="Times New Roman"/>
          <w:sz w:val="24"/>
          <w:szCs w:val="24"/>
        </w:rPr>
        <w:t>mechanizm zapewniający komplementarność z innymi programami finansowanymi z</w:t>
      </w:r>
      <w:r w:rsidR="008853D7" w:rsidRPr="00095DD1">
        <w:rPr>
          <w:rFonts w:ascii="Times New Roman" w:hAnsi="Times New Roman" w:cs="Times New Roman"/>
          <w:sz w:val="24"/>
          <w:szCs w:val="24"/>
        </w:rPr>
        <w:t> </w:t>
      </w:r>
      <w:r w:rsidRPr="00095DD1">
        <w:rPr>
          <w:rFonts w:ascii="Times New Roman" w:hAnsi="Times New Roman" w:cs="Times New Roman"/>
          <w:sz w:val="24"/>
          <w:szCs w:val="24"/>
        </w:rPr>
        <w:t>Europejskiego Funduszu Społecznego Plus;</w:t>
      </w:r>
    </w:p>
    <w:p w14:paraId="51B5DB0C" w14:textId="77777777" w:rsidR="00764D0B" w:rsidRPr="00095DD1" w:rsidRDefault="00764D0B" w:rsidP="00095DD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5DD1">
        <w:rPr>
          <w:rFonts w:ascii="Times New Roman" w:hAnsi="Times New Roman" w:cs="Times New Roman"/>
          <w:sz w:val="24"/>
          <w:szCs w:val="24"/>
        </w:rPr>
        <w:t>sposób monitorowania realizacji Programu;</w:t>
      </w:r>
    </w:p>
    <w:p w14:paraId="48A14B3A" w14:textId="77777777" w:rsidR="00764D0B" w:rsidRPr="00095DD1" w:rsidRDefault="00764D0B" w:rsidP="00095DD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5DD1">
        <w:rPr>
          <w:rFonts w:ascii="Times New Roman" w:hAnsi="Times New Roman" w:cs="Times New Roman"/>
          <w:sz w:val="24"/>
          <w:szCs w:val="24"/>
        </w:rPr>
        <w:t>sposób wykorzystania pomocy technicznej;</w:t>
      </w:r>
    </w:p>
    <w:p w14:paraId="6ECFD12D" w14:textId="77777777" w:rsidR="00764D0B" w:rsidRPr="003D7A27" w:rsidRDefault="00764D0B" w:rsidP="00A31E3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5DD1">
        <w:rPr>
          <w:rFonts w:ascii="Times New Roman" w:hAnsi="Times New Roman" w:cs="Times New Roman"/>
          <w:sz w:val="24"/>
          <w:szCs w:val="24"/>
        </w:rPr>
        <w:t>system zarządzania i kontroli Programu.</w:t>
      </w:r>
    </w:p>
    <w:p w14:paraId="359894C6" w14:textId="217C6A50" w:rsidR="00764D0B" w:rsidRPr="00C27A03" w:rsidRDefault="00764D0B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lastRenderedPageBreak/>
        <w:t xml:space="preserve">W skład Grupy Roboczej zostali powołani przedstawiciele organizacji partnerskich szczebla ogólnopolskiego, regionalnego i lokalnego, </w:t>
      </w:r>
      <w:r w:rsidR="002D637E">
        <w:rPr>
          <w:rFonts w:ascii="Times New Roman" w:hAnsi="Times New Roman" w:cs="Times New Roman"/>
          <w:sz w:val="24"/>
          <w:szCs w:val="24"/>
        </w:rPr>
        <w:t>OPS</w:t>
      </w:r>
      <w:r w:rsidRPr="00A31E3D">
        <w:rPr>
          <w:rFonts w:ascii="Times New Roman" w:hAnsi="Times New Roman" w:cs="Times New Roman"/>
          <w:sz w:val="24"/>
          <w:szCs w:val="24"/>
        </w:rPr>
        <w:t xml:space="preserve"> oraz instytucji wdrażających Program Operacyjny Pomoc Żywnościowa 2014-2020, wskazani przez członków dotychczasowego </w:t>
      </w:r>
      <w:r w:rsidR="00095DD1" w:rsidRPr="00A31E3D">
        <w:rPr>
          <w:rFonts w:ascii="Times New Roman" w:hAnsi="Times New Roman" w:cs="Times New Roman"/>
          <w:sz w:val="24"/>
          <w:szCs w:val="24"/>
        </w:rPr>
        <w:t>Zespołu</w:t>
      </w:r>
      <w:r w:rsidRPr="00A31E3D">
        <w:rPr>
          <w:rFonts w:ascii="Times New Roman" w:hAnsi="Times New Roman" w:cs="Times New Roman"/>
          <w:sz w:val="24"/>
          <w:szCs w:val="24"/>
        </w:rPr>
        <w:t xml:space="preserve"> Doradczego ds. Wdrażania PO PŻ</w:t>
      </w:r>
      <w:r w:rsidRPr="00C27A03">
        <w:rPr>
          <w:rFonts w:ascii="Times New Roman" w:hAnsi="Times New Roman" w:cs="Times New Roman"/>
          <w:sz w:val="24"/>
          <w:szCs w:val="24"/>
        </w:rPr>
        <w:t>.</w:t>
      </w:r>
      <w:r w:rsidR="008853D7" w:rsidRPr="00C27A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03949" w14:textId="77777777" w:rsidR="00F90BAE" w:rsidRPr="00A31E3D" w:rsidRDefault="00F90BAE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W ramach </w:t>
      </w:r>
      <w:proofErr w:type="spellStart"/>
      <w:r w:rsidRPr="00A31E3D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="00095DD1">
        <w:rPr>
          <w:rFonts w:ascii="Times New Roman" w:hAnsi="Times New Roman" w:cs="Times New Roman"/>
          <w:sz w:val="24"/>
          <w:szCs w:val="24"/>
        </w:rPr>
        <w:t>-</w:t>
      </w:r>
      <w:r w:rsidRPr="00A31E3D">
        <w:rPr>
          <w:rFonts w:ascii="Times New Roman" w:hAnsi="Times New Roman" w:cs="Times New Roman"/>
          <w:sz w:val="24"/>
          <w:szCs w:val="24"/>
        </w:rPr>
        <w:t xml:space="preserve">konsultacji projektu Programu, 1 lipca 2021 r. odbyło się wysłuchanie publiczne dotyczące koncepcji wdrażania pomocy żywnościowej w ramach EFS+ na lata 2021-2027. </w:t>
      </w:r>
      <w:r w:rsidR="00BE4B8D" w:rsidRPr="00A31E3D">
        <w:rPr>
          <w:rFonts w:ascii="Times New Roman" w:hAnsi="Times New Roman" w:cs="Times New Roman"/>
          <w:sz w:val="24"/>
          <w:szCs w:val="24"/>
        </w:rPr>
        <w:t xml:space="preserve">Wydarzenie zorganizowano w formie spotkania zdalnego, transmitowanego na żywo w Internecie. Uczestniczyli w nim przedstawiciele administracji publicznej, samorządów i organizacji społeczeństwa obywatelskiego, łącznie ok. 130 uczestników. </w:t>
      </w:r>
    </w:p>
    <w:p w14:paraId="6CF278B0" w14:textId="5A348D02" w:rsidR="00001735" w:rsidRPr="00A31E3D" w:rsidRDefault="00D22543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Kluczową rolę we wdrażaniu Programu będzie pełnić Zespół ds. Wdrażania FEPŻ</w:t>
      </w:r>
      <w:r w:rsidR="008F3E1A" w:rsidRPr="00095DD1">
        <w:rPr>
          <w:rFonts w:ascii="Times New Roman" w:hAnsi="Times New Roman" w:cs="Times New Roman"/>
          <w:sz w:val="24"/>
          <w:szCs w:val="24"/>
          <w:vertAlign w:val="superscript"/>
        </w:rPr>
        <w:footnoteReference w:id="20"/>
      </w:r>
      <w:r w:rsidR="00E36425" w:rsidRPr="00A31E3D">
        <w:rPr>
          <w:rFonts w:ascii="Times New Roman" w:hAnsi="Times New Roman" w:cs="Times New Roman"/>
          <w:sz w:val="24"/>
          <w:szCs w:val="24"/>
        </w:rPr>
        <w:t>, jako organ doradczy ministra właściwego do spraw zabezpieczenia społecznego</w:t>
      </w:r>
      <w:r w:rsidRPr="00A31E3D">
        <w:rPr>
          <w:rFonts w:ascii="Times New Roman" w:hAnsi="Times New Roman" w:cs="Times New Roman"/>
          <w:sz w:val="24"/>
          <w:szCs w:val="24"/>
        </w:rPr>
        <w:t>.</w:t>
      </w:r>
      <w:r w:rsidR="00E36425" w:rsidRPr="00A31E3D">
        <w:rPr>
          <w:rFonts w:ascii="Times New Roman" w:hAnsi="Times New Roman" w:cs="Times New Roman"/>
          <w:sz w:val="24"/>
          <w:szCs w:val="24"/>
        </w:rPr>
        <w:t xml:space="preserve"> W skład Zespołu będą wchodzić przedstawiciele </w:t>
      </w:r>
      <w:r w:rsidR="00C57D16">
        <w:rPr>
          <w:rFonts w:ascii="Times New Roman" w:hAnsi="Times New Roman" w:cs="Times New Roman"/>
          <w:sz w:val="24"/>
          <w:szCs w:val="24"/>
        </w:rPr>
        <w:t>ministra właściwego ds. zabezpieczenia społecznego, ministra właściwego ds. finansów, Krajowego Ośrodka Wsparcia Rolnictwa,</w:t>
      </w:r>
      <w:r w:rsidR="0001793F" w:rsidRPr="00A31E3D">
        <w:rPr>
          <w:rFonts w:ascii="Times New Roman" w:hAnsi="Times New Roman" w:cs="Times New Roman"/>
          <w:sz w:val="24"/>
          <w:szCs w:val="24"/>
        </w:rPr>
        <w:t xml:space="preserve"> ministra właściwego ds. rozwoju regionalnego, ministra właściwego ds. rynków rolnych, przedstawiciel</w:t>
      </w:r>
      <w:r w:rsidR="00265B38">
        <w:rPr>
          <w:rFonts w:ascii="Times New Roman" w:hAnsi="Times New Roman" w:cs="Times New Roman"/>
          <w:sz w:val="24"/>
          <w:szCs w:val="24"/>
        </w:rPr>
        <w:t>e</w:t>
      </w:r>
      <w:r w:rsidR="0001793F" w:rsidRPr="00A31E3D">
        <w:rPr>
          <w:rFonts w:ascii="Times New Roman" w:hAnsi="Times New Roman" w:cs="Times New Roman"/>
          <w:sz w:val="24"/>
          <w:szCs w:val="24"/>
        </w:rPr>
        <w:t xml:space="preserve"> OPS, przedstawiciel</w:t>
      </w:r>
      <w:r w:rsidR="00265B38">
        <w:rPr>
          <w:rFonts w:ascii="Times New Roman" w:hAnsi="Times New Roman" w:cs="Times New Roman"/>
          <w:sz w:val="24"/>
          <w:szCs w:val="24"/>
        </w:rPr>
        <w:t>e</w:t>
      </w:r>
      <w:r w:rsidR="0001793F" w:rsidRPr="00A31E3D">
        <w:rPr>
          <w:rFonts w:ascii="Times New Roman" w:hAnsi="Times New Roman" w:cs="Times New Roman"/>
          <w:sz w:val="24"/>
          <w:szCs w:val="24"/>
        </w:rPr>
        <w:t xml:space="preserve"> organizacji partnerskich, w tym OPL.</w:t>
      </w:r>
    </w:p>
    <w:p w14:paraId="2D0CE99B" w14:textId="77777777" w:rsidR="00C15A0A" w:rsidRPr="00A31E3D" w:rsidRDefault="002E5EBB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Spotkania Zespołu będą odbywać się w zależności od potrzeb, nie </w:t>
      </w:r>
      <w:r w:rsidR="00095DD1" w:rsidRPr="00A31E3D">
        <w:rPr>
          <w:rFonts w:ascii="Times New Roman" w:hAnsi="Times New Roman" w:cs="Times New Roman"/>
          <w:sz w:val="24"/>
          <w:szCs w:val="24"/>
        </w:rPr>
        <w:t>rzadziej</w:t>
      </w:r>
      <w:r w:rsidRPr="00A31E3D">
        <w:rPr>
          <w:rFonts w:ascii="Times New Roman" w:hAnsi="Times New Roman" w:cs="Times New Roman"/>
          <w:sz w:val="24"/>
          <w:szCs w:val="24"/>
        </w:rPr>
        <w:t xml:space="preserve"> niż 2 razy w roku, w tym w formie spotkań zdalnych. Zadania Zespołu zostaną określone w akcie powołującym i</w:t>
      </w:r>
      <w:r w:rsidR="008E0F26" w:rsidRPr="00A31E3D">
        <w:rPr>
          <w:rFonts w:ascii="Times New Roman" w:hAnsi="Times New Roman" w:cs="Times New Roman"/>
          <w:sz w:val="24"/>
          <w:szCs w:val="24"/>
        </w:rPr>
        <w:t> </w:t>
      </w:r>
      <w:r w:rsidRPr="00A31E3D">
        <w:rPr>
          <w:rFonts w:ascii="Times New Roman" w:hAnsi="Times New Roman" w:cs="Times New Roman"/>
          <w:sz w:val="24"/>
          <w:szCs w:val="24"/>
        </w:rPr>
        <w:t>będą m.in. obejmować:</w:t>
      </w:r>
    </w:p>
    <w:p w14:paraId="636AA7EA" w14:textId="77777777" w:rsidR="002E5EBB" w:rsidRPr="00095DD1" w:rsidRDefault="002E5EBB" w:rsidP="00095DD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5DD1">
        <w:rPr>
          <w:rFonts w:ascii="Times New Roman" w:hAnsi="Times New Roman" w:cs="Times New Roman"/>
          <w:sz w:val="24"/>
          <w:szCs w:val="24"/>
        </w:rPr>
        <w:t>monitorowanie postępu realizacji Programu,</w:t>
      </w:r>
    </w:p>
    <w:p w14:paraId="0DB8963A" w14:textId="77777777" w:rsidR="002E5EBB" w:rsidRPr="00095DD1" w:rsidRDefault="002E5EBB" w:rsidP="00095DD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5DD1">
        <w:rPr>
          <w:rFonts w:ascii="Times New Roman" w:hAnsi="Times New Roman" w:cs="Times New Roman"/>
          <w:sz w:val="24"/>
          <w:szCs w:val="24"/>
        </w:rPr>
        <w:t>opiniowanie sprawozdań rocznych oraz sprawozdania końcowego z realizacji Programu,</w:t>
      </w:r>
    </w:p>
    <w:p w14:paraId="7D67D6DB" w14:textId="77777777" w:rsidR="00CB5185" w:rsidRPr="00095DD1" w:rsidRDefault="002E5EBB" w:rsidP="00095DD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5DD1">
        <w:rPr>
          <w:rFonts w:ascii="Times New Roman" w:hAnsi="Times New Roman" w:cs="Times New Roman"/>
          <w:sz w:val="24"/>
          <w:szCs w:val="24"/>
        </w:rPr>
        <w:t xml:space="preserve">opiniowanie </w:t>
      </w:r>
      <w:r w:rsidR="00753320">
        <w:rPr>
          <w:rFonts w:ascii="Times New Roman" w:hAnsi="Times New Roman" w:cs="Times New Roman"/>
          <w:sz w:val="24"/>
          <w:szCs w:val="24"/>
        </w:rPr>
        <w:t>wytycz</w:t>
      </w:r>
      <w:r w:rsidRPr="00095DD1">
        <w:rPr>
          <w:rFonts w:ascii="Times New Roman" w:hAnsi="Times New Roman" w:cs="Times New Roman"/>
          <w:sz w:val="24"/>
          <w:szCs w:val="24"/>
        </w:rPr>
        <w:t>nych obowiązujących w Programie, w tym rekomendowanie lub przedkładanie propozycji ich zmian</w:t>
      </w:r>
      <w:r w:rsidR="00CB5185" w:rsidRPr="00095DD1">
        <w:rPr>
          <w:rFonts w:ascii="Times New Roman" w:hAnsi="Times New Roman" w:cs="Times New Roman"/>
          <w:sz w:val="24"/>
          <w:szCs w:val="24"/>
        </w:rPr>
        <w:t>.</w:t>
      </w:r>
    </w:p>
    <w:p w14:paraId="13AA7AB6" w14:textId="02EB4FA3" w:rsidR="00361CFB" w:rsidRPr="00A31E3D" w:rsidRDefault="00361CFB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Raz w roku organizowane </w:t>
      </w:r>
      <w:r w:rsidR="00A45B12">
        <w:rPr>
          <w:rFonts w:ascii="Times New Roman" w:hAnsi="Times New Roman" w:cs="Times New Roman"/>
          <w:sz w:val="24"/>
          <w:szCs w:val="24"/>
        </w:rPr>
        <w:t>będą</w:t>
      </w:r>
      <w:r w:rsidRPr="00A31E3D">
        <w:rPr>
          <w:rFonts w:ascii="Times New Roman" w:hAnsi="Times New Roman" w:cs="Times New Roman"/>
          <w:sz w:val="24"/>
          <w:szCs w:val="24"/>
        </w:rPr>
        <w:t xml:space="preserve"> spotkania</w:t>
      </w:r>
      <w:r w:rsidR="00C27A03">
        <w:rPr>
          <w:rFonts w:ascii="Times New Roman" w:hAnsi="Times New Roman" w:cs="Times New Roman"/>
          <w:sz w:val="24"/>
          <w:szCs w:val="24"/>
        </w:rPr>
        <w:t xml:space="preserve"> </w:t>
      </w:r>
      <w:r w:rsidRPr="00A31E3D">
        <w:rPr>
          <w:rFonts w:ascii="Times New Roman" w:hAnsi="Times New Roman" w:cs="Times New Roman"/>
          <w:sz w:val="24"/>
          <w:szCs w:val="24"/>
        </w:rPr>
        <w:t xml:space="preserve">w sprawie przeglądu </w:t>
      </w:r>
      <w:r w:rsidR="00336C0D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A31E3D">
        <w:rPr>
          <w:rFonts w:ascii="Times New Roman" w:hAnsi="Times New Roman" w:cs="Times New Roman"/>
          <w:sz w:val="24"/>
          <w:szCs w:val="24"/>
        </w:rPr>
        <w:t xml:space="preserve">z udziałem </w:t>
      </w:r>
      <w:r w:rsidR="00A45B12">
        <w:rPr>
          <w:rFonts w:ascii="Times New Roman" w:hAnsi="Times New Roman" w:cs="Times New Roman"/>
          <w:sz w:val="24"/>
          <w:szCs w:val="24"/>
        </w:rPr>
        <w:t xml:space="preserve">przedstawicieli </w:t>
      </w:r>
      <w:r w:rsidRPr="00A31E3D">
        <w:rPr>
          <w:rFonts w:ascii="Times New Roman" w:hAnsi="Times New Roman" w:cs="Times New Roman"/>
          <w:sz w:val="24"/>
          <w:szCs w:val="24"/>
        </w:rPr>
        <w:t xml:space="preserve">Komisji w celu przeanalizowania rezultatów </w:t>
      </w:r>
      <w:r w:rsidR="00336C0D">
        <w:rPr>
          <w:rFonts w:ascii="Times New Roman" w:hAnsi="Times New Roman" w:cs="Times New Roman"/>
          <w:sz w:val="24"/>
          <w:szCs w:val="24"/>
        </w:rPr>
        <w:t xml:space="preserve">jego </w:t>
      </w:r>
      <w:r w:rsidRPr="00A31E3D">
        <w:rPr>
          <w:rFonts w:ascii="Times New Roman" w:hAnsi="Times New Roman" w:cs="Times New Roman"/>
          <w:sz w:val="24"/>
          <w:szCs w:val="24"/>
        </w:rPr>
        <w:t xml:space="preserve">wdrażania </w:t>
      </w:r>
      <w:r w:rsidRPr="00095DD1">
        <w:rPr>
          <w:rFonts w:ascii="Times New Roman" w:hAnsi="Times New Roman" w:cs="Times New Roman"/>
          <w:sz w:val="24"/>
          <w:szCs w:val="24"/>
          <w:vertAlign w:val="superscript"/>
        </w:rPr>
        <w:footnoteReference w:id="21"/>
      </w:r>
      <w:r w:rsidRPr="00A31E3D">
        <w:rPr>
          <w:rFonts w:ascii="Times New Roman" w:hAnsi="Times New Roman" w:cs="Times New Roman"/>
          <w:sz w:val="24"/>
          <w:szCs w:val="24"/>
        </w:rPr>
        <w:t>.</w:t>
      </w:r>
    </w:p>
    <w:p w14:paraId="0E324201" w14:textId="77777777" w:rsidR="002E5EBB" w:rsidRPr="00A31E3D" w:rsidRDefault="002E5EBB" w:rsidP="00A31E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1AE872" w14:textId="77777777" w:rsidR="00001735" w:rsidRPr="00417381" w:rsidRDefault="0095320C" w:rsidP="00417381">
      <w:pPr>
        <w:pStyle w:val="Podtytu"/>
        <w:rPr>
          <w:rFonts w:ascii="Times New Roman" w:hAnsi="Times New Roman" w:cs="Times New Roman"/>
          <w:b/>
          <w:bCs/>
        </w:rPr>
      </w:pPr>
      <w:r w:rsidRPr="00417381">
        <w:rPr>
          <w:rFonts w:ascii="Times New Roman" w:hAnsi="Times New Roman" w:cs="Times New Roman"/>
          <w:b/>
          <w:bCs/>
        </w:rPr>
        <w:t>10</w:t>
      </w:r>
      <w:r w:rsidR="00001735" w:rsidRPr="00417381">
        <w:rPr>
          <w:rFonts w:ascii="Times New Roman" w:hAnsi="Times New Roman" w:cs="Times New Roman"/>
          <w:b/>
          <w:bCs/>
        </w:rPr>
        <w:t>. Komunikacja i widoczność</w:t>
      </w:r>
    </w:p>
    <w:p w14:paraId="58542D36" w14:textId="77777777" w:rsidR="00A67D0F" w:rsidRPr="00A31E3D" w:rsidRDefault="00A67D0F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Obowiązki insty</w:t>
      </w:r>
      <w:r w:rsidR="00023B7F" w:rsidRPr="00A31E3D">
        <w:rPr>
          <w:rFonts w:ascii="Times New Roman" w:hAnsi="Times New Roman" w:cs="Times New Roman"/>
          <w:sz w:val="24"/>
          <w:szCs w:val="24"/>
        </w:rPr>
        <w:t>t</w:t>
      </w:r>
      <w:r w:rsidRPr="00A31E3D">
        <w:rPr>
          <w:rFonts w:ascii="Times New Roman" w:hAnsi="Times New Roman" w:cs="Times New Roman"/>
          <w:sz w:val="24"/>
          <w:szCs w:val="24"/>
        </w:rPr>
        <w:t xml:space="preserve">ucji uczestniczących we wdrażaniu Programu oraz beneficjentów w obszarze widoczności i komunikacji zostały określone w art. 49-50 </w:t>
      </w:r>
      <w:proofErr w:type="spellStart"/>
      <w:r w:rsidRPr="00A31E3D">
        <w:rPr>
          <w:rFonts w:ascii="Times New Roman" w:hAnsi="Times New Roman" w:cs="Times New Roman"/>
          <w:sz w:val="24"/>
          <w:szCs w:val="24"/>
        </w:rPr>
        <w:t>rozp</w:t>
      </w:r>
      <w:proofErr w:type="spellEnd"/>
      <w:r w:rsidRPr="00A31E3D">
        <w:rPr>
          <w:rFonts w:ascii="Times New Roman" w:hAnsi="Times New Roman" w:cs="Times New Roman"/>
          <w:sz w:val="24"/>
          <w:szCs w:val="24"/>
        </w:rPr>
        <w:t>. ogólnego i obejmują</w:t>
      </w:r>
      <w:r w:rsidR="00AA046F" w:rsidRPr="00A31E3D">
        <w:rPr>
          <w:rFonts w:ascii="Times New Roman" w:hAnsi="Times New Roman" w:cs="Times New Roman"/>
          <w:sz w:val="24"/>
          <w:szCs w:val="24"/>
        </w:rPr>
        <w:t xml:space="preserve"> umieszczenie informacji o wsparciu finansowym z funduszy UE m.in. na stronach internetowych, na stronach mediów społecznościowych, we wszystkich dokumentach i materiałach wytworzonych w trakcie realizacji Programu, w tym przeznaczonych d</w:t>
      </w:r>
      <w:r w:rsidR="00547BCD" w:rsidRPr="00A31E3D">
        <w:rPr>
          <w:rFonts w:ascii="Times New Roman" w:hAnsi="Times New Roman" w:cs="Times New Roman"/>
          <w:sz w:val="24"/>
          <w:szCs w:val="24"/>
        </w:rPr>
        <w:t>la</w:t>
      </w:r>
      <w:r w:rsidR="00AA046F" w:rsidRPr="00A31E3D">
        <w:rPr>
          <w:rFonts w:ascii="Times New Roman" w:hAnsi="Times New Roman" w:cs="Times New Roman"/>
          <w:sz w:val="24"/>
          <w:szCs w:val="24"/>
        </w:rPr>
        <w:t xml:space="preserve"> opinii publicznej lub uczestników działań finansowych z Programu.</w:t>
      </w:r>
    </w:p>
    <w:p w14:paraId="30575B9E" w14:textId="0436396F" w:rsidR="00F273C2" w:rsidRPr="00A31E3D" w:rsidRDefault="00114732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Wypełnienie obowiązku informacyjnego obejmuje również</w:t>
      </w:r>
      <w:r w:rsidR="008C2ACC" w:rsidRPr="00A31E3D">
        <w:rPr>
          <w:rFonts w:ascii="Times New Roman" w:hAnsi="Times New Roman" w:cs="Times New Roman"/>
          <w:sz w:val="24"/>
          <w:szCs w:val="24"/>
        </w:rPr>
        <w:t xml:space="preserve"> umieszczenie w miejscu dobrze widocznym</w:t>
      </w:r>
      <w:r w:rsidR="0007196E" w:rsidRPr="00A31E3D">
        <w:rPr>
          <w:rFonts w:ascii="Times New Roman" w:hAnsi="Times New Roman" w:cs="Times New Roman"/>
          <w:sz w:val="24"/>
          <w:szCs w:val="24"/>
        </w:rPr>
        <w:t xml:space="preserve"> </w:t>
      </w:r>
      <w:r w:rsidR="008C2ACC" w:rsidRPr="00A31E3D">
        <w:rPr>
          <w:rFonts w:ascii="Times New Roman" w:hAnsi="Times New Roman" w:cs="Times New Roman"/>
          <w:sz w:val="24"/>
          <w:szCs w:val="24"/>
        </w:rPr>
        <w:t xml:space="preserve">co najmniej jednego plakatu o wymiarze minimum A3, na którym znajdą się informacje o operacji z podkreśleniem faktu otrzymania wsparcia z </w:t>
      </w:r>
      <w:r w:rsidR="002D637E">
        <w:rPr>
          <w:rFonts w:ascii="Times New Roman" w:hAnsi="Times New Roman" w:cs="Times New Roman"/>
          <w:sz w:val="24"/>
          <w:szCs w:val="24"/>
        </w:rPr>
        <w:t>Programu</w:t>
      </w:r>
      <w:r w:rsidR="008C2ACC" w:rsidRPr="00A31E3D">
        <w:rPr>
          <w:rFonts w:ascii="Times New Roman" w:hAnsi="Times New Roman" w:cs="Times New Roman"/>
          <w:sz w:val="24"/>
          <w:szCs w:val="24"/>
        </w:rPr>
        <w:t>.</w:t>
      </w:r>
    </w:p>
    <w:p w14:paraId="22627E90" w14:textId="1096B3EC" w:rsidR="0032482A" w:rsidRDefault="0032482A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Brak wypełnienia przez beneficjentów obowiązków informacyjnych stanowi podstawę zastosowania przez IZ sankcji, z uwzględnieniem zasady proporcjonalności, polegającej na </w:t>
      </w:r>
      <w:r w:rsidRPr="00A31E3D">
        <w:rPr>
          <w:rFonts w:ascii="Times New Roman" w:hAnsi="Times New Roman" w:cs="Times New Roman"/>
          <w:sz w:val="24"/>
          <w:szCs w:val="24"/>
        </w:rPr>
        <w:lastRenderedPageBreak/>
        <w:t xml:space="preserve">anulowaniu do 3% wsparcia z </w:t>
      </w:r>
      <w:r w:rsidR="002D637E">
        <w:rPr>
          <w:rFonts w:ascii="Times New Roman" w:hAnsi="Times New Roman" w:cs="Times New Roman"/>
          <w:sz w:val="24"/>
          <w:szCs w:val="24"/>
        </w:rPr>
        <w:t>Programu</w:t>
      </w:r>
      <w:r w:rsidRPr="00A31E3D">
        <w:rPr>
          <w:rFonts w:ascii="Times New Roman" w:hAnsi="Times New Roman" w:cs="Times New Roman"/>
          <w:sz w:val="24"/>
          <w:szCs w:val="24"/>
        </w:rPr>
        <w:t xml:space="preserve"> na daną operacj</w:t>
      </w:r>
      <w:r w:rsidR="0008613F">
        <w:rPr>
          <w:rFonts w:ascii="Times New Roman" w:hAnsi="Times New Roman" w:cs="Times New Roman"/>
          <w:sz w:val="24"/>
          <w:szCs w:val="24"/>
        </w:rPr>
        <w:t>ę.</w:t>
      </w:r>
      <w:r w:rsidRPr="00272109">
        <w:rPr>
          <w:rFonts w:ascii="Times New Roman" w:hAnsi="Times New Roman" w:cs="Times New Roman"/>
          <w:sz w:val="24"/>
          <w:szCs w:val="24"/>
          <w:vertAlign w:val="superscript"/>
        </w:rPr>
        <w:footnoteReference w:id="22"/>
      </w:r>
      <w:r w:rsidRPr="00A31E3D">
        <w:rPr>
          <w:rFonts w:ascii="Times New Roman" w:hAnsi="Times New Roman" w:cs="Times New Roman"/>
          <w:sz w:val="24"/>
          <w:szCs w:val="24"/>
        </w:rPr>
        <w:t xml:space="preserve"> Obowiązki informacyjne beneficjentów wraz z taryfikatorem dotyczącym </w:t>
      </w:r>
      <w:r w:rsidR="007879C6">
        <w:rPr>
          <w:rFonts w:ascii="Times New Roman" w:hAnsi="Times New Roman" w:cs="Times New Roman"/>
          <w:sz w:val="24"/>
          <w:szCs w:val="24"/>
        </w:rPr>
        <w:t xml:space="preserve">uchybień i </w:t>
      </w:r>
      <w:r w:rsidRPr="00A31E3D">
        <w:rPr>
          <w:rFonts w:ascii="Times New Roman" w:hAnsi="Times New Roman" w:cs="Times New Roman"/>
          <w:sz w:val="24"/>
          <w:szCs w:val="24"/>
        </w:rPr>
        <w:t xml:space="preserve">nieprawidłowości w ich wypełnianiu, IZ określi w odrębnych </w:t>
      </w:r>
      <w:r w:rsidR="00753320">
        <w:rPr>
          <w:rFonts w:ascii="Times New Roman" w:hAnsi="Times New Roman" w:cs="Times New Roman"/>
          <w:sz w:val="24"/>
          <w:szCs w:val="24"/>
        </w:rPr>
        <w:t>wytycz</w:t>
      </w:r>
      <w:r w:rsidRPr="00A31E3D">
        <w:rPr>
          <w:rFonts w:ascii="Times New Roman" w:hAnsi="Times New Roman" w:cs="Times New Roman"/>
          <w:sz w:val="24"/>
          <w:szCs w:val="24"/>
        </w:rPr>
        <w:t>nych w zakresie komunikacji i widoczności.</w:t>
      </w:r>
    </w:p>
    <w:p w14:paraId="379E1CB3" w14:textId="6EC5561D" w:rsidR="009051AC" w:rsidRDefault="00057821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057821">
        <w:rPr>
          <w:rFonts w:ascii="Times New Roman" w:hAnsi="Times New Roman" w:cs="Times New Roman"/>
          <w:sz w:val="24"/>
          <w:szCs w:val="24"/>
        </w:rPr>
        <w:t xml:space="preserve">Szczegółowe obowiązki beneficjentów zostaną uregulowane w umowach o dofinansowanie projektów oraz wytycznych w zakresie komunikacji i widoczności.     </w:t>
      </w:r>
    </w:p>
    <w:p w14:paraId="5D91E80B" w14:textId="77777777" w:rsidR="008E323E" w:rsidRDefault="008E323E" w:rsidP="00A31E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FD652" w14:textId="27575CDA" w:rsidR="009051AC" w:rsidRDefault="009051AC" w:rsidP="00A31E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1AC">
        <w:rPr>
          <w:rFonts w:ascii="Times New Roman" w:hAnsi="Times New Roman" w:cs="Times New Roman"/>
          <w:b/>
          <w:bCs/>
          <w:sz w:val="24"/>
          <w:szCs w:val="24"/>
        </w:rPr>
        <w:t>10.1 Działania informacyjne w celu zapewnienia komplementarności</w:t>
      </w:r>
      <w:r w:rsidR="003625A8">
        <w:rPr>
          <w:rFonts w:ascii="Times New Roman" w:hAnsi="Times New Roman" w:cs="Times New Roman"/>
          <w:b/>
          <w:bCs/>
          <w:sz w:val="24"/>
          <w:szCs w:val="24"/>
        </w:rPr>
        <w:t xml:space="preserve"> z innymi projektami EFS+</w:t>
      </w:r>
    </w:p>
    <w:p w14:paraId="258DD2B8" w14:textId="77777777" w:rsidR="00831C68" w:rsidRDefault="00987F42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zapewnienia łatwego i szerokiego dostępu do informacji na temat realizowanych projektów wszystkim zainteresowanym stronom, w tym zarówno innym beneficjentom EFS+ jak i  potencjalnym odbiorcom wsparcia, </w:t>
      </w:r>
      <w:r w:rsidR="00B57E72">
        <w:rPr>
          <w:rFonts w:ascii="Times New Roman" w:hAnsi="Times New Roman" w:cs="Times New Roman"/>
          <w:sz w:val="24"/>
          <w:szCs w:val="24"/>
        </w:rPr>
        <w:t>OPO jako beneficjenci Programu</w:t>
      </w:r>
      <w:r w:rsidR="008B458E">
        <w:rPr>
          <w:rFonts w:ascii="Times New Roman" w:hAnsi="Times New Roman" w:cs="Times New Roman"/>
          <w:sz w:val="24"/>
          <w:szCs w:val="24"/>
        </w:rPr>
        <w:t>,</w:t>
      </w:r>
      <w:r w:rsidR="00B57E72">
        <w:rPr>
          <w:rFonts w:ascii="Times New Roman" w:hAnsi="Times New Roman" w:cs="Times New Roman"/>
          <w:sz w:val="24"/>
          <w:szCs w:val="24"/>
        </w:rPr>
        <w:t xml:space="preserve"> będą zobowiązane do przekazywania danych teleadresowych punktów wydawania żywności funkcjonujących w danym Podprogramie oraz </w:t>
      </w:r>
      <w:r w:rsidR="008B458E">
        <w:rPr>
          <w:rFonts w:ascii="Times New Roman" w:hAnsi="Times New Roman" w:cs="Times New Roman"/>
          <w:sz w:val="24"/>
          <w:szCs w:val="24"/>
        </w:rPr>
        <w:t xml:space="preserve">danych </w:t>
      </w:r>
      <w:r w:rsidR="00B57E72">
        <w:rPr>
          <w:rFonts w:ascii="Times New Roman" w:hAnsi="Times New Roman" w:cs="Times New Roman"/>
          <w:sz w:val="24"/>
          <w:szCs w:val="24"/>
        </w:rPr>
        <w:t>OPR i OPL prowadzących działania towarzyszące. Dane zasilą bazę projektów</w:t>
      </w:r>
      <w:r w:rsidR="00B92FEE">
        <w:rPr>
          <w:rFonts w:ascii="Times New Roman" w:hAnsi="Times New Roman" w:cs="Times New Roman"/>
          <w:sz w:val="24"/>
          <w:szCs w:val="24"/>
        </w:rPr>
        <w:t xml:space="preserve"> finansowanych z funduszy europejskich</w:t>
      </w:r>
      <w:r w:rsidR="00B57E72">
        <w:rPr>
          <w:rFonts w:ascii="Times New Roman" w:hAnsi="Times New Roman" w:cs="Times New Roman"/>
          <w:sz w:val="24"/>
          <w:szCs w:val="24"/>
        </w:rPr>
        <w:t>, prowadzoną przez Ministerstwo Funduszy i Polityki Regionalnej</w:t>
      </w:r>
      <w:r w:rsidR="00B92F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D9A8E5" w14:textId="77777777" w:rsidR="00BD2702" w:rsidRDefault="00831C68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 wyznaczają swoich koordynatorów ds. komunikacji, odpowiedzialnych m.in. za nadzór nad wypełnianiem obowiązków w obszarze komunikacji i widoczności przez OPR i OPL</w:t>
      </w:r>
      <w:r w:rsidR="00BD2702">
        <w:rPr>
          <w:rFonts w:ascii="Times New Roman" w:hAnsi="Times New Roman" w:cs="Times New Roman"/>
          <w:sz w:val="24"/>
          <w:szCs w:val="24"/>
        </w:rPr>
        <w:t>, w tym nad prowadzonymi przez nie działaniami informacyjnymi</w:t>
      </w:r>
      <w:r w:rsidR="003562CE">
        <w:rPr>
          <w:rFonts w:ascii="Times New Roman" w:hAnsi="Times New Roman" w:cs="Times New Roman"/>
          <w:sz w:val="24"/>
          <w:szCs w:val="24"/>
        </w:rPr>
        <w:t xml:space="preserve"> i zawartością materiałów informacyjnych</w:t>
      </w:r>
      <w:r w:rsidR="00BD2702">
        <w:rPr>
          <w:rFonts w:ascii="Times New Roman" w:hAnsi="Times New Roman" w:cs="Times New Roman"/>
          <w:sz w:val="24"/>
          <w:szCs w:val="24"/>
        </w:rPr>
        <w:t>.</w:t>
      </w:r>
      <w:r w:rsidR="00E42A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1410B" w14:textId="77777777" w:rsidR="003625A8" w:rsidRPr="003625A8" w:rsidRDefault="00B92FEE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obowiązki beneficjentów</w:t>
      </w:r>
      <w:r w:rsidR="00BD27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zostaną uregulowane w umowach o dofinansowanie projektów oraz </w:t>
      </w:r>
      <w:r w:rsidR="003C37E7">
        <w:rPr>
          <w:rFonts w:ascii="Times New Roman" w:hAnsi="Times New Roman" w:cs="Times New Roman"/>
          <w:sz w:val="24"/>
          <w:szCs w:val="24"/>
        </w:rPr>
        <w:t>wytycznych w zakresie komunikacji i widoczności.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E72">
        <w:rPr>
          <w:rFonts w:ascii="Times New Roman" w:hAnsi="Times New Roman" w:cs="Times New Roman"/>
          <w:sz w:val="24"/>
          <w:szCs w:val="24"/>
        </w:rPr>
        <w:t xml:space="preserve">   </w:t>
      </w:r>
      <w:r w:rsidR="00987F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91365" w14:textId="77777777" w:rsidR="00E76B8B" w:rsidRPr="00A31E3D" w:rsidRDefault="00E76B8B" w:rsidP="00A31E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89DFB5" w14:textId="77777777" w:rsidR="00E76B8B" w:rsidRPr="00417381" w:rsidRDefault="00001735" w:rsidP="00417381">
      <w:pPr>
        <w:pStyle w:val="Podtytu"/>
        <w:rPr>
          <w:rFonts w:ascii="Times New Roman" w:hAnsi="Times New Roman" w:cs="Times New Roman"/>
          <w:b/>
          <w:bCs/>
        </w:rPr>
      </w:pPr>
      <w:r w:rsidRPr="00417381">
        <w:rPr>
          <w:rFonts w:ascii="Times New Roman" w:hAnsi="Times New Roman" w:cs="Times New Roman"/>
          <w:b/>
          <w:bCs/>
        </w:rPr>
        <w:t>1</w:t>
      </w:r>
      <w:r w:rsidR="0095320C" w:rsidRPr="00417381">
        <w:rPr>
          <w:rFonts w:ascii="Times New Roman" w:hAnsi="Times New Roman" w:cs="Times New Roman"/>
          <w:b/>
          <w:bCs/>
        </w:rPr>
        <w:t>1</w:t>
      </w:r>
      <w:r w:rsidR="001719F5" w:rsidRPr="00417381">
        <w:rPr>
          <w:rFonts w:ascii="Times New Roman" w:hAnsi="Times New Roman" w:cs="Times New Roman"/>
          <w:b/>
          <w:bCs/>
        </w:rPr>
        <w:t>. Plan finansowy</w:t>
      </w:r>
    </w:p>
    <w:p w14:paraId="485810AC" w14:textId="2D126BDB" w:rsidR="00CB5185" w:rsidRPr="00A31E3D" w:rsidRDefault="00CB5185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 xml:space="preserve">FEPŻ będzie finansowany ze środków UE oraz środków krajowych (budżet państwa) w podziale 90% i 10%. </w:t>
      </w:r>
      <w:r w:rsidR="00F377BD">
        <w:rPr>
          <w:rFonts w:ascii="Times New Roman" w:hAnsi="Times New Roman" w:cs="Times New Roman"/>
          <w:sz w:val="24"/>
          <w:szCs w:val="24"/>
        </w:rPr>
        <w:t>A</w:t>
      </w:r>
      <w:r w:rsidRPr="00A31E3D">
        <w:rPr>
          <w:rFonts w:ascii="Times New Roman" w:hAnsi="Times New Roman" w:cs="Times New Roman"/>
          <w:sz w:val="24"/>
          <w:szCs w:val="24"/>
        </w:rPr>
        <w:t>lokacja środków dla Polski na jego realizację w latach 2023-2029 wynosi</w:t>
      </w:r>
      <w:r w:rsidR="00DC5BCC" w:rsidRPr="00A31E3D">
        <w:rPr>
          <w:rFonts w:ascii="Times New Roman" w:hAnsi="Times New Roman" w:cs="Times New Roman"/>
          <w:sz w:val="24"/>
          <w:szCs w:val="24"/>
        </w:rPr>
        <w:t xml:space="preserve"> 527,7 mln </w:t>
      </w:r>
      <w:r w:rsidRPr="00A31E3D">
        <w:rPr>
          <w:rFonts w:ascii="Times New Roman" w:hAnsi="Times New Roman" w:cs="Times New Roman"/>
          <w:sz w:val="24"/>
          <w:szCs w:val="24"/>
        </w:rPr>
        <w:t>EUR, a wkład środków krajowych wynos</w:t>
      </w:r>
      <w:r w:rsidR="00DC5BCC" w:rsidRPr="00A31E3D">
        <w:rPr>
          <w:rFonts w:ascii="Times New Roman" w:hAnsi="Times New Roman" w:cs="Times New Roman"/>
          <w:sz w:val="24"/>
          <w:szCs w:val="24"/>
        </w:rPr>
        <w:t xml:space="preserve">i 52,7 </w:t>
      </w:r>
      <w:r w:rsidR="00C8181F">
        <w:rPr>
          <w:rFonts w:ascii="Times New Roman" w:hAnsi="Times New Roman" w:cs="Times New Roman"/>
          <w:sz w:val="24"/>
          <w:szCs w:val="24"/>
        </w:rPr>
        <w:t xml:space="preserve">mln </w:t>
      </w:r>
      <w:r w:rsidRPr="00A31E3D">
        <w:rPr>
          <w:rFonts w:ascii="Times New Roman" w:hAnsi="Times New Roman" w:cs="Times New Roman"/>
          <w:sz w:val="24"/>
          <w:szCs w:val="24"/>
        </w:rPr>
        <w:t>EUR.</w:t>
      </w:r>
    </w:p>
    <w:p w14:paraId="7584823A" w14:textId="77777777" w:rsidR="00CB5185" w:rsidRPr="00A31E3D" w:rsidRDefault="00CB5185" w:rsidP="00A31E3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7"/>
        <w:gridCol w:w="996"/>
        <w:gridCol w:w="792"/>
        <w:gridCol w:w="791"/>
        <w:gridCol w:w="791"/>
        <w:gridCol w:w="791"/>
        <w:gridCol w:w="791"/>
        <w:gridCol w:w="791"/>
        <w:gridCol w:w="791"/>
        <w:gridCol w:w="696"/>
        <w:gridCol w:w="696"/>
      </w:tblGrid>
      <w:tr w:rsidR="00CB5185" w:rsidRPr="00A31E3D" w14:paraId="158A8979" w14:textId="77777777" w:rsidTr="00CB5185">
        <w:tc>
          <w:tcPr>
            <w:tcW w:w="1004" w:type="dxa"/>
          </w:tcPr>
          <w:p w14:paraId="7784F2EA" w14:textId="77777777" w:rsidR="00CB5185" w:rsidRPr="00417381" w:rsidRDefault="00B7680C" w:rsidP="00095EB9">
            <w:pPr>
              <w:rPr>
                <w:b/>
                <w:bCs/>
                <w:sz w:val="24"/>
                <w:szCs w:val="24"/>
              </w:rPr>
            </w:pPr>
            <w:r w:rsidRPr="00417381">
              <w:rPr>
                <w:b/>
                <w:bCs/>
                <w:sz w:val="24"/>
                <w:szCs w:val="24"/>
              </w:rPr>
              <w:t xml:space="preserve">Alokacja w </w:t>
            </w:r>
            <w:r w:rsidR="00AF7DC9" w:rsidRPr="00417381">
              <w:rPr>
                <w:b/>
                <w:bCs/>
                <w:sz w:val="24"/>
                <w:szCs w:val="24"/>
              </w:rPr>
              <w:t xml:space="preserve">mln </w:t>
            </w:r>
            <w:r w:rsidRPr="00417381">
              <w:rPr>
                <w:b/>
                <w:bCs/>
                <w:sz w:val="24"/>
                <w:szCs w:val="24"/>
              </w:rPr>
              <w:t>EUR</w:t>
            </w:r>
          </w:p>
        </w:tc>
        <w:tc>
          <w:tcPr>
            <w:tcW w:w="998" w:type="dxa"/>
          </w:tcPr>
          <w:p w14:paraId="4267E0FC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  <w:r w:rsidRPr="00A31E3D">
              <w:rPr>
                <w:sz w:val="24"/>
                <w:szCs w:val="24"/>
              </w:rPr>
              <w:t>Ogółem</w:t>
            </w:r>
          </w:p>
        </w:tc>
        <w:tc>
          <w:tcPr>
            <w:tcW w:w="841" w:type="dxa"/>
          </w:tcPr>
          <w:p w14:paraId="262F05A1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  <w:r w:rsidRPr="00A31E3D">
              <w:rPr>
                <w:sz w:val="24"/>
                <w:szCs w:val="24"/>
              </w:rPr>
              <w:t>2021</w:t>
            </w:r>
          </w:p>
        </w:tc>
        <w:tc>
          <w:tcPr>
            <w:tcW w:w="841" w:type="dxa"/>
          </w:tcPr>
          <w:p w14:paraId="74F7C268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  <w:r w:rsidRPr="00A31E3D">
              <w:rPr>
                <w:sz w:val="24"/>
                <w:szCs w:val="24"/>
              </w:rPr>
              <w:t>2022</w:t>
            </w:r>
          </w:p>
        </w:tc>
        <w:tc>
          <w:tcPr>
            <w:tcW w:w="841" w:type="dxa"/>
          </w:tcPr>
          <w:p w14:paraId="5FEA1693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  <w:r w:rsidRPr="00A31E3D">
              <w:rPr>
                <w:sz w:val="24"/>
                <w:szCs w:val="24"/>
              </w:rPr>
              <w:t>2023</w:t>
            </w:r>
          </w:p>
        </w:tc>
        <w:tc>
          <w:tcPr>
            <w:tcW w:w="841" w:type="dxa"/>
          </w:tcPr>
          <w:p w14:paraId="3270FCEA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  <w:r w:rsidRPr="00A31E3D">
              <w:rPr>
                <w:sz w:val="24"/>
                <w:szCs w:val="24"/>
              </w:rPr>
              <w:t>2024</w:t>
            </w:r>
          </w:p>
        </w:tc>
        <w:tc>
          <w:tcPr>
            <w:tcW w:w="841" w:type="dxa"/>
          </w:tcPr>
          <w:p w14:paraId="33A36BFC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  <w:r w:rsidRPr="00A31E3D">
              <w:rPr>
                <w:sz w:val="24"/>
                <w:szCs w:val="24"/>
              </w:rPr>
              <w:t>2025</w:t>
            </w:r>
          </w:p>
        </w:tc>
        <w:tc>
          <w:tcPr>
            <w:tcW w:w="841" w:type="dxa"/>
          </w:tcPr>
          <w:p w14:paraId="1F726742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  <w:r w:rsidRPr="00A31E3D">
              <w:rPr>
                <w:sz w:val="24"/>
                <w:szCs w:val="24"/>
              </w:rPr>
              <w:t>2026</w:t>
            </w:r>
          </w:p>
        </w:tc>
        <w:tc>
          <w:tcPr>
            <w:tcW w:w="841" w:type="dxa"/>
          </w:tcPr>
          <w:p w14:paraId="02F0181C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  <w:r w:rsidRPr="00A31E3D">
              <w:rPr>
                <w:sz w:val="24"/>
                <w:szCs w:val="24"/>
              </w:rPr>
              <w:t>2027</w:t>
            </w:r>
          </w:p>
        </w:tc>
        <w:tc>
          <w:tcPr>
            <w:tcW w:w="587" w:type="dxa"/>
          </w:tcPr>
          <w:p w14:paraId="4FD9A870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  <w:r w:rsidRPr="00A31E3D">
              <w:rPr>
                <w:sz w:val="24"/>
                <w:szCs w:val="24"/>
              </w:rPr>
              <w:t>2028</w:t>
            </w:r>
          </w:p>
        </w:tc>
        <w:tc>
          <w:tcPr>
            <w:tcW w:w="587" w:type="dxa"/>
          </w:tcPr>
          <w:p w14:paraId="6C1FA85B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  <w:r w:rsidRPr="00A31E3D">
              <w:rPr>
                <w:sz w:val="24"/>
                <w:szCs w:val="24"/>
              </w:rPr>
              <w:t>2029</w:t>
            </w:r>
          </w:p>
        </w:tc>
      </w:tr>
      <w:tr w:rsidR="00CB5185" w:rsidRPr="00A31E3D" w14:paraId="7CB05791" w14:textId="77777777" w:rsidTr="00CB5185">
        <w:tc>
          <w:tcPr>
            <w:tcW w:w="1004" w:type="dxa"/>
          </w:tcPr>
          <w:p w14:paraId="7EC89556" w14:textId="77777777" w:rsidR="00CB5185" w:rsidRPr="00417381" w:rsidRDefault="00CB5185" w:rsidP="00095EB9">
            <w:pPr>
              <w:rPr>
                <w:b/>
                <w:bCs/>
                <w:sz w:val="24"/>
                <w:szCs w:val="24"/>
              </w:rPr>
            </w:pPr>
            <w:r w:rsidRPr="00417381">
              <w:rPr>
                <w:b/>
                <w:bCs/>
                <w:sz w:val="24"/>
                <w:szCs w:val="24"/>
              </w:rPr>
              <w:t>EFS+</w:t>
            </w:r>
          </w:p>
        </w:tc>
        <w:tc>
          <w:tcPr>
            <w:tcW w:w="998" w:type="dxa"/>
          </w:tcPr>
          <w:p w14:paraId="7015EECA" w14:textId="77777777" w:rsidR="00CB5185" w:rsidRPr="00A31E3D" w:rsidRDefault="00AF7DC9" w:rsidP="00A31E3D">
            <w:pPr>
              <w:jc w:val="both"/>
              <w:rPr>
                <w:sz w:val="24"/>
                <w:szCs w:val="24"/>
              </w:rPr>
            </w:pPr>
            <w:r w:rsidRPr="00A31E3D">
              <w:rPr>
                <w:sz w:val="24"/>
                <w:szCs w:val="24"/>
              </w:rPr>
              <w:t>475</w:t>
            </w:r>
          </w:p>
        </w:tc>
        <w:tc>
          <w:tcPr>
            <w:tcW w:w="841" w:type="dxa"/>
          </w:tcPr>
          <w:p w14:paraId="1476A09D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  <w:r w:rsidRPr="00A31E3D">
              <w:rPr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25FC69CC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  <w:r w:rsidRPr="00A31E3D">
              <w:rPr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5F738AE1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14:paraId="6EA3B66C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14:paraId="199A4187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14:paraId="4DD087EC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14:paraId="53FB4532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14:paraId="699A6E8C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14:paraId="648FD377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</w:p>
        </w:tc>
      </w:tr>
      <w:tr w:rsidR="00CB5185" w:rsidRPr="00A31E3D" w14:paraId="2A5FFAA8" w14:textId="77777777" w:rsidTr="00CB5185">
        <w:tc>
          <w:tcPr>
            <w:tcW w:w="1004" w:type="dxa"/>
          </w:tcPr>
          <w:p w14:paraId="141C3FA1" w14:textId="77777777" w:rsidR="00CB5185" w:rsidRPr="00417381" w:rsidRDefault="00CB5185" w:rsidP="00095EB9">
            <w:pPr>
              <w:rPr>
                <w:b/>
                <w:bCs/>
                <w:sz w:val="24"/>
                <w:szCs w:val="24"/>
              </w:rPr>
            </w:pPr>
            <w:r w:rsidRPr="00417381">
              <w:rPr>
                <w:b/>
                <w:bCs/>
                <w:sz w:val="24"/>
                <w:szCs w:val="24"/>
              </w:rPr>
              <w:t>Wkład krajowy</w:t>
            </w:r>
          </w:p>
        </w:tc>
        <w:tc>
          <w:tcPr>
            <w:tcW w:w="998" w:type="dxa"/>
          </w:tcPr>
          <w:p w14:paraId="1AC1B0F9" w14:textId="77777777" w:rsidR="00CB5185" w:rsidRPr="00A31E3D" w:rsidRDefault="00AF7DC9" w:rsidP="00A31E3D">
            <w:pPr>
              <w:jc w:val="both"/>
              <w:rPr>
                <w:sz w:val="24"/>
                <w:szCs w:val="24"/>
              </w:rPr>
            </w:pPr>
            <w:r w:rsidRPr="00A31E3D">
              <w:rPr>
                <w:sz w:val="24"/>
                <w:szCs w:val="24"/>
              </w:rPr>
              <w:t>52,7</w:t>
            </w:r>
          </w:p>
        </w:tc>
        <w:tc>
          <w:tcPr>
            <w:tcW w:w="841" w:type="dxa"/>
          </w:tcPr>
          <w:p w14:paraId="13AEFDC0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  <w:r w:rsidRPr="00A31E3D">
              <w:rPr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B49788E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  <w:r w:rsidRPr="00A31E3D">
              <w:rPr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0CA2B635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14:paraId="5934C1D4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14:paraId="57FCD328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14:paraId="193D8A03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14:paraId="68E45ED1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14:paraId="1C166DF1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14:paraId="23846D40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</w:p>
        </w:tc>
      </w:tr>
      <w:tr w:rsidR="00CB5185" w:rsidRPr="00A31E3D" w14:paraId="3E43DC2E" w14:textId="77777777" w:rsidTr="00CB5185">
        <w:tc>
          <w:tcPr>
            <w:tcW w:w="1004" w:type="dxa"/>
          </w:tcPr>
          <w:p w14:paraId="3F1FC0AB" w14:textId="77777777" w:rsidR="00CB5185" w:rsidRPr="00417381" w:rsidRDefault="00CB5185" w:rsidP="00095EB9">
            <w:pPr>
              <w:rPr>
                <w:b/>
                <w:bCs/>
                <w:sz w:val="24"/>
                <w:szCs w:val="24"/>
              </w:rPr>
            </w:pPr>
            <w:r w:rsidRPr="00417381">
              <w:rPr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998" w:type="dxa"/>
          </w:tcPr>
          <w:p w14:paraId="402F3E75" w14:textId="77777777" w:rsidR="00CB5185" w:rsidRPr="00A31E3D" w:rsidRDefault="00AF7DC9" w:rsidP="00A31E3D">
            <w:pPr>
              <w:jc w:val="both"/>
              <w:rPr>
                <w:sz w:val="24"/>
                <w:szCs w:val="24"/>
              </w:rPr>
            </w:pPr>
            <w:r w:rsidRPr="00A31E3D">
              <w:rPr>
                <w:sz w:val="24"/>
                <w:szCs w:val="24"/>
              </w:rPr>
              <w:t>527,7</w:t>
            </w:r>
          </w:p>
        </w:tc>
        <w:tc>
          <w:tcPr>
            <w:tcW w:w="841" w:type="dxa"/>
          </w:tcPr>
          <w:p w14:paraId="6F7BDC47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  <w:r w:rsidRPr="00A31E3D">
              <w:rPr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DBE7E75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  <w:r w:rsidRPr="00A31E3D">
              <w:rPr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100659A6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14:paraId="5EA9F49E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14:paraId="391A3DE5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14:paraId="3EC554A1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14:paraId="334C878B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14:paraId="19F8BE48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14:paraId="76A8A160" w14:textId="77777777" w:rsidR="00CB5185" w:rsidRPr="00A31E3D" w:rsidRDefault="00CB5185" w:rsidP="00A31E3D">
            <w:pPr>
              <w:jc w:val="both"/>
              <w:rPr>
                <w:sz w:val="24"/>
                <w:szCs w:val="24"/>
              </w:rPr>
            </w:pPr>
          </w:p>
        </w:tc>
      </w:tr>
    </w:tbl>
    <w:p w14:paraId="4C62B7BD" w14:textId="77777777" w:rsidR="006C2216" w:rsidRPr="00A31E3D" w:rsidRDefault="006C2216" w:rsidP="00A31E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06DC0B" w14:textId="1A577BFC" w:rsidR="00B63421" w:rsidRPr="00A31E3D" w:rsidRDefault="001E090E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1E090E">
        <w:rPr>
          <w:rFonts w:ascii="Times New Roman" w:hAnsi="Times New Roman" w:cs="Times New Roman"/>
          <w:sz w:val="24"/>
          <w:szCs w:val="24"/>
        </w:rPr>
        <w:t>Do uzupełnienia na późniejszym etapie prac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34EB4C" w14:textId="61163B9D" w:rsidR="00D5512B" w:rsidRDefault="00D5512B" w:rsidP="00417381">
      <w:pPr>
        <w:pStyle w:val="Podtytu"/>
        <w:rPr>
          <w:rFonts w:ascii="Times New Roman" w:hAnsi="Times New Roman" w:cs="Times New Roman"/>
          <w:b/>
          <w:bCs/>
        </w:rPr>
      </w:pPr>
    </w:p>
    <w:p w14:paraId="2CF9E1C9" w14:textId="77777777" w:rsidR="005D7766" w:rsidRPr="005D7766" w:rsidRDefault="005D7766" w:rsidP="005D7766"/>
    <w:p w14:paraId="0E346ED6" w14:textId="2A310FB9" w:rsidR="00B63421" w:rsidRPr="00417381" w:rsidRDefault="00B63421" w:rsidP="00417381">
      <w:pPr>
        <w:pStyle w:val="Podtytu"/>
        <w:rPr>
          <w:rFonts w:ascii="Times New Roman" w:hAnsi="Times New Roman" w:cs="Times New Roman"/>
          <w:b/>
          <w:bCs/>
        </w:rPr>
      </w:pPr>
      <w:r w:rsidRPr="00417381">
        <w:rPr>
          <w:rFonts w:ascii="Times New Roman" w:hAnsi="Times New Roman" w:cs="Times New Roman"/>
          <w:b/>
          <w:bCs/>
        </w:rPr>
        <w:lastRenderedPageBreak/>
        <w:t>10.1. Plan finansowy w podziale na operacje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4"/>
      </w:tblGrid>
      <w:tr w:rsidR="00B63421" w:rsidRPr="00A31E3D" w14:paraId="7EC10EE3" w14:textId="77777777" w:rsidTr="00E76773">
        <w:tc>
          <w:tcPr>
            <w:tcW w:w="3539" w:type="dxa"/>
          </w:tcPr>
          <w:p w14:paraId="0C8CBD3F" w14:textId="77777777" w:rsidR="00B63421" w:rsidRPr="00417381" w:rsidRDefault="00B63421" w:rsidP="00A31E3D">
            <w:pPr>
              <w:jc w:val="both"/>
              <w:rPr>
                <w:b/>
                <w:bCs/>
                <w:sz w:val="24"/>
                <w:szCs w:val="24"/>
              </w:rPr>
            </w:pPr>
            <w:r w:rsidRPr="00417381">
              <w:rPr>
                <w:b/>
                <w:bCs/>
                <w:sz w:val="24"/>
                <w:szCs w:val="24"/>
              </w:rPr>
              <w:t>Rodzaj operacji</w:t>
            </w:r>
          </w:p>
        </w:tc>
        <w:tc>
          <w:tcPr>
            <w:tcW w:w="5524" w:type="dxa"/>
          </w:tcPr>
          <w:p w14:paraId="0E44C187" w14:textId="77777777" w:rsidR="00B63421" w:rsidRPr="00417381" w:rsidRDefault="00B63421" w:rsidP="00A31E3D">
            <w:pPr>
              <w:jc w:val="both"/>
              <w:rPr>
                <w:b/>
                <w:bCs/>
                <w:sz w:val="24"/>
                <w:szCs w:val="24"/>
              </w:rPr>
            </w:pPr>
            <w:r w:rsidRPr="00417381">
              <w:rPr>
                <w:b/>
                <w:bCs/>
                <w:sz w:val="24"/>
                <w:szCs w:val="24"/>
              </w:rPr>
              <w:t>Łączna wartość środków finansowych</w:t>
            </w:r>
          </w:p>
        </w:tc>
      </w:tr>
      <w:tr w:rsidR="00B63421" w:rsidRPr="00A31E3D" w14:paraId="6FFE5631" w14:textId="77777777" w:rsidTr="00E76773">
        <w:tc>
          <w:tcPr>
            <w:tcW w:w="3539" w:type="dxa"/>
          </w:tcPr>
          <w:p w14:paraId="4F65192B" w14:textId="77777777" w:rsidR="00B63421" w:rsidRPr="00A31E3D" w:rsidRDefault="00C05693" w:rsidP="00A31E3D">
            <w:pPr>
              <w:jc w:val="both"/>
              <w:rPr>
                <w:sz w:val="24"/>
                <w:szCs w:val="24"/>
              </w:rPr>
            </w:pPr>
            <w:r w:rsidRPr="00A31E3D">
              <w:rPr>
                <w:sz w:val="24"/>
                <w:szCs w:val="24"/>
              </w:rPr>
              <w:t>Operacja I</w:t>
            </w:r>
          </w:p>
        </w:tc>
        <w:tc>
          <w:tcPr>
            <w:tcW w:w="5524" w:type="dxa"/>
          </w:tcPr>
          <w:p w14:paraId="74836674" w14:textId="77777777" w:rsidR="00B63421" w:rsidRPr="00A31E3D" w:rsidRDefault="00B63421" w:rsidP="00A31E3D">
            <w:pPr>
              <w:jc w:val="both"/>
              <w:rPr>
                <w:sz w:val="24"/>
                <w:szCs w:val="24"/>
              </w:rPr>
            </w:pPr>
          </w:p>
        </w:tc>
      </w:tr>
      <w:tr w:rsidR="00B63421" w:rsidRPr="00A31E3D" w14:paraId="63F88A34" w14:textId="77777777" w:rsidTr="00E76773">
        <w:tc>
          <w:tcPr>
            <w:tcW w:w="3539" w:type="dxa"/>
          </w:tcPr>
          <w:p w14:paraId="0B3D7EEE" w14:textId="6B7908BC" w:rsidR="00B63421" w:rsidRPr="00A31E3D" w:rsidRDefault="00C05693" w:rsidP="00A31E3D">
            <w:pPr>
              <w:jc w:val="both"/>
              <w:rPr>
                <w:sz w:val="24"/>
                <w:szCs w:val="24"/>
              </w:rPr>
            </w:pPr>
            <w:r w:rsidRPr="00A31E3D">
              <w:rPr>
                <w:sz w:val="24"/>
                <w:szCs w:val="24"/>
              </w:rPr>
              <w:t>Operacja II</w:t>
            </w:r>
            <w:r w:rsidR="00D13067" w:rsidRPr="00101110">
              <w:rPr>
                <w:sz w:val="24"/>
                <w:szCs w:val="24"/>
                <w:vertAlign w:val="superscript"/>
              </w:rPr>
              <w:footnoteReference w:id="23"/>
            </w:r>
            <w:r w:rsidR="00F94891">
              <w:rPr>
                <w:sz w:val="24"/>
                <w:szCs w:val="24"/>
              </w:rPr>
              <w:t xml:space="preserve"> (14%)</w:t>
            </w:r>
          </w:p>
        </w:tc>
        <w:tc>
          <w:tcPr>
            <w:tcW w:w="5524" w:type="dxa"/>
          </w:tcPr>
          <w:p w14:paraId="513B1DF1" w14:textId="77777777" w:rsidR="00B63421" w:rsidRPr="00A31E3D" w:rsidRDefault="00B63421" w:rsidP="00A31E3D">
            <w:pPr>
              <w:jc w:val="both"/>
              <w:rPr>
                <w:sz w:val="24"/>
                <w:szCs w:val="24"/>
              </w:rPr>
            </w:pPr>
          </w:p>
        </w:tc>
      </w:tr>
      <w:tr w:rsidR="00B63421" w:rsidRPr="00A31E3D" w14:paraId="20CEE81E" w14:textId="77777777" w:rsidTr="00E76773">
        <w:tc>
          <w:tcPr>
            <w:tcW w:w="3539" w:type="dxa"/>
          </w:tcPr>
          <w:p w14:paraId="50DADD0F" w14:textId="36C07A24" w:rsidR="00B63421" w:rsidRPr="00A31E3D" w:rsidRDefault="00C05693" w:rsidP="00A31E3D">
            <w:pPr>
              <w:jc w:val="both"/>
              <w:rPr>
                <w:sz w:val="24"/>
                <w:szCs w:val="24"/>
              </w:rPr>
            </w:pPr>
            <w:r w:rsidRPr="00A31E3D">
              <w:rPr>
                <w:sz w:val="24"/>
                <w:szCs w:val="24"/>
              </w:rPr>
              <w:t>Operacja II</w:t>
            </w:r>
            <w:r w:rsidR="00101110">
              <w:rPr>
                <w:sz w:val="24"/>
                <w:szCs w:val="24"/>
              </w:rPr>
              <w:t xml:space="preserve"> </w:t>
            </w:r>
            <w:r w:rsidRPr="00A31E3D">
              <w:rPr>
                <w:sz w:val="24"/>
                <w:szCs w:val="24"/>
              </w:rPr>
              <w:t>a</w:t>
            </w:r>
            <w:r w:rsidR="00D13067" w:rsidRPr="00A31E3D">
              <w:rPr>
                <w:sz w:val="24"/>
                <w:szCs w:val="24"/>
              </w:rPr>
              <w:t xml:space="preserve"> (</w:t>
            </w:r>
            <w:r w:rsidR="00F07529">
              <w:rPr>
                <w:sz w:val="24"/>
                <w:szCs w:val="24"/>
              </w:rPr>
              <w:t>3</w:t>
            </w:r>
            <w:r w:rsidR="00D13067" w:rsidRPr="00A31E3D">
              <w:rPr>
                <w:sz w:val="24"/>
                <w:szCs w:val="24"/>
              </w:rPr>
              <w:t>%)</w:t>
            </w:r>
          </w:p>
        </w:tc>
        <w:tc>
          <w:tcPr>
            <w:tcW w:w="5524" w:type="dxa"/>
          </w:tcPr>
          <w:p w14:paraId="775F5F10" w14:textId="77777777" w:rsidR="00B63421" w:rsidRPr="00A31E3D" w:rsidRDefault="00B63421" w:rsidP="00A31E3D">
            <w:pPr>
              <w:jc w:val="both"/>
              <w:rPr>
                <w:sz w:val="24"/>
                <w:szCs w:val="24"/>
              </w:rPr>
            </w:pPr>
          </w:p>
        </w:tc>
      </w:tr>
      <w:tr w:rsidR="00C05693" w:rsidRPr="00A31E3D" w14:paraId="25419023" w14:textId="77777777" w:rsidTr="00E76773">
        <w:tc>
          <w:tcPr>
            <w:tcW w:w="3539" w:type="dxa"/>
          </w:tcPr>
          <w:p w14:paraId="3CAB91C1" w14:textId="2385940B" w:rsidR="00C05693" w:rsidRPr="00A31E3D" w:rsidRDefault="00C05693" w:rsidP="00A31E3D">
            <w:pPr>
              <w:jc w:val="both"/>
              <w:rPr>
                <w:sz w:val="24"/>
                <w:szCs w:val="24"/>
              </w:rPr>
            </w:pPr>
            <w:r w:rsidRPr="00A31E3D">
              <w:rPr>
                <w:sz w:val="24"/>
                <w:szCs w:val="24"/>
              </w:rPr>
              <w:t>Operacja III (</w:t>
            </w:r>
            <w:r w:rsidR="00D44FD4">
              <w:rPr>
                <w:sz w:val="24"/>
                <w:szCs w:val="24"/>
              </w:rPr>
              <w:t>3,5</w:t>
            </w:r>
            <w:r w:rsidRPr="00A31E3D">
              <w:rPr>
                <w:sz w:val="24"/>
                <w:szCs w:val="24"/>
              </w:rPr>
              <w:t>%)</w:t>
            </w:r>
          </w:p>
        </w:tc>
        <w:tc>
          <w:tcPr>
            <w:tcW w:w="5524" w:type="dxa"/>
          </w:tcPr>
          <w:p w14:paraId="1D035E33" w14:textId="77777777" w:rsidR="00C05693" w:rsidRPr="00A31E3D" w:rsidRDefault="00C05693" w:rsidP="00A31E3D">
            <w:pPr>
              <w:jc w:val="both"/>
              <w:rPr>
                <w:sz w:val="24"/>
                <w:szCs w:val="24"/>
              </w:rPr>
            </w:pPr>
          </w:p>
        </w:tc>
      </w:tr>
      <w:tr w:rsidR="00C05693" w:rsidRPr="00A31E3D" w14:paraId="3FDC4AB1" w14:textId="77777777" w:rsidTr="00E76773">
        <w:tc>
          <w:tcPr>
            <w:tcW w:w="3539" w:type="dxa"/>
          </w:tcPr>
          <w:p w14:paraId="5F435EBD" w14:textId="77777777" w:rsidR="00C05693" w:rsidRPr="00A31E3D" w:rsidRDefault="00C05693" w:rsidP="00A31E3D">
            <w:pPr>
              <w:jc w:val="both"/>
              <w:rPr>
                <w:sz w:val="24"/>
                <w:szCs w:val="24"/>
              </w:rPr>
            </w:pPr>
            <w:r w:rsidRPr="00A31E3D">
              <w:rPr>
                <w:sz w:val="24"/>
                <w:szCs w:val="24"/>
              </w:rPr>
              <w:t>Ogółem</w:t>
            </w:r>
          </w:p>
        </w:tc>
        <w:tc>
          <w:tcPr>
            <w:tcW w:w="5524" w:type="dxa"/>
          </w:tcPr>
          <w:p w14:paraId="36965233" w14:textId="77777777" w:rsidR="00C05693" w:rsidRPr="00A31E3D" w:rsidRDefault="00C05693" w:rsidP="00A31E3D">
            <w:pPr>
              <w:jc w:val="both"/>
              <w:rPr>
                <w:sz w:val="24"/>
                <w:szCs w:val="24"/>
              </w:rPr>
            </w:pPr>
          </w:p>
        </w:tc>
      </w:tr>
    </w:tbl>
    <w:p w14:paraId="012A2BD1" w14:textId="77777777" w:rsidR="00B63421" w:rsidRPr="00A31E3D" w:rsidRDefault="00B63421" w:rsidP="00A31E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DF974A" w14:textId="77777777" w:rsidR="00070F2C" w:rsidRPr="00A31E3D" w:rsidRDefault="00E76773" w:rsidP="00A31E3D">
      <w:pPr>
        <w:jc w:val="both"/>
        <w:rPr>
          <w:rFonts w:ascii="Times New Roman" w:hAnsi="Times New Roman" w:cs="Times New Roman"/>
          <w:sz w:val="24"/>
          <w:szCs w:val="24"/>
        </w:rPr>
      </w:pPr>
      <w:r w:rsidRPr="00A31E3D">
        <w:rPr>
          <w:rFonts w:ascii="Times New Roman" w:hAnsi="Times New Roman" w:cs="Times New Roman"/>
          <w:sz w:val="24"/>
          <w:szCs w:val="24"/>
        </w:rPr>
        <w:t>Wstępnie przyjęty plan finansowy może ulegać zmianom.</w:t>
      </w:r>
    </w:p>
    <w:sectPr w:rsidR="00070F2C" w:rsidRPr="00A31E3D" w:rsidSect="00DA4C4E">
      <w:headerReference w:type="default" r:id="rId8"/>
      <w:footerReference w:type="default" r:id="rId9"/>
      <w:headerReference w:type="first" r:id="rId10"/>
      <w:pgSz w:w="11906" w:h="16838"/>
      <w:pgMar w:top="1417" w:right="1416" w:bottom="1417" w:left="1417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9691" w14:textId="77777777" w:rsidR="00094E96" w:rsidRDefault="00094E96" w:rsidP="00E9172D">
      <w:pPr>
        <w:spacing w:after="0"/>
      </w:pPr>
      <w:r>
        <w:separator/>
      </w:r>
    </w:p>
  </w:endnote>
  <w:endnote w:type="continuationSeparator" w:id="0">
    <w:p w14:paraId="787045D2" w14:textId="77777777" w:rsidR="00094E96" w:rsidRDefault="00094E96" w:rsidP="00E917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1456535"/>
      <w:docPartObj>
        <w:docPartGallery w:val="Page Numbers (Bottom of Page)"/>
        <w:docPartUnique/>
      </w:docPartObj>
    </w:sdtPr>
    <w:sdtEndPr/>
    <w:sdtContent>
      <w:p w14:paraId="35C95FFA" w14:textId="34D0C172" w:rsidR="00094E96" w:rsidRDefault="00094E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- 15 -</w:t>
        </w:r>
        <w:r>
          <w:fldChar w:fldCharType="end"/>
        </w:r>
      </w:p>
    </w:sdtContent>
  </w:sdt>
  <w:p w14:paraId="0973BEC2" w14:textId="77777777" w:rsidR="00094E96" w:rsidRDefault="00094E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92532" w14:textId="77777777" w:rsidR="00094E96" w:rsidRDefault="00094E96" w:rsidP="00E9172D">
      <w:pPr>
        <w:spacing w:after="0"/>
      </w:pPr>
      <w:r>
        <w:separator/>
      </w:r>
    </w:p>
  </w:footnote>
  <w:footnote w:type="continuationSeparator" w:id="0">
    <w:p w14:paraId="61190265" w14:textId="77777777" w:rsidR="00094E96" w:rsidRDefault="00094E96" w:rsidP="00E9172D">
      <w:pPr>
        <w:spacing w:after="0"/>
      </w:pPr>
      <w:r>
        <w:continuationSeparator/>
      </w:r>
    </w:p>
  </w:footnote>
  <w:footnote w:id="1">
    <w:p w14:paraId="4AEBFD54" w14:textId="77777777" w:rsidR="00094E96" w:rsidRPr="007F1F56" w:rsidRDefault="00094E96" w:rsidP="00827AC9">
      <w:pPr>
        <w:pStyle w:val="Tekstprzypisudolnego"/>
        <w:jc w:val="both"/>
        <w:rPr>
          <w:rFonts w:ascii="Times New Roman" w:hAnsi="Times New Roman" w:cs="Times New Roman"/>
        </w:rPr>
      </w:pPr>
      <w:r w:rsidRPr="007F1F56">
        <w:rPr>
          <w:rStyle w:val="Odwoanieprzypisudolnego"/>
        </w:rPr>
        <w:footnoteRef/>
      </w:r>
      <w:r w:rsidRPr="007F1F56">
        <w:rPr>
          <w:rFonts w:ascii="Times New Roman" w:hAnsi="Times New Roman" w:cs="Times New Roman"/>
        </w:rPr>
        <w:t xml:space="preserve"> Każdy podprogram był wdrażany częściowo na przestrzeni dwóch lat kalendarzowych.</w:t>
      </w:r>
    </w:p>
  </w:footnote>
  <w:footnote w:id="2">
    <w:p w14:paraId="5A6262B8" w14:textId="77777777" w:rsidR="00094E96" w:rsidRPr="007F1F56" w:rsidRDefault="00094E96" w:rsidP="00827AC9">
      <w:pPr>
        <w:pStyle w:val="Tekstprzypisudolnego"/>
        <w:jc w:val="both"/>
        <w:rPr>
          <w:rFonts w:ascii="Times New Roman" w:hAnsi="Times New Roman" w:cs="Times New Roman"/>
        </w:rPr>
      </w:pPr>
      <w:r w:rsidRPr="007F1F56">
        <w:rPr>
          <w:rStyle w:val="Odwoanieprzypisudolnego"/>
        </w:rPr>
        <w:footnoteRef/>
      </w:r>
      <w:r w:rsidRPr="007F1F56">
        <w:rPr>
          <w:rFonts w:ascii="Times New Roman" w:hAnsi="Times New Roman" w:cs="Times New Roman"/>
        </w:rPr>
        <w:t xml:space="preserve">Skumulowane dane ze sprawozdań rocznych z wdrażania PO PŻ. Źródło: </w:t>
      </w:r>
      <w:hyperlink r:id="rId1" w:history="1">
        <w:r w:rsidRPr="007F1F56">
          <w:rPr>
            <w:rStyle w:val="Hipercze"/>
          </w:rPr>
          <w:t>https://www.gov.pl/web/rodzina/sprawozdania-roczne-z-wdrazania-pop</w:t>
        </w:r>
      </w:hyperlink>
      <w:r w:rsidRPr="007F1F56">
        <w:rPr>
          <w:rFonts w:ascii="Times New Roman" w:hAnsi="Times New Roman" w:cs="Times New Roman"/>
        </w:rPr>
        <w:t xml:space="preserve"> (dostęp: 21.07.2021 r.)</w:t>
      </w:r>
    </w:p>
  </w:footnote>
  <w:footnote w:id="3">
    <w:p w14:paraId="0B721991" w14:textId="77777777" w:rsidR="00094E96" w:rsidRPr="001A7BBA" w:rsidRDefault="00094E96" w:rsidP="00827AC9">
      <w:pPr>
        <w:pStyle w:val="Tekstprzypisudolnego"/>
        <w:jc w:val="both"/>
        <w:rPr>
          <w:rFonts w:ascii="Times New Roman" w:hAnsi="Times New Roman" w:cs="Times New Roman"/>
        </w:rPr>
      </w:pPr>
      <w:r w:rsidRPr="001A7BBA">
        <w:rPr>
          <w:rStyle w:val="Odwoanieprzypisudolnego"/>
        </w:rPr>
        <w:footnoteRef/>
      </w:r>
      <w:r w:rsidRPr="001A7BBA">
        <w:rPr>
          <w:rFonts w:ascii="Times New Roman" w:hAnsi="Times New Roman" w:cs="Times New Roman"/>
        </w:rPr>
        <w:t xml:space="preserve"> Warunkiem udziału w Programie było posiadanie infrastruktury magazynowej na obszarze min. pięciu województw. W 2021 r. w ramach ostatniego przewidzianego do realizacji podprogramu współfinansowanego ze FEAD, przystąpiła nowa OPO – Kościół Starokatolicki w RP.</w:t>
      </w:r>
    </w:p>
  </w:footnote>
  <w:footnote w:id="4">
    <w:p w14:paraId="334B98A8" w14:textId="77777777" w:rsidR="00094E96" w:rsidRPr="00C62D00" w:rsidRDefault="00094E96" w:rsidP="00C86FA6">
      <w:pPr>
        <w:pStyle w:val="Tekstprzypisudolnego"/>
        <w:jc w:val="both"/>
        <w:rPr>
          <w:rFonts w:ascii="Times New Roman" w:hAnsi="Times New Roman" w:cs="Times New Roman"/>
        </w:rPr>
      </w:pPr>
      <w:r w:rsidRPr="001A7BBA">
        <w:rPr>
          <w:rStyle w:val="Odwoanieprzypisudolnego"/>
        </w:rPr>
        <w:footnoteRef/>
      </w:r>
      <w:r w:rsidRPr="001A7BBA">
        <w:rPr>
          <w:rFonts w:ascii="Times New Roman" w:hAnsi="Times New Roman" w:cs="Times New Roman"/>
        </w:rPr>
        <w:t xml:space="preserve"> </w:t>
      </w:r>
      <w:r w:rsidRPr="00C62D00">
        <w:rPr>
          <w:rFonts w:ascii="Times New Roman" w:hAnsi="Times New Roman" w:cs="Times New Roman"/>
        </w:rPr>
        <w:t xml:space="preserve">Dane pochodzą ze sprawozdań ośrodków pomocy społecznej udostępnionych w Centralnej Aplikacji Statystycznej w II kwartale 2020 r. Nie uwzględniają więc możliwych następstw epidemii COVID-19, jeśli chodzi o sytuację osób potrzebujących. </w:t>
      </w:r>
    </w:p>
  </w:footnote>
  <w:footnote w:id="5">
    <w:p w14:paraId="29078DE5" w14:textId="6F8EB5B1" w:rsidR="00094E96" w:rsidRPr="007A7357" w:rsidRDefault="00094E96" w:rsidP="007A7357">
      <w:pPr>
        <w:pStyle w:val="Tekstprzypisudolnego"/>
        <w:jc w:val="both"/>
        <w:rPr>
          <w:rFonts w:ascii="Times New Roman" w:hAnsi="Times New Roman" w:cs="Times New Roman"/>
        </w:rPr>
      </w:pPr>
      <w:r w:rsidRPr="00C62D00">
        <w:rPr>
          <w:rStyle w:val="Odwoanieprzypisudolnego"/>
        </w:rPr>
        <w:footnoteRef/>
      </w:r>
      <w:r w:rsidRPr="007A7357">
        <w:rPr>
          <w:rFonts w:ascii="Times New Roman" w:hAnsi="Times New Roman" w:cs="Times New Roman"/>
        </w:rPr>
        <w:t xml:space="preserve"> Źródło danych: </w:t>
      </w:r>
      <w:proofErr w:type="spellStart"/>
      <w:r w:rsidRPr="007A7357">
        <w:rPr>
          <w:rFonts w:ascii="Times New Roman" w:hAnsi="Times New Roman" w:cs="Times New Roman"/>
        </w:rPr>
        <w:t>MRiPS</w:t>
      </w:r>
      <w:proofErr w:type="spellEnd"/>
      <w:r w:rsidRPr="007A7357">
        <w:rPr>
          <w:rFonts w:ascii="Times New Roman" w:hAnsi="Times New Roman" w:cs="Times New Roman"/>
        </w:rPr>
        <w:t xml:space="preserve"> na bazie danych ze sprawozdań OPS.</w:t>
      </w:r>
    </w:p>
  </w:footnote>
  <w:footnote w:id="6">
    <w:p w14:paraId="0203CA83" w14:textId="181376F9" w:rsidR="00094E96" w:rsidRPr="007A7357" w:rsidRDefault="00094E96" w:rsidP="007A7357">
      <w:pPr>
        <w:pStyle w:val="Tekstprzypisudolnego"/>
        <w:jc w:val="both"/>
        <w:rPr>
          <w:rFonts w:ascii="Times New Roman" w:hAnsi="Times New Roman" w:cs="Times New Roman"/>
        </w:rPr>
      </w:pPr>
      <w:r w:rsidRPr="004F124E">
        <w:rPr>
          <w:rStyle w:val="Odwoanieprzypisudolnego"/>
        </w:rPr>
        <w:footnoteRef/>
      </w:r>
      <w:r w:rsidRPr="007A73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Osoby o dochodach nieprzekraczających 100% kryterium dochodowego uprawniającego do świadczeń z pomocy społecznej. </w:t>
      </w:r>
    </w:p>
  </w:footnote>
  <w:footnote w:id="7">
    <w:p w14:paraId="18E5361A" w14:textId="636B3F33" w:rsidR="00094E96" w:rsidRPr="007A7357" w:rsidRDefault="00094E96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7A7357">
        <w:rPr>
          <w:rFonts w:ascii="Times New Roman" w:hAnsi="Times New Roman" w:cs="Times New Roman"/>
          <w:i/>
          <w:iCs/>
        </w:rPr>
        <w:t>Wytyczne inwestycyjne dla Polski w zakresie finansowania polityki spójności na lata 2021–2027</w:t>
      </w:r>
      <w:r w:rsidRPr="0061551F">
        <w:t xml:space="preserve"> </w:t>
      </w:r>
      <w:r w:rsidRPr="0061551F">
        <w:rPr>
          <w:rFonts w:ascii="Times New Roman" w:hAnsi="Times New Roman" w:cs="Times New Roman"/>
        </w:rPr>
        <w:t xml:space="preserve">SWD(2019) 1020 </w:t>
      </w:r>
      <w:proofErr w:type="spellStart"/>
      <w:r w:rsidRPr="0061551F">
        <w:rPr>
          <w:rFonts w:ascii="Times New Roman" w:hAnsi="Times New Roman" w:cs="Times New Roman"/>
        </w:rPr>
        <w:t>final</w:t>
      </w:r>
      <w:proofErr w:type="spellEnd"/>
      <w:r>
        <w:rPr>
          <w:rFonts w:ascii="Times New Roman" w:hAnsi="Times New Roman" w:cs="Times New Roman"/>
        </w:rPr>
        <w:t>, s. 71.</w:t>
      </w:r>
    </w:p>
  </w:footnote>
  <w:footnote w:id="8">
    <w:p w14:paraId="17A392DE" w14:textId="33B3AB61" w:rsidR="00094E96" w:rsidRPr="007A7357" w:rsidRDefault="00094E96" w:rsidP="007A7357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Europejski Trybunał Obrachunkowy </w:t>
      </w:r>
      <w:r w:rsidRPr="007A7357"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</w:rPr>
        <w:t>p</w:t>
      </w:r>
      <w:r w:rsidRPr="007A7357">
        <w:rPr>
          <w:rFonts w:ascii="Times New Roman" w:hAnsi="Times New Roman" w:cs="Times New Roman"/>
          <w:i/>
          <w:iCs/>
        </w:rPr>
        <w:t>rawozdanie specjalne</w:t>
      </w:r>
      <w:r>
        <w:rPr>
          <w:rFonts w:ascii="Times New Roman" w:hAnsi="Times New Roman" w:cs="Times New Roman"/>
          <w:i/>
          <w:iCs/>
        </w:rPr>
        <w:t xml:space="preserve"> nr 5/2019 - </w:t>
      </w:r>
      <w:r w:rsidRPr="007A7357">
        <w:rPr>
          <w:rFonts w:ascii="Times New Roman" w:hAnsi="Times New Roman" w:cs="Times New Roman"/>
          <w:i/>
          <w:iCs/>
        </w:rPr>
        <w:t xml:space="preserve"> </w:t>
      </w:r>
      <w:r w:rsidRPr="007F482F">
        <w:rPr>
          <w:rFonts w:ascii="Times New Roman" w:hAnsi="Times New Roman" w:cs="Times New Roman"/>
          <w:i/>
          <w:iCs/>
        </w:rPr>
        <w:t>Europejski Fundusz Pomocy Najbardziej Potrzebującym (FEAD) – zapewniono cenne wsparcie, lecz dotychczas nie ustalono, na ile przyczyniło się ono do ograniczenia ubóstwa</w:t>
      </w:r>
      <w:r>
        <w:rPr>
          <w:rFonts w:ascii="Times New Roman" w:hAnsi="Times New Roman" w:cs="Times New Roman"/>
        </w:rPr>
        <w:t>, s. 36.</w:t>
      </w:r>
    </w:p>
  </w:footnote>
  <w:footnote w:id="9">
    <w:p w14:paraId="200E40F5" w14:textId="0EE22F1A" w:rsidR="00094E96" w:rsidRPr="007A7357" w:rsidRDefault="00094E96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Tamże, s. 36.</w:t>
      </w:r>
    </w:p>
  </w:footnote>
  <w:footnote w:id="10">
    <w:p w14:paraId="5546F0BC" w14:textId="47808F68" w:rsidR="00094E96" w:rsidRPr="00505E84" w:rsidRDefault="00094E96" w:rsidP="007A7357">
      <w:pPr>
        <w:pStyle w:val="Tekstprzypisudolnego"/>
        <w:jc w:val="both"/>
        <w:rPr>
          <w:rFonts w:ascii="Times New Roman" w:hAnsi="Times New Roman" w:cs="Times New Roman"/>
        </w:rPr>
      </w:pPr>
      <w:r w:rsidRPr="00C519AC">
        <w:rPr>
          <w:rStyle w:val="Odwoanieprzypisudolnego"/>
        </w:rPr>
        <w:footnoteRef/>
      </w:r>
      <w:r w:rsidRPr="00505E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Źródło danych: GUS na bazie danych EU-SILC</w:t>
      </w:r>
    </w:p>
  </w:footnote>
  <w:footnote w:id="11">
    <w:p w14:paraId="762C3BB8" w14:textId="77777777" w:rsidR="00094E96" w:rsidRDefault="00094E96" w:rsidP="004F124E">
      <w:pPr>
        <w:pStyle w:val="Tekstprzypisudolnego"/>
        <w:jc w:val="both"/>
      </w:pPr>
      <w:r w:rsidRPr="001A7BBA">
        <w:rPr>
          <w:rStyle w:val="Odwoanieprzypisudolnego"/>
        </w:rPr>
        <w:footnoteRef/>
      </w:r>
      <w:r w:rsidRPr="001A7BBA">
        <w:rPr>
          <w:rFonts w:ascii="Times New Roman" w:hAnsi="Times New Roman" w:cs="Times New Roman"/>
        </w:rPr>
        <w:t xml:space="preserve"> Do świadczeń z pomocy społecznej uprawniał w latach 2018-2021 dochód w wysokości 701 zł dla osoby samotnie gospodarującej oraz 528 zł na osobę w rodzinie.</w:t>
      </w:r>
    </w:p>
  </w:footnote>
  <w:footnote w:id="12">
    <w:p w14:paraId="19FC081E" w14:textId="33593B90" w:rsidR="00094E96" w:rsidRPr="00CE5059" w:rsidRDefault="00094E96" w:rsidP="008114EC">
      <w:pPr>
        <w:pStyle w:val="Tekstprzypisudolnego"/>
        <w:jc w:val="both"/>
        <w:rPr>
          <w:rFonts w:ascii="Times New Roman" w:hAnsi="Times New Roman" w:cs="Times New Roman"/>
        </w:rPr>
      </w:pPr>
      <w:r w:rsidRPr="00CE5059">
        <w:rPr>
          <w:rStyle w:val="Odwoanieprzypisudolnego"/>
        </w:rPr>
        <w:footnoteRef/>
      </w:r>
      <w:r w:rsidRPr="00CE5059">
        <w:rPr>
          <w:rFonts w:ascii="Times New Roman" w:hAnsi="Times New Roman" w:cs="Times New Roman"/>
        </w:rPr>
        <w:t xml:space="preserve"> Ustawa z dnia 11 lutego 2016 r. o pomocy państwa w wychowywaniu dzieci</w:t>
      </w:r>
      <w:r>
        <w:rPr>
          <w:rFonts w:ascii="Times New Roman" w:hAnsi="Times New Roman" w:cs="Times New Roman"/>
        </w:rPr>
        <w:t xml:space="preserve"> (Dz.U. z 2021 r., poz. 1162).</w:t>
      </w:r>
    </w:p>
  </w:footnote>
  <w:footnote w:id="13">
    <w:p w14:paraId="74D02D8E" w14:textId="77777777" w:rsidR="00094E96" w:rsidRDefault="00094E96" w:rsidP="003E29F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02D34">
        <w:rPr>
          <w:rFonts w:ascii="Times New Roman" w:hAnsi="Times New Roman" w:cs="Times New Roman"/>
        </w:rPr>
        <w:t>Zgodnie z danymi z OPS za 2019 r., 16% gmin odnotowało spadek zainteresowania pomocą żywnościową wśród rodzin z dziećmi.</w:t>
      </w:r>
    </w:p>
  </w:footnote>
  <w:footnote w:id="14">
    <w:p w14:paraId="6946359A" w14:textId="7FD5B13B" w:rsidR="00094E96" w:rsidRPr="007A7357" w:rsidRDefault="00094E96" w:rsidP="007A7357">
      <w:pPr>
        <w:pStyle w:val="Tekstprzypisudolnego"/>
        <w:jc w:val="both"/>
        <w:rPr>
          <w:rFonts w:ascii="Times New Roman" w:hAnsi="Times New Roman" w:cs="Times New Roman"/>
        </w:rPr>
      </w:pPr>
      <w:r w:rsidRPr="008114EC">
        <w:rPr>
          <w:rStyle w:val="Odwoanieprzypisudolnego"/>
        </w:rPr>
        <w:footnoteRef/>
      </w:r>
      <w:r w:rsidRPr="007A7357">
        <w:rPr>
          <w:rFonts w:ascii="Times New Roman" w:hAnsi="Times New Roman" w:cs="Times New Roman"/>
        </w:rPr>
        <w:t xml:space="preserve"> Działanie </w:t>
      </w:r>
      <w:r>
        <w:rPr>
          <w:rFonts w:ascii="Times New Roman" w:hAnsi="Times New Roman" w:cs="Times New Roman"/>
        </w:rPr>
        <w:t xml:space="preserve">1.2. </w:t>
      </w:r>
      <w:r w:rsidRPr="007A7357">
        <w:rPr>
          <w:rFonts w:ascii="Times New Roman" w:hAnsi="Times New Roman" w:cs="Times New Roman"/>
          <w:i/>
          <w:iCs/>
        </w:rPr>
        <w:t>Zapewnienie bezpieczeństwa żywnościowego jako jednej z form pomocy dla rodzin, dzieci i młodzieży</w:t>
      </w:r>
      <w:r>
        <w:rPr>
          <w:rFonts w:ascii="Times New Roman" w:hAnsi="Times New Roman" w:cs="Times New Roman"/>
        </w:rPr>
        <w:t>.</w:t>
      </w:r>
    </w:p>
  </w:footnote>
  <w:footnote w:id="15">
    <w:p w14:paraId="71708570" w14:textId="77777777" w:rsidR="00094E96" w:rsidRPr="006D4ED1" w:rsidRDefault="00094E96" w:rsidP="00272109">
      <w:pPr>
        <w:pStyle w:val="Tekstprzypisudolnego"/>
        <w:jc w:val="both"/>
        <w:rPr>
          <w:rFonts w:ascii="Times New Roman" w:hAnsi="Times New Roman" w:cs="Times New Roman"/>
        </w:rPr>
      </w:pPr>
      <w:r w:rsidRPr="006D4ED1">
        <w:rPr>
          <w:rStyle w:val="Odwoanieprzypisudolnego"/>
        </w:rPr>
        <w:footnoteRef/>
      </w:r>
      <w:r w:rsidRPr="006D4ED1">
        <w:rPr>
          <w:rFonts w:ascii="Times New Roman" w:hAnsi="Times New Roman" w:cs="Times New Roman"/>
        </w:rPr>
        <w:t xml:space="preserve"> Dane dotyczące ubóstwa wykorzystywane w Europejskim Badaniu Dochodów i Warunków Życia Ludności</w:t>
      </w:r>
      <w:r>
        <w:rPr>
          <w:rFonts w:ascii="Times New Roman" w:hAnsi="Times New Roman" w:cs="Times New Roman"/>
        </w:rPr>
        <w:t> </w:t>
      </w:r>
      <w:r w:rsidRPr="006D4ED1">
        <w:rPr>
          <w:rFonts w:ascii="Times New Roman" w:hAnsi="Times New Roman" w:cs="Times New Roman"/>
        </w:rPr>
        <w:t>(EU</w:t>
      </w:r>
      <w:r>
        <w:rPr>
          <w:rFonts w:ascii="Times New Roman" w:hAnsi="Times New Roman" w:cs="Times New Roman"/>
        </w:rPr>
        <w:t>-</w:t>
      </w:r>
      <w:r w:rsidRPr="006D4ED1">
        <w:rPr>
          <w:rFonts w:ascii="Times New Roman" w:hAnsi="Times New Roman" w:cs="Times New Roman"/>
        </w:rPr>
        <w:t>SILC).</w:t>
      </w:r>
    </w:p>
  </w:footnote>
  <w:footnote w:id="16">
    <w:p w14:paraId="6838336F" w14:textId="63E94EE8" w:rsidR="00094E96" w:rsidRPr="00F41D75" w:rsidRDefault="00094E96" w:rsidP="00F41D75">
      <w:pPr>
        <w:pStyle w:val="Tekstprzypisudolnego"/>
        <w:jc w:val="both"/>
        <w:rPr>
          <w:rFonts w:ascii="Times New Roman" w:hAnsi="Times New Roman" w:cs="Times New Roman"/>
        </w:rPr>
      </w:pPr>
      <w:r w:rsidRPr="006D7E48">
        <w:rPr>
          <w:rStyle w:val="Odwoanieprzypisudolnego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F41D75">
        <w:rPr>
          <w:rFonts w:ascii="Times New Roman" w:hAnsi="Times New Roman" w:cs="Times New Roman"/>
        </w:rPr>
        <w:t>Op</w:t>
      </w:r>
      <w:r>
        <w:rPr>
          <w:rFonts w:ascii="Times New Roman" w:hAnsi="Times New Roman" w:cs="Times New Roman"/>
        </w:rPr>
        <w:t xml:space="preserve">eracja pośrednio przyczynia się do realizacji zasady niemarnowania żywności, o której mowa w art. 19 ust. 2 </w:t>
      </w:r>
      <w:proofErr w:type="spellStart"/>
      <w:r>
        <w:rPr>
          <w:rFonts w:ascii="Times New Roman" w:hAnsi="Times New Roman" w:cs="Times New Roman"/>
        </w:rPr>
        <w:t>rozp</w:t>
      </w:r>
      <w:proofErr w:type="spellEnd"/>
      <w:r>
        <w:rPr>
          <w:rFonts w:ascii="Times New Roman" w:hAnsi="Times New Roman" w:cs="Times New Roman"/>
        </w:rPr>
        <w:t xml:space="preserve">. EFS+ oraz wpisuje się w realizację celu polityki dotyczącego gospodarki o obiegu zamkniętym , o którym mowa w art. 5 ust. 1 lit. b </w:t>
      </w:r>
      <w:proofErr w:type="spellStart"/>
      <w:r>
        <w:rPr>
          <w:rFonts w:ascii="Times New Roman" w:hAnsi="Times New Roman" w:cs="Times New Roman"/>
        </w:rPr>
        <w:t>rozp</w:t>
      </w:r>
      <w:proofErr w:type="spellEnd"/>
      <w:r>
        <w:rPr>
          <w:rFonts w:ascii="Times New Roman" w:hAnsi="Times New Roman" w:cs="Times New Roman"/>
        </w:rPr>
        <w:t>. ogólnego.</w:t>
      </w:r>
    </w:p>
  </w:footnote>
  <w:footnote w:id="17">
    <w:p w14:paraId="04BC066A" w14:textId="77777777" w:rsidR="00094E96" w:rsidRPr="009200E0" w:rsidRDefault="00094E96" w:rsidP="005D7766">
      <w:pPr>
        <w:pStyle w:val="Tekstprzypisudolnego"/>
        <w:jc w:val="both"/>
        <w:rPr>
          <w:rFonts w:ascii="Times New Roman" w:hAnsi="Times New Roman" w:cs="Times New Roman"/>
        </w:rPr>
      </w:pPr>
      <w:r w:rsidRPr="009200E0">
        <w:rPr>
          <w:rStyle w:val="Odwoanieprzypisudolnego"/>
        </w:rPr>
        <w:footnoteRef/>
      </w:r>
      <w:r w:rsidRPr="009200E0">
        <w:rPr>
          <w:rFonts w:ascii="Times New Roman" w:hAnsi="Times New Roman" w:cs="Times New Roman"/>
        </w:rPr>
        <w:t xml:space="preserve"> Zgodnie ze wzorem określonym przez KE w drodze aktu wykonawczego.</w:t>
      </w:r>
    </w:p>
  </w:footnote>
  <w:footnote w:id="18">
    <w:p w14:paraId="3C4EB333" w14:textId="77777777" w:rsidR="00094E96" w:rsidRPr="00764D0B" w:rsidRDefault="00094E96" w:rsidP="005D7766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764D0B">
        <w:rPr>
          <w:rFonts w:ascii="Times New Roman" w:hAnsi="Times New Roman" w:cs="Times New Roman"/>
        </w:rPr>
        <w:t>Zgodnie z art. 9 Rozporządzenia delegowanego Komisji (UE) z dnia 7 stycznia 2014 r. w sprawie europejskiego kodeksu  postępowania w zakresie partnerstwa w ramach europejskich  funduszy  strukturalnych  i inwestycyjnych</w:t>
      </w:r>
    </w:p>
  </w:footnote>
  <w:footnote w:id="19">
    <w:p w14:paraId="323D8930" w14:textId="77777777" w:rsidR="00094E96" w:rsidRPr="00764D0B" w:rsidRDefault="00094E96" w:rsidP="005D7766">
      <w:pPr>
        <w:pStyle w:val="Tekstprzypisudolnego"/>
        <w:jc w:val="both"/>
        <w:rPr>
          <w:rFonts w:ascii="Times New Roman" w:hAnsi="Times New Roman" w:cs="Times New Roman"/>
        </w:rPr>
      </w:pPr>
      <w:r w:rsidRPr="00764D0B">
        <w:rPr>
          <w:rStyle w:val="Odwoanieprzypisudolnego"/>
        </w:rPr>
        <w:footnoteRef/>
      </w:r>
      <w:r w:rsidRPr="00764D0B">
        <w:rPr>
          <w:rFonts w:ascii="Times New Roman" w:hAnsi="Times New Roman" w:cs="Times New Roman"/>
        </w:rPr>
        <w:t xml:space="preserve"> Zarządzenie Ministra Rodziny i Polityki Społecznej z dnia 29 stycznia 2021 r. w sprawie powołania Zespołu – Grupy Roboczej do spraw wsparcia przygotowania Programu Operacyjnego na lata 2021–2027 dotyczącego pomocy najbardziej potrzebującym finansowanego ze środków Europejskiego Funduszu Społecznego Plus.</w:t>
      </w:r>
    </w:p>
  </w:footnote>
  <w:footnote w:id="20">
    <w:p w14:paraId="7DC4D239" w14:textId="77777777" w:rsidR="00094E96" w:rsidRPr="003B3B4D" w:rsidRDefault="00094E96" w:rsidP="00272109">
      <w:pPr>
        <w:pStyle w:val="Tekstprzypisudolnego"/>
        <w:jc w:val="both"/>
        <w:rPr>
          <w:rFonts w:ascii="Times New Roman" w:hAnsi="Times New Roman" w:cs="Times New Roman"/>
        </w:rPr>
      </w:pPr>
      <w:r w:rsidRPr="003B3B4D">
        <w:rPr>
          <w:rStyle w:val="Odwoanieprzypisudolnego"/>
        </w:rPr>
        <w:footnoteRef/>
      </w:r>
      <w:r w:rsidRPr="003B3B4D">
        <w:rPr>
          <w:rFonts w:ascii="Times New Roman" w:hAnsi="Times New Roman" w:cs="Times New Roman"/>
        </w:rPr>
        <w:t xml:space="preserve"> Zgodnie z art. 38 ust. 5 </w:t>
      </w:r>
      <w:proofErr w:type="spellStart"/>
      <w:r w:rsidRPr="003B3B4D">
        <w:rPr>
          <w:rFonts w:ascii="Times New Roman" w:hAnsi="Times New Roman" w:cs="Times New Roman"/>
        </w:rPr>
        <w:t>rozp</w:t>
      </w:r>
      <w:proofErr w:type="spellEnd"/>
      <w:r w:rsidRPr="003B3B4D">
        <w:rPr>
          <w:rFonts w:ascii="Times New Roman" w:hAnsi="Times New Roman" w:cs="Times New Roman"/>
        </w:rPr>
        <w:t>. ogólnego, dla programów ograniczających się do</w:t>
      </w:r>
      <w:r>
        <w:rPr>
          <w:rFonts w:ascii="Times New Roman" w:hAnsi="Times New Roman" w:cs="Times New Roman"/>
        </w:rPr>
        <w:t xml:space="preserve"> wdrażania</w:t>
      </w:r>
      <w:r w:rsidRPr="003B3B4D">
        <w:rPr>
          <w:rFonts w:ascii="Times New Roman" w:hAnsi="Times New Roman" w:cs="Times New Roman"/>
        </w:rPr>
        <w:t xml:space="preserve"> celu szczegółowego określonego w art. 4 ust. 1 lit. m)</w:t>
      </w:r>
      <w:r>
        <w:rPr>
          <w:rFonts w:ascii="Times New Roman" w:hAnsi="Times New Roman" w:cs="Times New Roman"/>
        </w:rPr>
        <w:t>,</w:t>
      </w:r>
      <w:r w:rsidRPr="003B3B4D">
        <w:rPr>
          <w:rFonts w:ascii="Times New Roman" w:hAnsi="Times New Roman" w:cs="Times New Roman"/>
        </w:rPr>
        <w:t xml:space="preserve"> nie powołuje się komitetu monitorującego.</w:t>
      </w:r>
    </w:p>
  </w:footnote>
  <w:footnote w:id="21">
    <w:p w14:paraId="02C1C21B" w14:textId="77777777" w:rsidR="00094E96" w:rsidRPr="00361CFB" w:rsidRDefault="00094E96" w:rsidP="00272109">
      <w:pPr>
        <w:pStyle w:val="Tekstprzypisudolnego"/>
        <w:jc w:val="both"/>
        <w:rPr>
          <w:rFonts w:ascii="Times New Roman" w:hAnsi="Times New Roman" w:cs="Times New Roman"/>
        </w:rPr>
      </w:pPr>
      <w:r w:rsidRPr="00361CFB">
        <w:rPr>
          <w:rStyle w:val="Odwoanieprzypisudolnego"/>
        </w:rPr>
        <w:footnoteRef/>
      </w:r>
      <w:r w:rsidRPr="00361CFB">
        <w:rPr>
          <w:rFonts w:ascii="Times New Roman" w:hAnsi="Times New Roman" w:cs="Times New Roman"/>
        </w:rPr>
        <w:t xml:space="preserve"> Zgodnie z art. 41 </w:t>
      </w:r>
      <w:proofErr w:type="spellStart"/>
      <w:r w:rsidRPr="00361CFB">
        <w:rPr>
          <w:rFonts w:ascii="Times New Roman" w:hAnsi="Times New Roman" w:cs="Times New Roman"/>
        </w:rPr>
        <w:t>rozp</w:t>
      </w:r>
      <w:proofErr w:type="spellEnd"/>
      <w:r w:rsidRPr="00361CFB">
        <w:rPr>
          <w:rFonts w:ascii="Times New Roman" w:hAnsi="Times New Roman" w:cs="Times New Roman"/>
        </w:rPr>
        <w:t>. ogólnego.</w:t>
      </w:r>
    </w:p>
  </w:footnote>
  <w:footnote w:id="22">
    <w:p w14:paraId="5E4040C7" w14:textId="77777777" w:rsidR="00094E96" w:rsidRPr="0032482A" w:rsidRDefault="00094E96" w:rsidP="00272109">
      <w:pPr>
        <w:pStyle w:val="Tekstprzypisudolnego"/>
        <w:jc w:val="both"/>
        <w:rPr>
          <w:rFonts w:ascii="Times New Roman" w:hAnsi="Times New Roman" w:cs="Times New Roman"/>
        </w:rPr>
      </w:pPr>
      <w:r w:rsidRPr="0032482A">
        <w:rPr>
          <w:rStyle w:val="Odwoanieprzypisudolnego"/>
        </w:rPr>
        <w:footnoteRef/>
      </w:r>
      <w:r w:rsidRPr="0032482A">
        <w:rPr>
          <w:rFonts w:ascii="Times New Roman" w:hAnsi="Times New Roman" w:cs="Times New Roman"/>
        </w:rPr>
        <w:t xml:space="preserve"> Zgodnie z art. art. 50 ust. 3 </w:t>
      </w:r>
      <w:proofErr w:type="spellStart"/>
      <w:r w:rsidRPr="0032482A">
        <w:rPr>
          <w:rFonts w:ascii="Times New Roman" w:hAnsi="Times New Roman" w:cs="Times New Roman"/>
        </w:rPr>
        <w:t>rozp</w:t>
      </w:r>
      <w:proofErr w:type="spellEnd"/>
      <w:r w:rsidRPr="0032482A">
        <w:rPr>
          <w:rFonts w:ascii="Times New Roman" w:hAnsi="Times New Roman" w:cs="Times New Roman"/>
        </w:rPr>
        <w:t>. ogólnego.</w:t>
      </w:r>
    </w:p>
  </w:footnote>
  <w:footnote w:id="23">
    <w:p w14:paraId="6201EA42" w14:textId="77777777" w:rsidR="00094E96" w:rsidRPr="00C21111" w:rsidRDefault="00094E96" w:rsidP="00272109">
      <w:pPr>
        <w:pStyle w:val="Tekstprzypisudolnego"/>
        <w:jc w:val="both"/>
        <w:rPr>
          <w:rFonts w:ascii="Times New Roman" w:hAnsi="Times New Roman" w:cs="Times New Roman"/>
        </w:rPr>
      </w:pPr>
      <w:r w:rsidRPr="0032482A">
        <w:rPr>
          <w:rStyle w:val="Odwoanieprzypisudolnego"/>
        </w:rPr>
        <w:footnoteRef/>
      </w:r>
      <w:r w:rsidRPr="0032482A">
        <w:rPr>
          <w:rFonts w:ascii="Times New Roman" w:hAnsi="Times New Roman" w:cs="Times New Roman"/>
        </w:rPr>
        <w:t xml:space="preserve"> Środki na Operację II obejmują łącznie środki w wysokości 7% wartości żywności zakupionej w ramach Programu na transport magazynowanie i administrację oraz środki w wysokości 7% wartości żywności zakupionej w ramach Programu na prowadzenie działań towarzyszących.</w:t>
      </w:r>
      <w:r w:rsidRPr="00C21111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64BC" w14:textId="5F3B2CB0" w:rsidR="00094E96" w:rsidRPr="00DA4C4E" w:rsidRDefault="00094E96" w:rsidP="00FA3C9B">
    <w:pPr>
      <w:pStyle w:val="Nagwe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A4C4E">
      <w:rPr>
        <w:rFonts w:ascii="Times New Roman" w:hAnsi="Times New Roman" w:cs="Times New Roman"/>
        <w:b/>
        <w:bCs/>
        <w:sz w:val="24"/>
        <w:szCs w:val="24"/>
      </w:rPr>
      <w:t>FUNDUSZE EUROPEJSKIE POMOC ŻYWNOŚCIOW</w:t>
    </w:r>
    <w:r w:rsidR="0082042B">
      <w:rPr>
        <w:rFonts w:ascii="Times New Roman" w:hAnsi="Times New Roman" w:cs="Times New Roman"/>
        <w:b/>
        <w:bCs/>
        <w:sz w:val="24"/>
        <w:szCs w:val="24"/>
      </w:rPr>
      <w:t xml:space="preserve">A </w:t>
    </w:r>
    <w:r w:rsidRPr="00DA4C4E">
      <w:rPr>
        <w:rFonts w:ascii="Times New Roman" w:hAnsi="Times New Roman" w:cs="Times New Roman"/>
        <w:b/>
        <w:bCs/>
        <w:sz w:val="24"/>
        <w:szCs w:val="24"/>
      </w:rPr>
      <w:t>2021-2027</w:t>
    </w:r>
  </w:p>
  <w:p w14:paraId="5FAE3B30" w14:textId="77777777" w:rsidR="00094E96" w:rsidRDefault="00094E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69A3" w14:textId="35B59EC1" w:rsidR="00094E96" w:rsidRPr="00D35DF1" w:rsidRDefault="00094E96">
    <w:pPr>
      <w:pStyle w:val="Nagwek"/>
      <w:rPr>
        <w:rFonts w:ascii="Times New Roman" w:hAnsi="Times New Roman" w:cs="Times New Roman"/>
      </w:rPr>
    </w:pPr>
    <w:r>
      <w:rPr>
        <w:rFonts w:ascii="Century" w:eastAsia="Times New Roman" w:hAnsi="Century" w:cs="Times New Roman"/>
        <w:noProof/>
        <w:sz w:val="16"/>
        <w:szCs w:val="16"/>
        <w:lang w:val="en-IE" w:eastAsia="en-IE"/>
      </w:rPr>
      <w:drawing>
        <wp:anchor distT="0" distB="0" distL="114300" distR="114300" simplePos="0" relativeHeight="251659264" behindDoc="0" locked="0" layoutInCell="1" allowOverlap="1" wp14:anchorId="653FB485" wp14:editId="4627193F">
          <wp:simplePos x="0" y="0"/>
          <wp:positionH relativeFrom="margin">
            <wp:posOffset>0</wp:posOffset>
          </wp:positionH>
          <wp:positionV relativeFrom="paragraph">
            <wp:posOffset>-124460</wp:posOffset>
          </wp:positionV>
          <wp:extent cx="1571625" cy="5238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7766">
      <w:rPr>
        <w:rFonts w:ascii="Times New Roman" w:hAnsi="Times New Roman" w:cs="Times New Roman"/>
        <w:noProof/>
      </w:rPr>
      <w:object w:dxaOrig="1440" w:dyaOrig="1440" w14:anchorId="6A2297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193" type="#_x0000_t75" style="position:absolute;margin-left:145.75pt;margin-top:-11.95pt;width:43.5pt;height:49.7pt;z-index:251660288;visibility:visible;mso-wrap-edited:f;mso-position-horizontal-relative:text;mso-position-vertical-relative:text">
          <v:imagedata r:id="rId2" o:title=""/>
        </v:shape>
        <o:OLEObject Type="Embed" ProgID="Word.Picture.8" ShapeID="_x0000_s8193" DrawAspect="Content" ObjectID="_1698560501" r:id="rId3"/>
      </w:object>
    </w:r>
    <w:r>
      <w:rPr>
        <w:rFonts w:ascii="Times New Roman" w:eastAsia="Times New Roman" w:hAnsi="Times New Roman" w:cs="Times New Roman"/>
        <w:noProof/>
        <w:sz w:val="14"/>
        <w:szCs w:val="14"/>
        <w:lang w:val="en-IE" w:eastAsia="en-IE"/>
      </w:rPr>
      <w:drawing>
        <wp:anchor distT="0" distB="0" distL="114300" distR="114300" simplePos="0" relativeHeight="251662336" behindDoc="0" locked="0" layoutInCell="1" allowOverlap="1" wp14:anchorId="7A997632" wp14:editId="4714578D">
          <wp:simplePos x="0" y="0"/>
          <wp:positionH relativeFrom="margin">
            <wp:align>right</wp:align>
          </wp:positionH>
          <wp:positionV relativeFrom="paragraph">
            <wp:posOffset>-97155</wp:posOffset>
          </wp:positionV>
          <wp:extent cx="2279650" cy="485775"/>
          <wp:effectExtent l="0" t="0" r="635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76" b="26613"/>
                  <a:stretch/>
                </pic:blipFill>
                <pic:spPr bwMode="auto">
                  <a:xfrm>
                    <a:off x="0" y="0"/>
                    <a:ext cx="227965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D35DF1">
      <w:rPr>
        <w:rFonts w:ascii="Times New Roman" w:hAnsi="Times New Roman" w:cs="Times New Roman"/>
      </w:rPr>
      <w:t>Ministerstwo Rodziny</w:t>
    </w:r>
  </w:p>
  <w:p w14:paraId="02D73E6D" w14:textId="6FC7FFBD" w:rsidR="00094E96" w:rsidRPr="00A83E86" w:rsidRDefault="00094E96">
    <w:pPr>
      <w:pStyle w:val="Nagwek"/>
      <w:rPr>
        <w:rFonts w:ascii="Times New Roman" w:hAnsi="Times New Roman" w:cs="Times New Roman"/>
      </w:rPr>
    </w:pPr>
    <w:r w:rsidRPr="00D35DF1">
      <w:rPr>
        <w:rFonts w:ascii="Times New Roman" w:hAnsi="Times New Roman" w:cs="Times New Roman"/>
      </w:rPr>
      <w:t xml:space="preserve">                                                                         i Polityki Społecznej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8083A2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D71ED1"/>
    <w:multiLevelType w:val="hybridMultilevel"/>
    <w:tmpl w:val="DE5C0D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E14F9"/>
    <w:multiLevelType w:val="hybridMultilevel"/>
    <w:tmpl w:val="AC7217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81525"/>
    <w:multiLevelType w:val="hybridMultilevel"/>
    <w:tmpl w:val="9E5A55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FFC00CC">
      <w:start w:val="7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E49B4"/>
    <w:multiLevelType w:val="hybridMultilevel"/>
    <w:tmpl w:val="733423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D4961"/>
    <w:multiLevelType w:val="hybridMultilevel"/>
    <w:tmpl w:val="6FF0A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C1D52"/>
    <w:multiLevelType w:val="hybridMultilevel"/>
    <w:tmpl w:val="8EDE74E8"/>
    <w:lvl w:ilvl="0" w:tplc="4DA29F60">
      <w:start w:val="1"/>
      <w:numFmt w:val="bullet"/>
      <w:pStyle w:val="CoffeyBullet1"/>
      <w:lvlText w:val=""/>
      <w:lvlJc w:val="left"/>
      <w:pPr>
        <w:ind w:left="720" w:hanging="360"/>
      </w:pPr>
      <w:rPr>
        <w:rFonts w:ascii="Symbol" w:hAnsi="Symbol" w:cs="Symbol" w:hint="default"/>
        <w:color w:val="629DD1" w:themeColor="accen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76744"/>
    <w:multiLevelType w:val="hybridMultilevel"/>
    <w:tmpl w:val="E0EE90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D1015"/>
    <w:multiLevelType w:val="hybridMultilevel"/>
    <w:tmpl w:val="58DA00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B6854"/>
    <w:multiLevelType w:val="hybridMultilevel"/>
    <w:tmpl w:val="583693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A4F26"/>
    <w:multiLevelType w:val="hybridMultilevel"/>
    <w:tmpl w:val="3E246B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96C6B"/>
    <w:multiLevelType w:val="hybridMultilevel"/>
    <w:tmpl w:val="1D685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C096D"/>
    <w:multiLevelType w:val="hybridMultilevel"/>
    <w:tmpl w:val="FD86C210"/>
    <w:lvl w:ilvl="0" w:tplc="2FC043F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F7E3E"/>
    <w:multiLevelType w:val="hybridMultilevel"/>
    <w:tmpl w:val="D93E96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5073B"/>
    <w:multiLevelType w:val="hybridMultilevel"/>
    <w:tmpl w:val="00645C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92412"/>
    <w:multiLevelType w:val="hybridMultilevel"/>
    <w:tmpl w:val="104CB6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B28E9"/>
    <w:multiLevelType w:val="hybridMultilevel"/>
    <w:tmpl w:val="973ECC82"/>
    <w:lvl w:ilvl="0" w:tplc="32402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041EA"/>
    <w:multiLevelType w:val="hybridMultilevel"/>
    <w:tmpl w:val="CC1CE5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8"/>
  </w:num>
  <w:num w:numId="5">
    <w:abstractNumId w:val="2"/>
  </w:num>
  <w:num w:numId="6">
    <w:abstractNumId w:val="7"/>
  </w:num>
  <w:num w:numId="7">
    <w:abstractNumId w:val="13"/>
  </w:num>
  <w:num w:numId="8">
    <w:abstractNumId w:val="10"/>
  </w:num>
  <w:num w:numId="9">
    <w:abstractNumId w:val="14"/>
  </w:num>
  <w:num w:numId="10">
    <w:abstractNumId w:val="12"/>
  </w:num>
  <w:num w:numId="11">
    <w:abstractNumId w:val="4"/>
  </w:num>
  <w:num w:numId="12">
    <w:abstractNumId w:val="17"/>
  </w:num>
  <w:num w:numId="13">
    <w:abstractNumId w:val="9"/>
  </w:num>
  <w:num w:numId="14">
    <w:abstractNumId w:val="3"/>
  </w:num>
  <w:num w:numId="15">
    <w:abstractNumId w:val="0"/>
  </w:num>
  <w:num w:numId="16">
    <w:abstractNumId w:val="5"/>
  </w:num>
  <w:num w:numId="17">
    <w:abstractNumId w:val="16"/>
  </w:num>
  <w:num w:numId="1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86810"/>
    <w:rsid w:val="00000D74"/>
    <w:rsid w:val="00001228"/>
    <w:rsid w:val="00001735"/>
    <w:rsid w:val="0000288E"/>
    <w:rsid w:val="00003369"/>
    <w:rsid w:val="0000354C"/>
    <w:rsid w:val="000064E0"/>
    <w:rsid w:val="00006C7A"/>
    <w:rsid w:val="000072CC"/>
    <w:rsid w:val="00007418"/>
    <w:rsid w:val="000107D9"/>
    <w:rsid w:val="00010F0F"/>
    <w:rsid w:val="00015174"/>
    <w:rsid w:val="00015C56"/>
    <w:rsid w:val="00015C81"/>
    <w:rsid w:val="0001649B"/>
    <w:rsid w:val="00016D03"/>
    <w:rsid w:val="0001793F"/>
    <w:rsid w:val="00017BEA"/>
    <w:rsid w:val="00020591"/>
    <w:rsid w:val="00022A07"/>
    <w:rsid w:val="00023B7F"/>
    <w:rsid w:val="000270B3"/>
    <w:rsid w:val="00027E8E"/>
    <w:rsid w:val="000309B2"/>
    <w:rsid w:val="0003208D"/>
    <w:rsid w:val="00033638"/>
    <w:rsid w:val="00035461"/>
    <w:rsid w:val="00036419"/>
    <w:rsid w:val="0003793B"/>
    <w:rsid w:val="00037EE1"/>
    <w:rsid w:val="00037F70"/>
    <w:rsid w:val="0004082D"/>
    <w:rsid w:val="000408C8"/>
    <w:rsid w:val="00041A3A"/>
    <w:rsid w:val="00041D25"/>
    <w:rsid w:val="00041DA1"/>
    <w:rsid w:val="00041E97"/>
    <w:rsid w:val="000427F1"/>
    <w:rsid w:val="00042BC7"/>
    <w:rsid w:val="0004356D"/>
    <w:rsid w:val="000439CA"/>
    <w:rsid w:val="0004526B"/>
    <w:rsid w:val="000471E6"/>
    <w:rsid w:val="00047334"/>
    <w:rsid w:val="00051724"/>
    <w:rsid w:val="0005187D"/>
    <w:rsid w:val="000518E5"/>
    <w:rsid w:val="00052D2D"/>
    <w:rsid w:val="00054F78"/>
    <w:rsid w:val="00055675"/>
    <w:rsid w:val="00057821"/>
    <w:rsid w:val="00057ACE"/>
    <w:rsid w:val="00057E91"/>
    <w:rsid w:val="00060106"/>
    <w:rsid w:val="00060337"/>
    <w:rsid w:val="00060721"/>
    <w:rsid w:val="0006109F"/>
    <w:rsid w:val="000617C3"/>
    <w:rsid w:val="0006392D"/>
    <w:rsid w:val="00063B84"/>
    <w:rsid w:val="0006447B"/>
    <w:rsid w:val="000654A6"/>
    <w:rsid w:val="00065921"/>
    <w:rsid w:val="00070F2C"/>
    <w:rsid w:val="0007196E"/>
    <w:rsid w:val="000722E8"/>
    <w:rsid w:val="00072A44"/>
    <w:rsid w:val="00072AA7"/>
    <w:rsid w:val="000738BF"/>
    <w:rsid w:val="00073E9E"/>
    <w:rsid w:val="00074D07"/>
    <w:rsid w:val="0008033D"/>
    <w:rsid w:val="00081A91"/>
    <w:rsid w:val="00081C5D"/>
    <w:rsid w:val="000821F3"/>
    <w:rsid w:val="000828AF"/>
    <w:rsid w:val="00083F47"/>
    <w:rsid w:val="000844C3"/>
    <w:rsid w:val="0008613F"/>
    <w:rsid w:val="000865B8"/>
    <w:rsid w:val="00086E4B"/>
    <w:rsid w:val="0008760E"/>
    <w:rsid w:val="000879D5"/>
    <w:rsid w:val="0009048A"/>
    <w:rsid w:val="000909E2"/>
    <w:rsid w:val="0009135B"/>
    <w:rsid w:val="000913BE"/>
    <w:rsid w:val="000913D5"/>
    <w:rsid w:val="00091F88"/>
    <w:rsid w:val="000920B8"/>
    <w:rsid w:val="000922FD"/>
    <w:rsid w:val="00093B6D"/>
    <w:rsid w:val="00094ACD"/>
    <w:rsid w:val="00094BD6"/>
    <w:rsid w:val="00094E96"/>
    <w:rsid w:val="0009558A"/>
    <w:rsid w:val="000957F4"/>
    <w:rsid w:val="00095B96"/>
    <w:rsid w:val="00095DD1"/>
    <w:rsid w:val="00095EB9"/>
    <w:rsid w:val="00096BCE"/>
    <w:rsid w:val="0009796C"/>
    <w:rsid w:val="00097FE3"/>
    <w:rsid w:val="000A0670"/>
    <w:rsid w:val="000A10F4"/>
    <w:rsid w:val="000A1C9F"/>
    <w:rsid w:val="000A21D0"/>
    <w:rsid w:val="000A28FE"/>
    <w:rsid w:val="000A4DF4"/>
    <w:rsid w:val="000A4ED2"/>
    <w:rsid w:val="000A51C9"/>
    <w:rsid w:val="000A7321"/>
    <w:rsid w:val="000B0D2D"/>
    <w:rsid w:val="000B159A"/>
    <w:rsid w:val="000B2A48"/>
    <w:rsid w:val="000B3110"/>
    <w:rsid w:val="000B41D3"/>
    <w:rsid w:val="000B4A9B"/>
    <w:rsid w:val="000B6331"/>
    <w:rsid w:val="000C0C72"/>
    <w:rsid w:val="000C1881"/>
    <w:rsid w:val="000C1EC5"/>
    <w:rsid w:val="000C26FD"/>
    <w:rsid w:val="000C277C"/>
    <w:rsid w:val="000C4459"/>
    <w:rsid w:val="000C5143"/>
    <w:rsid w:val="000C5412"/>
    <w:rsid w:val="000C5AF5"/>
    <w:rsid w:val="000C5FB3"/>
    <w:rsid w:val="000C6963"/>
    <w:rsid w:val="000C6CA6"/>
    <w:rsid w:val="000C7BF8"/>
    <w:rsid w:val="000D1451"/>
    <w:rsid w:val="000D1A21"/>
    <w:rsid w:val="000D2FC8"/>
    <w:rsid w:val="000D422A"/>
    <w:rsid w:val="000D59B7"/>
    <w:rsid w:val="000D6E0B"/>
    <w:rsid w:val="000D7FD7"/>
    <w:rsid w:val="000E2982"/>
    <w:rsid w:val="000E5CB6"/>
    <w:rsid w:val="000E5E55"/>
    <w:rsid w:val="000F0195"/>
    <w:rsid w:val="000F087A"/>
    <w:rsid w:val="000F0BD6"/>
    <w:rsid w:val="000F3264"/>
    <w:rsid w:val="000F3AB8"/>
    <w:rsid w:val="000F3CED"/>
    <w:rsid w:val="000F43A0"/>
    <w:rsid w:val="000F443B"/>
    <w:rsid w:val="000F4F1C"/>
    <w:rsid w:val="0010050C"/>
    <w:rsid w:val="00100E92"/>
    <w:rsid w:val="00100EF3"/>
    <w:rsid w:val="001010E6"/>
    <w:rsid w:val="00101110"/>
    <w:rsid w:val="00101807"/>
    <w:rsid w:val="00102BBF"/>
    <w:rsid w:val="0010386E"/>
    <w:rsid w:val="00103CA4"/>
    <w:rsid w:val="00104C8C"/>
    <w:rsid w:val="00111407"/>
    <w:rsid w:val="00111E8D"/>
    <w:rsid w:val="00112813"/>
    <w:rsid w:val="0011294E"/>
    <w:rsid w:val="00113733"/>
    <w:rsid w:val="00114732"/>
    <w:rsid w:val="00114B57"/>
    <w:rsid w:val="00115F79"/>
    <w:rsid w:val="00116E5F"/>
    <w:rsid w:val="00116EAA"/>
    <w:rsid w:val="001215D7"/>
    <w:rsid w:val="00121AFD"/>
    <w:rsid w:val="00122968"/>
    <w:rsid w:val="00122986"/>
    <w:rsid w:val="00122DC6"/>
    <w:rsid w:val="001235EB"/>
    <w:rsid w:val="00123670"/>
    <w:rsid w:val="001238FE"/>
    <w:rsid w:val="00123FDA"/>
    <w:rsid w:val="001301BC"/>
    <w:rsid w:val="001314D5"/>
    <w:rsid w:val="00131A27"/>
    <w:rsid w:val="0013275A"/>
    <w:rsid w:val="001331DE"/>
    <w:rsid w:val="00133E37"/>
    <w:rsid w:val="001347FB"/>
    <w:rsid w:val="00136CBE"/>
    <w:rsid w:val="00140EED"/>
    <w:rsid w:val="0014195C"/>
    <w:rsid w:val="00142433"/>
    <w:rsid w:val="00142C8C"/>
    <w:rsid w:val="00144019"/>
    <w:rsid w:val="00144481"/>
    <w:rsid w:val="00144B08"/>
    <w:rsid w:val="00144B09"/>
    <w:rsid w:val="00144C91"/>
    <w:rsid w:val="00144F18"/>
    <w:rsid w:val="0014564C"/>
    <w:rsid w:val="00145DDF"/>
    <w:rsid w:val="00146184"/>
    <w:rsid w:val="001465E2"/>
    <w:rsid w:val="00147C50"/>
    <w:rsid w:val="00150DA8"/>
    <w:rsid w:val="00150EF8"/>
    <w:rsid w:val="00150FEC"/>
    <w:rsid w:val="00151817"/>
    <w:rsid w:val="00151B27"/>
    <w:rsid w:val="00151DBE"/>
    <w:rsid w:val="00152C6E"/>
    <w:rsid w:val="00154B1B"/>
    <w:rsid w:val="0015525C"/>
    <w:rsid w:val="001564C2"/>
    <w:rsid w:val="00156F12"/>
    <w:rsid w:val="0016051A"/>
    <w:rsid w:val="00160BE6"/>
    <w:rsid w:val="00160E48"/>
    <w:rsid w:val="0016139E"/>
    <w:rsid w:val="001627E5"/>
    <w:rsid w:val="00162B73"/>
    <w:rsid w:val="00162BD5"/>
    <w:rsid w:val="00162E7F"/>
    <w:rsid w:val="0016303F"/>
    <w:rsid w:val="001633F3"/>
    <w:rsid w:val="00164AEB"/>
    <w:rsid w:val="00165227"/>
    <w:rsid w:val="00166E1B"/>
    <w:rsid w:val="0017187D"/>
    <w:rsid w:val="001719F5"/>
    <w:rsid w:val="001742E8"/>
    <w:rsid w:val="0017440A"/>
    <w:rsid w:val="00174D9E"/>
    <w:rsid w:val="00174FC7"/>
    <w:rsid w:val="001759D3"/>
    <w:rsid w:val="00175A08"/>
    <w:rsid w:val="00175B51"/>
    <w:rsid w:val="00175DF8"/>
    <w:rsid w:val="00176676"/>
    <w:rsid w:val="00176960"/>
    <w:rsid w:val="00177FF9"/>
    <w:rsid w:val="00180366"/>
    <w:rsid w:val="00180436"/>
    <w:rsid w:val="001807AC"/>
    <w:rsid w:val="00180D24"/>
    <w:rsid w:val="00182CA7"/>
    <w:rsid w:val="00182F8D"/>
    <w:rsid w:val="00184C3E"/>
    <w:rsid w:val="001862FB"/>
    <w:rsid w:val="00187963"/>
    <w:rsid w:val="00187EF5"/>
    <w:rsid w:val="001900C4"/>
    <w:rsid w:val="00190573"/>
    <w:rsid w:val="00190B6E"/>
    <w:rsid w:val="00193789"/>
    <w:rsid w:val="001946E2"/>
    <w:rsid w:val="001947D8"/>
    <w:rsid w:val="00196DD4"/>
    <w:rsid w:val="00196FD0"/>
    <w:rsid w:val="001A02F6"/>
    <w:rsid w:val="001A1321"/>
    <w:rsid w:val="001A209E"/>
    <w:rsid w:val="001A2986"/>
    <w:rsid w:val="001A2BFD"/>
    <w:rsid w:val="001A2F1B"/>
    <w:rsid w:val="001A3971"/>
    <w:rsid w:val="001A478B"/>
    <w:rsid w:val="001A4ABD"/>
    <w:rsid w:val="001A59C9"/>
    <w:rsid w:val="001A5F9A"/>
    <w:rsid w:val="001A7BBA"/>
    <w:rsid w:val="001A7E33"/>
    <w:rsid w:val="001B285A"/>
    <w:rsid w:val="001B3A40"/>
    <w:rsid w:val="001B3AC0"/>
    <w:rsid w:val="001B3E3E"/>
    <w:rsid w:val="001B3E47"/>
    <w:rsid w:val="001B3F08"/>
    <w:rsid w:val="001B48B6"/>
    <w:rsid w:val="001B49B7"/>
    <w:rsid w:val="001B4B01"/>
    <w:rsid w:val="001B4B45"/>
    <w:rsid w:val="001B64F2"/>
    <w:rsid w:val="001B6C6A"/>
    <w:rsid w:val="001B768D"/>
    <w:rsid w:val="001C09CD"/>
    <w:rsid w:val="001C239B"/>
    <w:rsid w:val="001C2E02"/>
    <w:rsid w:val="001C2E57"/>
    <w:rsid w:val="001C2EFA"/>
    <w:rsid w:val="001C348B"/>
    <w:rsid w:val="001C40CA"/>
    <w:rsid w:val="001C584D"/>
    <w:rsid w:val="001C6189"/>
    <w:rsid w:val="001C6259"/>
    <w:rsid w:val="001C7B49"/>
    <w:rsid w:val="001D07A2"/>
    <w:rsid w:val="001D0BE7"/>
    <w:rsid w:val="001D117C"/>
    <w:rsid w:val="001D387C"/>
    <w:rsid w:val="001D3B16"/>
    <w:rsid w:val="001D460B"/>
    <w:rsid w:val="001D514E"/>
    <w:rsid w:val="001D55B3"/>
    <w:rsid w:val="001D5664"/>
    <w:rsid w:val="001D5D73"/>
    <w:rsid w:val="001D652B"/>
    <w:rsid w:val="001D6959"/>
    <w:rsid w:val="001D742B"/>
    <w:rsid w:val="001D797A"/>
    <w:rsid w:val="001E0412"/>
    <w:rsid w:val="001E090E"/>
    <w:rsid w:val="001E11A3"/>
    <w:rsid w:val="001E18D8"/>
    <w:rsid w:val="001E1BE7"/>
    <w:rsid w:val="001E44F6"/>
    <w:rsid w:val="001E4651"/>
    <w:rsid w:val="001E49AA"/>
    <w:rsid w:val="001E6A06"/>
    <w:rsid w:val="001E6A62"/>
    <w:rsid w:val="001E723C"/>
    <w:rsid w:val="001E7FFE"/>
    <w:rsid w:val="001F02F5"/>
    <w:rsid w:val="001F07C7"/>
    <w:rsid w:val="001F0A14"/>
    <w:rsid w:val="001F1CD7"/>
    <w:rsid w:val="001F2A96"/>
    <w:rsid w:val="001F344D"/>
    <w:rsid w:val="001F4528"/>
    <w:rsid w:val="001F4B14"/>
    <w:rsid w:val="001F517D"/>
    <w:rsid w:val="001F571D"/>
    <w:rsid w:val="001F6F6E"/>
    <w:rsid w:val="001F75D2"/>
    <w:rsid w:val="00203709"/>
    <w:rsid w:val="00204435"/>
    <w:rsid w:val="00205DF2"/>
    <w:rsid w:val="00206BEB"/>
    <w:rsid w:val="0021037B"/>
    <w:rsid w:val="0021147B"/>
    <w:rsid w:val="00212229"/>
    <w:rsid w:val="00212985"/>
    <w:rsid w:val="002139C2"/>
    <w:rsid w:val="00213FBD"/>
    <w:rsid w:val="00213FE3"/>
    <w:rsid w:val="00217614"/>
    <w:rsid w:val="00221AC0"/>
    <w:rsid w:val="00221C9C"/>
    <w:rsid w:val="00222160"/>
    <w:rsid w:val="00222FF6"/>
    <w:rsid w:val="002232AD"/>
    <w:rsid w:val="00223F57"/>
    <w:rsid w:val="0022421B"/>
    <w:rsid w:val="00224A8C"/>
    <w:rsid w:val="002251A4"/>
    <w:rsid w:val="002267E1"/>
    <w:rsid w:val="00231C39"/>
    <w:rsid w:val="00231CEE"/>
    <w:rsid w:val="00232566"/>
    <w:rsid w:val="002325A7"/>
    <w:rsid w:val="0023361C"/>
    <w:rsid w:val="00233C15"/>
    <w:rsid w:val="00233EDB"/>
    <w:rsid w:val="0023403E"/>
    <w:rsid w:val="00235541"/>
    <w:rsid w:val="002356BE"/>
    <w:rsid w:val="00235946"/>
    <w:rsid w:val="00235E1D"/>
    <w:rsid w:val="002370E8"/>
    <w:rsid w:val="002416CA"/>
    <w:rsid w:val="00241D20"/>
    <w:rsid w:val="00242EAD"/>
    <w:rsid w:val="002434C8"/>
    <w:rsid w:val="0024498C"/>
    <w:rsid w:val="00244D77"/>
    <w:rsid w:val="002454AD"/>
    <w:rsid w:val="002468B7"/>
    <w:rsid w:val="00246B70"/>
    <w:rsid w:val="00247AE2"/>
    <w:rsid w:val="00250B5C"/>
    <w:rsid w:val="0025167A"/>
    <w:rsid w:val="0025241B"/>
    <w:rsid w:val="002534EE"/>
    <w:rsid w:val="00253ECF"/>
    <w:rsid w:val="002543A6"/>
    <w:rsid w:val="00257211"/>
    <w:rsid w:val="00257304"/>
    <w:rsid w:val="002604DB"/>
    <w:rsid w:val="00261DB7"/>
    <w:rsid w:val="0026247A"/>
    <w:rsid w:val="00262A8B"/>
    <w:rsid w:val="002641FF"/>
    <w:rsid w:val="00264714"/>
    <w:rsid w:val="00265B38"/>
    <w:rsid w:val="00266083"/>
    <w:rsid w:val="002674EB"/>
    <w:rsid w:val="00270234"/>
    <w:rsid w:val="00270239"/>
    <w:rsid w:val="00270283"/>
    <w:rsid w:val="00272109"/>
    <w:rsid w:val="002722BB"/>
    <w:rsid w:val="0027393F"/>
    <w:rsid w:val="00274CF7"/>
    <w:rsid w:val="0027527B"/>
    <w:rsid w:val="002762FE"/>
    <w:rsid w:val="00276901"/>
    <w:rsid w:val="002806E9"/>
    <w:rsid w:val="002811E5"/>
    <w:rsid w:val="00281A06"/>
    <w:rsid w:val="002834F4"/>
    <w:rsid w:val="00284A18"/>
    <w:rsid w:val="00285419"/>
    <w:rsid w:val="00286A59"/>
    <w:rsid w:val="002871A3"/>
    <w:rsid w:val="00290714"/>
    <w:rsid w:val="002927A7"/>
    <w:rsid w:val="00294AA2"/>
    <w:rsid w:val="00296593"/>
    <w:rsid w:val="002972AB"/>
    <w:rsid w:val="00297BD7"/>
    <w:rsid w:val="002A0996"/>
    <w:rsid w:val="002A10B1"/>
    <w:rsid w:val="002A1721"/>
    <w:rsid w:val="002A344C"/>
    <w:rsid w:val="002A39CA"/>
    <w:rsid w:val="002A3F3B"/>
    <w:rsid w:val="002A68F9"/>
    <w:rsid w:val="002A6C1A"/>
    <w:rsid w:val="002A6DF5"/>
    <w:rsid w:val="002A6EE2"/>
    <w:rsid w:val="002B0253"/>
    <w:rsid w:val="002B06B3"/>
    <w:rsid w:val="002B1FDB"/>
    <w:rsid w:val="002B28A3"/>
    <w:rsid w:val="002B4629"/>
    <w:rsid w:val="002B56A2"/>
    <w:rsid w:val="002B5FB5"/>
    <w:rsid w:val="002B6644"/>
    <w:rsid w:val="002B681A"/>
    <w:rsid w:val="002B6C02"/>
    <w:rsid w:val="002C0A40"/>
    <w:rsid w:val="002C0BA5"/>
    <w:rsid w:val="002C217B"/>
    <w:rsid w:val="002C226B"/>
    <w:rsid w:val="002C3798"/>
    <w:rsid w:val="002C413B"/>
    <w:rsid w:val="002C41DC"/>
    <w:rsid w:val="002C6EE1"/>
    <w:rsid w:val="002C7641"/>
    <w:rsid w:val="002D0E32"/>
    <w:rsid w:val="002D1CE0"/>
    <w:rsid w:val="002D1F61"/>
    <w:rsid w:val="002D240B"/>
    <w:rsid w:val="002D267F"/>
    <w:rsid w:val="002D3C99"/>
    <w:rsid w:val="002D4135"/>
    <w:rsid w:val="002D4AE4"/>
    <w:rsid w:val="002D5020"/>
    <w:rsid w:val="002D5D38"/>
    <w:rsid w:val="002D637E"/>
    <w:rsid w:val="002D6C6E"/>
    <w:rsid w:val="002D7FE6"/>
    <w:rsid w:val="002E07C8"/>
    <w:rsid w:val="002E1194"/>
    <w:rsid w:val="002E11DD"/>
    <w:rsid w:val="002E13FD"/>
    <w:rsid w:val="002E15A8"/>
    <w:rsid w:val="002E1D4D"/>
    <w:rsid w:val="002E2C6A"/>
    <w:rsid w:val="002E2D2F"/>
    <w:rsid w:val="002E382F"/>
    <w:rsid w:val="002E3F42"/>
    <w:rsid w:val="002E45F2"/>
    <w:rsid w:val="002E4640"/>
    <w:rsid w:val="002E50C9"/>
    <w:rsid w:val="002E5EBB"/>
    <w:rsid w:val="002E68CB"/>
    <w:rsid w:val="002F09BE"/>
    <w:rsid w:val="002F1B48"/>
    <w:rsid w:val="002F41E8"/>
    <w:rsid w:val="002F5D54"/>
    <w:rsid w:val="002F5F55"/>
    <w:rsid w:val="003017D1"/>
    <w:rsid w:val="00304826"/>
    <w:rsid w:val="003051B4"/>
    <w:rsid w:val="00305787"/>
    <w:rsid w:val="00305A4F"/>
    <w:rsid w:val="00306B21"/>
    <w:rsid w:val="00306B7E"/>
    <w:rsid w:val="00307533"/>
    <w:rsid w:val="00312030"/>
    <w:rsid w:val="003129F4"/>
    <w:rsid w:val="00313D37"/>
    <w:rsid w:val="00314348"/>
    <w:rsid w:val="00316263"/>
    <w:rsid w:val="0031635E"/>
    <w:rsid w:val="0031769E"/>
    <w:rsid w:val="00317A8C"/>
    <w:rsid w:val="00320870"/>
    <w:rsid w:val="00320A62"/>
    <w:rsid w:val="0032123C"/>
    <w:rsid w:val="003220D8"/>
    <w:rsid w:val="00322641"/>
    <w:rsid w:val="00322BA5"/>
    <w:rsid w:val="0032482A"/>
    <w:rsid w:val="003255CC"/>
    <w:rsid w:val="003256BB"/>
    <w:rsid w:val="0032718D"/>
    <w:rsid w:val="003305D0"/>
    <w:rsid w:val="003315B9"/>
    <w:rsid w:val="00332D1A"/>
    <w:rsid w:val="00333091"/>
    <w:rsid w:val="00333B38"/>
    <w:rsid w:val="00333F5D"/>
    <w:rsid w:val="00335BFF"/>
    <w:rsid w:val="003369A5"/>
    <w:rsid w:val="00336C0D"/>
    <w:rsid w:val="0033785D"/>
    <w:rsid w:val="00337F2D"/>
    <w:rsid w:val="003405E9"/>
    <w:rsid w:val="0034151C"/>
    <w:rsid w:val="00341F49"/>
    <w:rsid w:val="003426BA"/>
    <w:rsid w:val="003428A2"/>
    <w:rsid w:val="00342A73"/>
    <w:rsid w:val="00343574"/>
    <w:rsid w:val="00343ADD"/>
    <w:rsid w:val="00343C86"/>
    <w:rsid w:val="003445ED"/>
    <w:rsid w:val="0034463F"/>
    <w:rsid w:val="003459F3"/>
    <w:rsid w:val="00345F42"/>
    <w:rsid w:val="00346333"/>
    <w:rsid w:val="00346787"/>
    <w:rsid w:val="00350841"/>
    <w:rsid w:val="003508FE"/>
    <w:rsid w:val="00350921"/>
    <w:rsid w:val="0035180D"/>
    <w:rsid w:val="00352C80"/>
    <w:rsid w:val="00352F7B"/>
    <w:rsid w:val="003536A1"/>
    <w:rsid w:val="00355D03"/>
    <w:rsid w:val="00355FE4"/>
    <w:rsid w:val="003562CE"/>
    <w:rsid w:val="00356BFD"/>
    <w:rsid w:val="003603EB"/>
    <w:rsid w:val="00360482"/>
    <w:rsid w:val="00360DD4"/>
    <w:rsid w:val="00361CFB"/>
    <w:rsid w:val="00361F0F"/>
    <w:rsid w:val="00361F36"/>
    <w:rsid w:val="0036211E"/>
    <w:rsid w:val="003625A8"/>
    <w:rsid w:val="003626BE"/>
    <w:rsid w:val="00363C0F"/>
    <w:rsid w:val="00363FF2"/>
    <w:rsid w:val="00364482"/>
    <w:rsid w:val="00365187"/>
    <w:rsid w:val="00367170"/>
    <w:rsid w:val="00367AD6"/>
    <w:rsid w:val="00367F77"/>
    <w:rsid w:val="003707AB"/>
    <w:rsid w:val="00371A46"/>
    <w:rsid w:val="00372132"/>
    <w:rsid w:val="003725E5"/>
    <w:rsid w:val="00372C0E"/>
    <w:rsid w:val="00372E43"/>
    <w:rsid w:val="0037317B"/>
    <w:rsid w:val="00373F87"/>
    <w:rsid w:val="00374B5B"/>
    <w:rsid w:val="00375214"/>
    <w:rsid w:val="0037592F"/>
    <w:rsid w:val="00375F44"/>
    <w:rsid w:val="003763D3"/>
    <w:rsid w:val="0037712A"/>
    <w:rsid w:val="003777F3"/>
    <w:rsid w:val="003806D8"/>
    <w:rsid w:val="00380C15"/>
    <w:rsid w:val="00380CAA"/>
    <w:rsid w:val="00382C3F"/>
    <w:rsid w:val="003830DE"/>
    <w:rsid w:val="00383FFB"/>
    <w:rsid w:val="003847F8"/>
    <w:rsid w:val="00384957"/>
    <w:rsid w:val="00384C99"/>
    <w:rsid w:val="00385281"/>
    <w:rsid w:val="00386CE4"/>
    <w:rsid w:val="00386FA5"/>
    <w:rsid w:val="00387319"/>
    <w:rsid w:val="0038778B"/>
    <w:rsid w:val="0039032D"/>
    <w:rsid w:val="00390DF2"/>
    <w:rsid w:val="00391CB6"/>
    <w:rsid w:val="00392EB0"/>
    <w:rsid w:val="003944A8"/>
    <w:rsid w:val="00397CAA"/>
    <w:rsid w:val="00397E46"/>
    <w:rsid w:val="003A0CFE"/>
    <w:rsid w:val="003A19C5"/>
    <w:rsid w:val="003A2B7A"/>
    <w:rsid w:val="003A3CC5"/>
    <w:rsid w:val="003A69FB"/>
    <w:rsid w:val="003A7ED2"/>
    <w:rsid w:val="003B0873"/>
    <w:rsid w:val="003B20CC"/>
    <w:rsid w:val="003B308F"/>
    <w:rsid w:val="003B3B4D"/>
    <w:rsid w:val="003B44B5"/>
    <w:rsid w:val="003B52E9"/>
    <w:rsid w:val="003B54AF"/>
    <w:rsid w:val="003B581D"/>
    <w:rsid w:val="003B6351"/>
    <w:rsid w:val="003B6DCD"/>
    <w:rsid w:val="003C020C"/>
    <w:rsid w:val="003C2456"/>
    <w:rsid w:val="003C29BE"/>
    <w:rsid w:val="003C2C39"/>
    <w:rsid w:val="003C305A"/>
    <w:rsid w:val="003C37E7"/>
    <w:rsid w:val="003C4768"/>
    <w:rsid w:val="003C50A7"/>
    <w:rsid w:val="003C7868"/>
    <w:rsid w:val="003C7FE7"/>
    <w:rsid w:val="003D03B1"/>
    <w:rsid w:val="003D1E2E"/>
    <w:rsid w:val="003D1FC9"/>
    <w:rsid w:val="003D32CE"/>
    <w:rsid w:val="003D41CB"/>
    <w:rsid w:val="003D7A27"/>
    <w:rsid w:val="003E1355"/>
    <w:rsid w:val="003E15DD"/>
    <w:rsid w:val="003E1745"/>
    <w:rsid w:val="003E1EDF"/>
    <w:rsid w:val="003E29F2"/>
    <w:rsid w:val="003E37E0"/>
    <w:rsid w:val="003E3A06"/>
    <w:rsid w:val="003E3C69"/>
    <w:rsid w:val="003E4842"/>
    <w:rsid w:val="003E4CB3"/>
    <w:rsid w:val="003E5F8F"/>
    <w:rsid w:val="003E6967"/>
    <w:rsid w:val="003E6CC8"/>
    <w:rsid w:val="003E729F"/>
    <w:rsid w:val="003E78DE"/>
    <w:rsid w:val="003F1286"/>
    <w:rsid w:val="003F1694"/>
    <w:rsid w:val="003F1BD0"/>
    <w:rsid w:val="003F22C3"/>
    <w:rsid w:val="003F32E1"/>
    <w:rsid w:val="003F3337"/>
    <w:rsid w:val="003F4039"/>
    <w:rsid w:val="003F47CF"/>
    <w:rsid w:val="003F4903"/>
    <w:rsid w:val="003F491A"/>
    <w:rsid w:val="003F4FE1"/>
    <w:rsid w:val="00401F25"/>
    <w:rsid w:val="00403E83"/>
    <w:rsid w:val="00404494"/>
    <w:rsid w:val="00404976"/>
    <w:rsid w:val="00404D09"/>
    <w:rsid w:val="00406A44"/>
    <w:rsid w:val="00407C47"/>
    <w:rsid w:val="004103BD"/>
    <w:rsid w:val="00410AD4"/>
    <w:rsid w:val="00410BB5"/>
    <w:rsid w:val="00410C1B"/>
    <w:rsid w:val="00410D92"/>
    <w:rsid w:val="00411880"/>
    <w:rsid w:val="00412A4E"/>
    <w:rsid w:val="004152F5"/>
    <w:rsid w:val="00415BE0"/>
    <w:rsid w:val="00417226"/>
    <w:rsid w:val="00417381"/>
    <w:rsid w:val="00417D60"/>
    <w:rsid w:val="004233E5"/>
    <w:rsid w:val="00423692"/>
    <w:rsid w:val="00425618"/>
    <w:rsid w:val="00425C79"/>
    <w:rsid w:val="004266D1"/>
    <w:rsid w:val="00426703"/>
    <w:rsid w:val="00427184"/>
    <w:rsid w:val="00427642"/>
    <w:rsid w:val="00427C8C"/>
    <w:rsid w:val="004304AA"/>
    <w:rsid w:val="00430C0D"/>
    <w:rsid w:val="00430CBA"/>
    <w:rsid w:val="004314C3"/>
    <w:rsid w:val="00431524"/>
    <w:rsid w:val="00432FA4"/>
    <w:rsid w:val="0043341E"/>
    <w:rsid w:val="004340F6"/>
    <w:rsid w:val="004364E1"/>
    <w:rsid w:val="00436F9C"/>
    <w:rsid w:val="004371D3"/>
    <w:rsid w:val="0044063B"/>
    <w:rsid w:val="00441D42"/>
    <w:rsid w:val="0044282E"/>
    <w:rsid w:val="00442BE0"/>
    <w:rsid w:val="00442EC7"/>
    <w:rsid w:val="00443D6B"/>
    <w:rsid w:val="0044406C"/>
    <w:rsid w:val="00444623"/>
    <w:rsid w:val="00444675"/>
    <w:rsid w:val="00445784"/>
    <w:rsid w:val="00445C66"/>
    <w:rsid w:val="004462EF"/>
    <w:rsid w:val="00446465"/>
    <w:rsid w:val="00451404"/>
    <w:rsid w:val="00451541"/>
    <w:rsid w:val="004524FF"/>
    <w:rsid w:val="0045277B"/>
    <w:rsid w:val="00452CAF"/>
    <w:rsid w:val="0045319A"/>
    <w:rsid w:val="00454D78"/>
    <w:rsid w:val="00455A5B"/>
    <w:rsid w:val="00457389"/>
    <w:rsid w:val="00460FFD"/>
    <w:rsid w:val="0046170A"/>
    <w:rsid w:val="00462559"/>
    <w:rsid w:val="00462A08"/>
    <w:rsid w:val="00462FFF"/>
    <w:rsid w:val="00463CCB"/>
    <w:rsid w:val="00464531"/>
    <w:rsid w:val="00465102"/>
    <w:rsid w:val="00465442"/>
    <w:rsid w:val="0046601C"/>
    <w:rsid w:val="004674BE"/>
    <w:rsid w:val="004701C3"/>
    <w:rsid w:val="00471B1E"/>
    <w:rsid w:val="00473D8F"/>
    <w:rsid w:val="00473E9D"/>
    <w:rsid w:val="004741C3"/>
    <w:rsid w:val="004741F5"/>
    <w:rsid w:val="0047545B"/>
    <w:rsid w:val="00476A2E"/>
    <w:rsid w:val="0047737C"/>
    <w:rsid w:val="00477B26"/>
    <w:rsid w:val="00481713"/>
    <w:rsid w:val="004820BC"/>
    <w:rsid w:val="00482191"/>
    <w:rsid w:val="00482590"/>
    <w:rsid w:val="004848DD"/>
    <w:rsid w:val="00485A57"/>
    <w:rsid w:val="00486028"/>
    <w:rsid w:val="0048683C"/>
    <w:rsid w:val="00487BAC"/>
    <w:rsid w:val="0049024F"/>
    <w:rsid w:val="004905FF"/>
    <w:rsid w:val="00491435"/>
    <w:rsid w:val="00491F7D"/>
    <w:rsid w:val="00493000"/>
    <w:rsid w:val="0049354E"/>
    <w:rsid w:val="004943FD"/>
    <w:rsid w:val="00494B1C"/>
    <w:rsid w:val="004956CA"/>
    <w:rsid w:val="004A087C"/>
    <w:rsid w:val="004A13A7"/>
    <w:rsid w:val="004A1FDB"/>
    <w:rsid w:val="004A2EE0"/>
    <w:rsid w:val="004A6EFB"/>
    <w:rsid w:val="004A70FB"/>
    <w:rsid w:val="004A7989"/>
    <w:rsid w:val="004B0287"/>
    <w:rsid w:val="004B2D87"/>
    <w:rsid w:val="004B2E0F"/>
    <w:rsid w:val="004B31D0"/>
    <w:rsid w:val="004B431F"/>
    <w:rsid w:val="004B4C0C"/>
    <w:rsid w:val="004B602E"/>
    <w:rsid w:val="004B6689"/>
    <w:rsid w:val="004C0AF9"/>
    <w:rsid w:val="004C12EC"/>
    <w:rsid w:val="004C193E"/>
    <w:rsid w:val="004C2106"/>
    <w:rsid w:val="004C29E7"/>
    <w:rsid w:val="004C62D1"/>
    <w:rsid w:val="004C7E17"/>
    <w:rsid w:val="004D04B0"/>
    <w:rsid w:val="004D0696"/>
    <w:rsid w:val="004D0C1B"/>
    <w:rsid w:val="004D2658"/>
    <w:rsid w:val="004D2E94"/>
    <w:rsid w:val="004D3819"/>
    <w:rsid w:val="004D6FFD"/>
    <w:rsid w:val="004E0495"/>
    <w:rsid w:val="004E0951"/>
    <w:rsid w:val="004E2749"/>
    <w:rsid w:val="004E3A06"/>
    <w:rsid w:val="004E43F0"/>
    <w:rsid w:val="004E43F6"/>
    <w:rsid w:val="004E44A0"/>
    <w:rsid w:val="004E5FC3"/>
    <w:rsid w:val="004E64CD"/>
    <w:rsid w:val="004E6584"/>
    <w:rsid w:val="004E741B"/>
    <w:rsid w:val="004E770C"/>
    <w:rsid w:val="004F124E"/>
    <w:rsid w:val="004F3346"/>
    <w:rsid w:val="004F4486"/>
    <w:rsid w:val="004F6C7C"/>
    <w:rsid w:val="004F6EBB"/>
    <w:rsid w:val="004F733B"/>
    <w:rsid w:val="00500A45"/>
    <w:rsid w:val="00500A71"/>
    <w:rsid w:val="00500CE5"/>
    <w:rsid w:val="00503D1C"/>
    <w:rsid w:val="00504979"/>
    <w:rsid w:val="0050503F"/>
    <w:rsid w:val="00505E84"/>
    <w:rsid w:val="00506C8B"/>
    <w:rsid w:val="00507E9F"/>
    <w:rsid w:val="00511333"/>
    <w:rsid w:val="00512F6B"/>
    <w:rsid w:val="005132F1"/>
    <w:rsid w:val="00513BD9"/>
    <w:rsid w:val="0051534D"/>
    <w:rsid w:val="00515665"/>
    <w:rsid w:val="00515FE4"/>
    <w:rsid w:val="00516487"/>
    <w:rsid w:val="005203C0"/>
    <w:rsid w:val="005212CA"/>
    <w:rsid w:val="005216F0"/>
    <w:rsid w:val="005217B2"/>
    <w:rsid w:val="00522F8F"/>
    <w:rsid w:val="005232AF"/>
    <w:rsid w:val="00524B04"/>
    <w:rsid w:val="00525712"/>
    <w:rsid w:val="00525EE9"/>
    <w:rsid w:val="00526372"/>
    <w:rsid w:val="00526800"/>
    <w:rsid w:val="00527D98"/>
    <w:rsid w:val="00530548"/>
    <w:rsid w:val="00530FDD"/>
    <w:rsid w:val="005328C0"/>
    <w:rsid w:val="00535833"/>
    <w:rsid w:val="005371C7"/>
    <w:rsid w:val="00542012"/>
    <w:rsid w:val="005425E9"/>
    <w:rsid w:val="005435E3"/>
    <w:rsid w:val="00544437"/>
    <w:rsid w:val="00546F69"/>
    <w:rsid w:val="0054751A"/>
    <w:rsid w:val="00547B33"/>
    <w:rsid w:val="00547BCD"/>
    <w:rsid w:val="005506C6"/>
    <w:rsid w:val="005509CB"/>
    <w:rsid w:val="00551567"/>
    <w:rsid w:val="00554264"/>
    <w:rsid w:val="00554B76"/>
    <w:rsid w:val="00554EF2"/>
    <w:rsid w:val="00555995"/>
    <w:rsid w:val="0055683A"/>
    <w:rsid w:val="005570E4"/>
    <w:rsid w:val="00560210"/>
    <w:rsid w:val="00560345"/>
    <w:rsid w:val="005604CF"/>
    <w:rsid w:val="00561351"/>
    <w:rsid w:val="0056161D"/>
    <w:rsid w:val="00561878"/>
    <w:rsid w:val="00562D89"/>
    <w:rsid w:val="00563601"/>
    <w:rsid w:val="00563B08"/>
    <w:rsid w:val="00566E67"/>
    <w:rsid w:val="00573410"/>
    <w:rsid w:val="00573CE4"/>
    <w:rsid w:val="005742D8"/>
    <w:rsid w:val="00575AFB"/>
    <w:rsid w:val="00576434"/>
    <w:rsid w:val="00576BF6"/>
    <w:rsid w:val="00577F7C"/>
    <w:rsid w:val="00581EAA"/>
    <w:rsid w:val="00582826"/>
    <w:rsid w:val="00583531"/>
    <w:rsid w:val="00584468"/>
    <w:rsid w:val="005871F1"/>
    <w:rsid w:val="00590E26"/>
    <w:rsid w:val="005913BF"/>
    <w:rsid w:val="0059471A"/>
    <w:rsid w:val="005956C6"/>
    <w:rsid w:val="00595DCD"/>
    <w:rsid w:val="00596EB3"/>
    <w:rsid w:val="005975A5"/>
    <w:rsid w:val="0059777E"/>
    <w:rsid w:val="005A1294"/>
    <w:rsid w:val="005A1D14"/>
    <w:rsid w:val="005A49E2"/>
    <w:rsid w:val="005A6275"/>
    <w:rsid w:val="005A6D82"/>
    <w:rsid w:val="005A729F"/>
    <w:rsid w:val="005A78BD"/>
    <w:rsid w:val="005A7AC2"/>
    <w:rsid w:val="005B1083"/>
    <w:rsid w:val="005B29E6"/>
    <w:rsid w:val="005B2C8E"/>
    <w:rsid w:val="005B37D2"/>
    <w:rsid w:val="005B4DC2"/>
    <w:rsid w:val="005B5FFB"/>
    <w:rsid w:val="005B6A5D"/>
    <w:rsid w:val="005B6AF2"/>
    <w:rsid w:val="005C0C82"/>
    <w:rsid w:val="005C310A"/>
    <w:rsid w:val="005C32B9"/>
    <w:rsid w:val="005C37B2"/>
    <w:rsid w:val="005C4DBB"/>
    <w:rsid w:val="005C4E9D"/>
    <w:rsid w:val="005C4F89"/>
    <w:rsid w:val="005C5246"/>
    <w:rsid w:val="005C54A5"/>
    <w:rsid w:val="005C553F"/>
    <w:rsid w:val="005C58A1"/>
    <w:rsid w:val="005C6268"/>
    <w:rsid w:val="005C62C2"/>
    <w:rsid w:val="005C6494"/>
    <w:rsid w:val="005C667F"/>
    <w:rsid w:val="005C74D8"/>
    <w:rsid w:val="005C7A61"/>
    <w:rsid w:val="005C7E5A"/>
    <w:rsid w:val="005C7F29"/>
    <w:rsid w:val="005D22AB"/>
    <w:rsid w:val="005D3C16"/>
    <w:rsid w:val="005D5164"/>
    <w:rsid w:val="005D52D7"/>
    <w:rsid w:val="005D5E97"/>
    <w:rsid w:val="005D7226"/>
    <w:rsid w:val="005D73D2"/>
    <w:rsid w:val="005D7766"/>
    <w:rsid w:val="005D7E99"/>
    <w:rsid w:val="005E1055"/>
    <w:rsid w:val="005E14C9"/>
    <w:rsid w:val="005E21C1"/>
    <w:rsid w:val="005E310F"/>
    <w:rsid w:val="005E4C87"/>
    <w:rsid w:val="005E6067"/>
    <w:rsid w:val="005E67BE"/>
    <w:rsid w:val="005E7174"/>
    <w:rsid w:val="005E735A"/>
    <w:rsid w:val="005E7A4D"/>
    <w:rsid w:val="005E7B04"/>
    <w:rsid w:val="005E7C84"/>
    <w:rsid w:val="005E7E21"/>
    <w:rsid w:val="005F007F"/>
    <w:rsid w:val="005F109A"/>
    <w:rsid w:val="005F1399"/>
    <w:rsid w:val="005F163F"/>
    <w:rsid w:val="005F17CE"/>
    <w:rsid w:val="005F4C75"/>
    <w:rsid w:val="005F4CC4"/>
    <w:rsid w:val="005F4F1F"/>
    <w:rsid w:val="005F680D"/>
    <w:rsid w:val="005F73B5"/>
    <w:rsid w:val="005F7488"/>
    <w:rsid w:val="00600161"/>
    <w:rsid w:val="00600D3E"/>
    <w:rsid w:val="0060101D"/>
    <w:rsid w:val="00601C9C"/>
    <w:rsid w:val="00601E07"/>
    <w:rsid w:val="00602A65"/>
    <w:rsid w:val="00602CA0"/>
    <w:rsid w:val="00604701"/>
    <w:rsid w:val="00611C68"/>
    <w:rsid w:val="00612187"/>
    <w:rsid w:val="00614F2B"/>
    <w:rsid w:val="006151A7"/>
    <w:rsid w:val="006151B5"/>
    <w:rsid w:val="00615321"/>
    <w:rsid w:val="0061551F"/>
    <w:rsid w:val="006164CD"/>
    <w:rsid w:val="00616633"/>
    <w:rsid w:val="006169BB"/>
    <w:rsid w:val="00620952"/>
    <w:rsid w:val="00621562"/>
    <w:rsid w:val="00622015"/>
    <w:rsid w:val="006231EA"/>
    <w:rsid w:val="00624204"/>
    <w:rsid w:val="006247F4"/>
    <w:rsid w:val="00625466"/>
    <w:rsid w:val="00625C08"/>
    <w:rsid w:val="0062659C"/>
    <w:rsid w:val="0062691F"/>
    <w:rsid w:val="00630E25"/>
    <w:rsid w:val="0063193B"/>
    <w:rsid w:val="00631D6C"/>
    <w:rsid w:val="00632028"/>
    <w:rsid w:val="006323C5"/>
    <w:rsid w:val="00633D60"/>
    <w:rsid w:val="00634A6B"/>
    <w:rsid w:val="00635646"/>
    <w:rsid w:val="00635899"/>
    <w:rsid w:val="006361B2"/>
    <w:rsid w:val="00636CFE"/>
    <w:rsid w:val="00636E4E"/>
    <w:rsid w:val="006370F8"/>
    <w:rsid w:val="00637138"/>
    <w:rsid w:val="00637564"/>
    <w:rsid w:val="00640572"/>
    <w:rsid w:val="0064363E"/>
    <w:rsid w:val="00643D4C"/>
    <w:rsid w:val="0064401E"/>
    <w:rsid w:val="006443A0"/>
    <w:rsid w:val="006453E5"/>
    <w:rsid w:val="0065106E"/>
    <w:rsid w:val="00652959"/>
    <w:rsid w:val="006540D9"/>
    <w:rsid w:val="00654426"/>
    <w:rsid w:val="0065563E"/>
    <w:rsid w:val="0065595A"/>
    <w:rsid w:val="0065660E"/>
    <w:rsid w:val="00656FFA"/>
    <w:rsid w:val="0065780E"/>
    <w:rsid w:val="00657CD2"/>
    <w:rsid w:val="006600CF"/>
    <w:rsid w:val="0066012B"/>
    <w:rsid w:val="00660764"/>
    <w:rsid w:val="00660D1F"/>
    <w:rsid w:val="0066129C"/>
    <w:rsid w:val="00662245"/>
    <w:rsid w:val="006626EF"/>
    <w:rsid w:val="0066433A"/>
    <w:rsid w:val="00664641"/>
    <w:rsid w:val="0066581D"/>
    <w:rsid w:val="00665EB5"/>
    <w:rsid w:val="006665E4"/>
    <w:rsid w:val="00666E82"/>
    <w:rsid w:val="006679C3"/>
    <w:rsid w:val="00670C77"/>
    <w:rsid w:val="00671CAA"/>
    <w:rsid w:val="0067267F"/>
    <w:rsid w:val="006747DA"/>
    <w:rsid w:val="0067504D"/>
    <w:rsid w:val="00675FB0"/>
    <w:rsid w:val="00677451"/>
    <w:rsid w:val="00677A67"/>
    <w:rsid w:val="0068010B"/>
    <w:rsid w:val="006820FA"/>
    <w:rsid w:val="00684E8A"/>
    <w:rsid w:val="0068524C"/>
    <w:rsid w:val="006865D5"/>
    <w:rsid w:val="006867D2"/>
    <w:rsid w:val="00687243"/>
    <w:rsid w:val="0068734F"/>
    <w:rsid w:val="00691B2B"/>
    <w:rsid w:val="00692062"/>
    <w:rsid w:val="0069386D"/>
    <w:rsid w:val="00695331"/>
    <w:rsid w:val="00696082"/>
    <w:rsid w:val="00696E3A"/>
    <w:rsid w:val="00697989"/>
    <w:rsid w:val="006A0800"/>
    <w:rsid w:val="006A0D1A"/>
    <w:rsid w:val="006A175E"/>
    <w:rsid w:val="006A1798"/>
    <w:rsid w:val="006A414A"/>
    <w:rsid w:val="006A47BB"/>
    <w:rsid w:val="006A6460"/>
    <w:rsid w:val="006A689C"/>
    <w:rsid w:val="006B0C88"/>
    <w:rsid w:val="006B0EB4"/>
    <w:rsid w:val="006B188C"/>
    <w:rsid w:val="006B35BD"/>
    <w:rsid w:val="006B3C63"/>
    <w:rsid w:val="006B4CD3"/>
    <w:rsid w:val="006B527C"/>
    <w:rsid w:val="006B5F42"/>
    <w:rsid w:val="006B68D4"/>
    <w:rsid w:val="006B7EE4"/>
    <w:rsid w:val="006C199E"/>
    <w:rsid w:val="006C20B4"/>
    <w:rsid w:val="006C2216"/>
    <w:rsid w:val="006C364D"/>
    <w:rsid w:val="006C3C6A"/>
    <w:rsid w:val="006C3D2C"/>
    <w:rsid w:val="006C5D79"/>
    <w:rsid w:val="006C665E"/>
    <w:rsid w:val="006C6B93"/>
    <w:rsid w:val="006C6EA2"/>
    <w:rsid w:val="006D006A"/>
    <w:rsid w:val="006D0EEA"/>
    <w:rsid w:val="006D0F1F"/>
    <w:rsid w:val="006D117B"/>
    <w:rsid w:val="006D11E3"/>
    <w:rsid w:val="006D1588"/>
    <w:rsid w:val="006D18BE"/>
    <w:rsid w:val="006D1F59"/>
    <w:rsid w:val="006D2739"/>
    <w:rsid w:val="006D3169"/>
    <w:rsid w:val="006D41C5"/>
    <w:rsid w:val="006D4640"/>
    <w:rsid w:val="006D4ED1"/>
    <w:rsid w:val="006D6494"/>
    <w:rsid w:val="006D65C8"/>
    <w:rsid w:val="006D660B"/>
    <w:rsid w:val="006D6721"/>
    <w:rsid w:val="006D7342"/>
    <w:rsid w:val="006D7CC7"/>
    <w:rsid w:val="006D7E48"/>
    <w:rsid w:val="006E0675"/>
    <w:rsid w:val="006E1B0D"/>
    <w:rsid w:val="006E42B1"/>
    <w:rsid w:val="006E561A"/>
    <w:rsid w:val="006E56ED"/>
    <w:rsid w:val="006E77E8"/>
    <w:rsid w:val="006E7ACB"/>
    <w:rsid w:val="006F09D5"/>
    <w:rsid w:val="006F109B"/>
    <w:rsid w:val="006F145E"/>
    <w:rsid w:val="006F14EA"/>
    <w:rsid w:val="006F37EB"/>
    <w:rsid w:val="006F3E0D"/>
    <w:rsid w:val="006F754A"/>
    <w:rsid w:val="006F7664"/>
    <w:rsid w:val="00700235"/>
    <w:rsid w:val="00700C60"/>
    <w:rsid w:val="00700DB4"/>
    <w:rsid w:val="00701F17"/>
    <w:rsid w:val="0070406F"/>
    <w:rsid w:val="00704264"/>
    <w:rsid w:val="0070590E"/>
    <w:rsid w:val="00705F7D"/>
    <w:rsid w:val="00706C8C"/>
    <w:rsid w:val="00706D85"/>
    <w:rsid w:val="00707554"/>
    <w:rsid w:val="00710B0A"/>
    <w:rsid w:val="007114A2"/>
    <w:rsid w:val="00711FEC"/>
    <w:rsid w:val="00712675"/>
    <w:rsid w:val="0071282D"/>
    <w:rsid w:val="007173F9"/>
    <w:rsid w:val="007203E8"/>
    <w:rsid w:val="00721F7B"/>
    <w:rsid w:val="00722511"/>
    <w:rsid w:val="007256E9"/>
    <w:rsid w:val="0072629E"/>
    <w:rsid w:val="00726BC1"/>
    <w:rsid w:val="00727A29"/>
    <w:rsid w:val="007305C9"/>
    <w:rsid w:val="00732E99"/>
    <w:rsid w:val="007348A3"/>
    <w:rsid w:val="00734A0B"/>
    <w:rsid w:val="00735730"/>
    <w:rsid w:val="00735C8F"/>
    <w:rsid w:val="007362D7"/>
    <w:rsid w:val="00740F20"/>
    <w:rsid w:val="00741548"/>
    <w:rsid w:val="00745959"/>
    <w:rsid w:val="00746265"/>
    <w:rsid w:val="00746320"/>
    <w:rsid w:val="00746FC4"/>
    <w:rsid w:val="00747CCF"/>
    <w:rsid w:val="007505C7"/>
    <w:rsid w:val="007513E9"/>
    <w:rsid w:val="00751557"/>
    <w:rsid w:val="007518C9"/>
    <w:rsid w:val="00753320"/>
    <w:rsid w:val="007539E8"/>
    <w:rsid w:val="0075445A"/>
    <w:rsid w:val="0075513B"/>
    <w:rsid w:val="00755523"/>
    <w:rsid w:val="00755D28"/>
    <w:rsid w:val="00756782"/>
    <w:rsid w:val="00757521"/>
    <w:rsid w:val="007607FB"/>
    <w:rsid w:val="00760CF6"/>
    <w:rsid w:val="00763331"/>
    <w:rsid w:val="007639A4"/>
    <w:rsid w:val="00764185"/>
    <w:rsid w:val="00764D0B"/>
    <w:rsid w:val="00764EB9"/>
    <w:rsid w:val="00765120"/>
    <w:rsid w:val="00765802"/>
    <w:rsid w:val="0076581A"/>
    <w:rsid w:val="00765941"/>
    <w:rsid w:val="0076640B"/>
    <w:rsid w:val="00767F27"/>
    <w:rsid w:val="00772001"/>
    <w:rsid w:val="0077306E"/>
    <w:rsid w:val="007732C0"/>
    <w:rsid w:val="00773385"/>
    <w:rsid w:val="007747E5"/>
    <w:rsid w:val="007768B5"/>
    <w:rsid w:val="0078066D"/>
    <w:rsid w:val="007820B0"/>
    <w:rsid w:val="00782E2E"/>
    <w:rsid w:val="00782F99"/>
    <w:rsid w:val="007849A1"/>
    <w:rsid w:val="00784AB5"/>
    <w:rsid w:val="0078544F"/>
    <w:rsid w:val="00785DA2"/>
    <w:rsid w:val="00786DF6"/>
    <w:rsid w:val="00787672"/>
    <w:rsid w:val="007879C6"/>
    <w:rsid w:val="007879D7"/>
    <w:rsid w:val="0079469A"/>
    <w:rsid w:val="00794F4C"/>
    <w:rsid w:val="00795237"/>
    <w:rsid w:val="00795D14"/>
    <w:rsid w:val="0079674E"/>
    <w:rsid w:val="00796E6F"/>
    <w:rsid w:val="00797249"/>
    <w:rsid w:val="007A02DB"/>
    <w:rsid w:val="007A204F"/>
    <w:rsid w:val="007A2AC0"/>
    <w:rsid w:val="007A393A"/>
    <w:rsid w:val="007A3EBB"/>
    <w:rsid w:val="007A59E5"/>
    <w:rsid w:val="007A5A3C"/>
    <w:rsid w:val="007A5ADF"/>
    <w:rsid w:val="007A63D1"/>
    <w:rsid w:val="007A648D"/>
    <w:rsid w:val="007A7357"/>
    <w:rsid w:val="007A7563"/>
    <w:rsid w:val="007A756C"/>
    <w:rsid w:val="007B0A56"/>
    <w:rsid w:val="007B48F4"/>
    <w:rsid w:val="007B6E8D"/>
    <w:rsid w:val="007B7A92"/>
    <w:rsid w:val="007B7AFC"/>
    <w:rsid w:val="007C07FB"/>
    <w:rsid w:val="007C0E3B"/>
    <w:rsid w:val="007C13A7"/>
    <w:rsid w:val="007C5F50"/>
    <w:rsid w:val="007C64E6"/>
    <w:rsid w:val="007C680C"/>
    <w:rsid w:val="007C6BD1"/>
    <w:rsid w:val="007C7FE4"/>
    <w:rsid w:val="007D0DFF"/>
    <w:rsid w:val="007D0E51"/>
    <w:rsid w:val="007D50B7"/>
    <w:rsid w:val="007D5794"/>
    <w:rsid w:val="007E0107"/>
    <w:rsid w:val="007E1251"/>
    <w:rsid w:val="007E1403"/>
    <w:rsid w:val="007E352B"/>
    <w:rsid w:val="007E3A17"/>
    <w:rsid w:val="007E5225"/>
    <w:rsid w:val="007E5778"/>
    <w:rsid w:val="007E739F"/>
    <w:rsid w:val="007E765D"/>
    <w:rsid w:val="007F080E"/>
    <w:rsid w:val="007F08EF"/>
    <w:rsid w:val="007F0B78"/>
    <w:rsid w:val="007F1F56"/>
    <w:rsid w:val="007F482F"/>
    <w:rsid w:val="007F4CF0"/>
    <w:rsid w:val="007F4D81"/>
    <w:rsid w:val="00800E28"/>
    <w:rsid w:val="00801AAC"/>
    <w:rsid w:val="00801B3B"/>
    <w:rsid w:val="0080316A"/>
    <w:rsid w:val="0080358B"/>
    <w:rsid w:val="00805634"/>
    <w:rsid w:val="00806729"/>
    <w:rsid w:val="008068D5"/>
    <w:rsid w:val="00806E2F"/>
    <w:rsid w:val="008110F8"/>
    <w:rsid w:val="0081127A"/>
    <w:rsid w:val="008114EC"/>
    <w:rsid w:val="00811E92"/>
    <w:rsid w:val="0081229A"/>
    <w:rsid w:val="00812348"/>
    <w:rsid w:val="00812D30"/>
    <w:rsid w:val="008155C9"/>
    <w:rsid w:val="008158ED"/>
    <w:rsid w:val="0081622B"/>
    <w:rsid w:val="0081691F"/>
    <w:rsid w:val="00816BF8"/>
    <w:rsid w:val="00816F27"/>
    <w:rsid w:val="00817563"/>
    <w:rsid w:val="0082042B"/>
    <w:rsid w:val="008213BA"/>
    <w:rsid w:val="00821993"/>
    <w:rsid w:val="0082241A"/>
    <w:rsid w:val="008229E4"/>
    <w:rsid w:val="00823164"/>
    <w:rsid w:val="00823807"/>
    <w:rsid w:val="00824FE9"/>
    <w:rsid w:val="008272AB"/>
    <w:rsid w:val="00827AC9"/>
    <w:rsid w:val="008303FF"/>
    <w:rsid w:val="00830CF8"/>
    <w:rsid w:val="0083174E"/>
    <w:rsid w:val="00831C49"/>
    <w:rsid w:val="00831C68"/>
    <w:rsid w:val="008338EA"/>
    <w:rsid w:val="00834993"/>
    <w:rsid w:val="00835CEF"/>
    <w:rsid w:val="008374BA"/>
    <w:rsid w:val="00840873"/>
    <w:rsid w:val="008412FA"/>
    <w:rsid w:val="00841935"/>
    <w:rsid w:val="0084227C"/>
    <w:rsid w:val="00843707"/>
    <w:rsid w:val="0084374F"/>
    <w:rsid w:val="00843A6B"/>
    <w:rsid w:val="00844FAD"/>
    <w:rsid w:val="008465F9"/>
    <w:rsid w:val="00846F2B"/>
    <w:rsid w:val="00852600"/>
    <w:rsid w:val="0085347C"/>
    <w:rsid w:val="00853E63"/>
    <w:rsid w:val="008546B7"/>
    <w:rsid w:val="00855626"/>
    <w:rsid w:val="008559CE"/>
    <w:rsid w:val="00856768"/>
    <w:rsid w:val="00857657"/>
    <w:rsid w:val="0086090C"/>
    <w:rsid w:val="00860A21"/>
    <w:rsid w:val="00860CBF"/>
    <w:rsid w:val="00861949"/>
    <w:rsid w:val="008627AC"/>
    <w:rsid w:val="00862947"/>
    <w:rsid w:val="008629BA"/>
    <w:rsid w:val="00862B97"/>
    <w:rsid w:val="008631CF"/>
    <w:rsid w:val="00863DFF"/>
    <w:rsid w:val="00864E6C"/>
    <w:rsid w:val="008656FC"/>
    <w:rsid w:val="0086606C"/>
    <w:rsid w:val="0086792F"/>
    <w:rsid w:val="00867A1D"/>
    <w:rsid w:val="00867EA5"/>
    <w:rsid w:val="00870065"/>
    <w:rsid w:val="00870A51"/>
    <w:rsid w:val="008714DC"/>
    <w:rsid w:val="00871FE2"/>
    <w:rsid w:val="008725A2"/>
    <w:rsid w:val="008726FE"/>
    <w:rsid w:val="00873AA7"/>
    <w:rsid w:val="0087461D"/>
    <w:rsid w:val="008759AA"/>
    <w:rsid w:val="00876BF6"/>
    <w:rsid w:val="00877A33"/>
    <w:rsid w:val="008800E0"/>
    <w:rsid w:val="0088042C"/>
    <w:rsid w:val="00880B8A"/>
    <w:rsid w:val="00881326"/>
    <w:rsid w:val="00881C87"/>
    <w:rsid w:val="008850B3"/>
    <w:rsid w:val="008853D7"/>
    <w:rsid w:val="0089012F"/>
    <w:rsid w:val="00890AC7"/>
    <w:rsid w:val="00891A0E"/>
    <w:rsid w:val="00891D93"/>
    <w:rsid w:val="00892B59"/>
    <w:rsid w:val="00894305"/>
    <w:rsid w:val="00894382"/>
    <w:rsid w:val="00896E00"/>
    <w:rsid w:val="00897ED7"/>
    <w:rsid w:val="008A00F8"/>
    <w:rsid w:val="008A1038"/>
    <w:rsid w:val="008A1488"/>
    <w:rsid w:val="008A1DA5"/>
    <w:rsid w:val="008A2023"/>
    <w:rsid w:val="008A3581"/>
    <w:rsid w:val="008A483D"/>
    <w:rsid w:val="008A4894"/>
    <w:rsid w:val="008A50DD"/>
    <w:rsid w:val="008A5765"/>
    <w:rsid w:val="008A6866"/>
    <w:rsid w:val="008A7855"/>
    <w:rsid w:val="008A789C"/>
    <w:rsid w:val="008B0057"/>
    <w:rsid w:val="008B0476"/>
    <w:rsid w:val="008B1627"/>
    <w:rsid w:val="008B1BC8"/>
    <w:rsid w:val="008B4023"/>
    <w:rsid w:val="008B4202"/>
    <w:rsid w:val="008B4382"/>
    <w:rsid w:val="008B458E"/>
    <w:rsid w:val="008B51C4"/>
    <w:rsid w:val="008B5473"/>
    <w:rsid w:val="008B5F9E"/>
    <w:rsid w:val="008B6F31"/>
    <w:rsid w:val="008B6F99"/>
    <w:rsid w:val="008B71AE"/>
    <w:rsid w:val="008C023F"/>
    <w:rsid w:val="008C0B4E"/>
    <w:rsid w:val="008C11CE"/>
    <w:rsid w:val="008C1D0E"/>
    <w:rsid w:val="008C202F"/>
    <w:rsid w:val="008C29B8"/>
    <w:rsid w:val="008C2ACC"/>
    <w:rsid w:val="008C2F2F"/>
    <w:rsid w:val="008C3F54"/>
    <w:rsid w:val="008C4000"/>
    <w:rsid w:val="008C4657"/>
    <w:rsid w:val="008C4B72"/>
    <w:rsid w:val="008C533A"/>
    <w:rsid w:val="008C53C8"/>
    <w:rsid w:val="008C7379"/>
    <w:rsid w:val="008D0525"/>
    <w:rsid w:val="008D05BE"/>
    <w:rsid w:val="008D08B8"/>
    <w:rsid w:val="008D13BC"/>
    <w:rsid w:val="008D27D7"/>
    <w:rsid w:val="008D2A5B"/>
    <w:rsid w:val="008D3D0C"/>
    <w:rsid w:val="008D63DD"/>
    <w:rsid w:val="008D7CFB"/>
    <w:rsid w:val="008E09A8"/>
    <w:rsid w:val="008E0F26"/>
    <w:rsid w:val="008E1B41"/>
    <w:rsid w:val="008E323E"/>
    <w:rsid w:val="008E35CB"/>
    <w:rsid w:val="008E37EF"/>
    <w:rsid w:val="008E3888"/>
    <w:rsid w:val="008E3DA9"/>
    <w:rsid w:val="008E4C06"/>
    <w:rsid w:val="008E4C1C"/>
    <w:rsid w:val="008E4E61"/>
    <w:rsid w:val="008E5C3D"/>
    <w:rsid w:val="008E68E6"/>
    <w:rsid w:val="008F0080"/>
    <w:rsid w:val="008F0087"/>
    <w:rsid w:val="008F04AE"/>
    <w:rsid w:val="008F1453"/>
    <w:rsid w:val="008F17AF"/>
    <w:rsid w:val="008F3606"/>
    <w:rsid w:val="008F3A37"/>
    <w:rsid w:val="008F3E1A"/>
    <w:rsid w:val="008F4EC2"/>
    <w:rsid w:val="008F78A4"/>
    <w:rsid w:val="008F791F"/>
    <w:rsid w:val="009007DA"/>
    <w:rsid w:val="00900846"/>
    <w:rsid w:val="009022D4"/>
    <w:rsid w:val="00902711"/>
    <w:rsid w:val="009027C0"/>
    <w:rsid w:val="00902AE1"/>
    <w:rsid w:val="00902B75"/>
    <w:rsid w:val="00903F9B"/>
    <w:rsid w:val="00904501"/>
    <w:rsid w:val="009051AC"/>
    <w:rsid w:val="009077F7"/>
    <w:rsid w:val="0091103D"/>
    <w:rsid w:val="0091189B"/>
    <w:rsid w:val="00912052"/>
    <w:rsid w:val="009158DE"/>
    <w:rsid w:val="009163E4"/>
    <w:rsid w:val="00916795"/>
    <w:rsid w:val="00917B22"/>
    <w:rsid w:val="00917E22"/>
    <w:rsid w:val="009200E0"/>
    <w:rsid w:val="00921136"/>
    <w:rsid w:val="00921C4E"/>
    <w:rsid w:val="00922822"/>
    <w:rsid w:val="009234E0"/>
    <w:rsid w:val="00923C8E"/>
    <w:rsid w:val="00923EAA"/>
    <w:rsid w:val="00926D09"/>
    <w:rsid w:val="00926D4D"/>
    <w:rsid w:val="00926F67"/>
    <w:rsid w:val="00930EA1"/>
    <w:rsid w:val="00934CB9"/>
    <w:rsid w:val="00935550"/>
    <w:rsid w:val="00936447"/>
    <w:rsid w:val="00936A81"/>
    <w:rsid w:val="0093720A"/>
    <w:rsid w:val="00941B49"/>
    <w:rsid w:val="00943FDE"/>
    <w:rsid w:val="00944291"/>
    <w:rsid w:val="009443C2"/>
    <w:rsid w:val="00945A71"/>
    <w:rsid w:val="00945E25"/>
    <w:rsid w:val="0094600F"/>
    <w:rsid w:val="009462E6"/>
    <w:rsid w:val="0094744D"/>
    <w:rsid w:val="00950372"/>
    <w:rsid w:val="009505EC"/>
    <w:rsid w:val="009530AA"/>
    <w:rsid w:val="0095320C"/>
    <w:rsid w:val="00953497"/>
    <w:rsid w:val="0095534A"/>
    <w:rsid w:val="009567E4"/>
    <w:rsid w:val="0096133E"/>
    <w:rsid w:val="00961F47"/>
    <w:rsid w:val="00962209"/>
    <w:rsid w:val="00962970"/>
    <w:rsid w:val="0096318E"/>
    <w:rsid w:val="00964E52"/>
    <w:rsid w:val="009664C3"/>
    <w:rsid w:val="00967185"/>
    <w:rsid w:val="009675E9"/>
    <w:rsid w:val="0096770F"/>
    <w:rsid w:val="009713AE"/>
    <w:rsid w:val="00971BF3"/>
    <w:rsid w:val="00974981"/>
    <w:rsid w:val="00975B13"/>
    <w:rsid w:val="00977056"/>
    <w:rsid w:val="00977AD3"/>
    <w:rsid w:val="00981111"/>
    <w:rsid w:val="009819B4"/>
    <w:rsid w:val="00982CBE"/>
    <w:rsid w:val="009830A1"/>
    <w:rsid w:val="00984EBC"/>
    <w:rsid w:val="009853BC"/>
    <w:rsid w:val="00987F42"/>
    <w:rsid w:val="0099195B"/>
    <w:rsid w:val="00992DEC"/>
    <w:rsid w:val="00993308"/>
    <w:rsid w:val="0099341D"/>
    <w:rsid w:val="00993724"/>
    <w:rsid w:val="0099390F"/>
    <w:rsid w:val="009941F4"/>
    <w:rsid w:val="00994DF4"/>
    <w:rsid w:val="0099625E"/>
    <w:rsid w:val="0099748D"/>
    <w:rsid w:val="009A03F0"/>
    <w:rsid w:val="009A1DEE"/>
    <w:rsid w:val="009A2299"/>
    <w:rsid w:val="009A250F"/>
    <w:rsid w:val="009A27B9"/>
    <w:rsid w:val="009A33CA"/>
    <w:rsid w:val="009A349E"/>
    <w:rsid w:val="009A3BC0"/>
    <w:rsid w:val="009A44E4"/>
    <w:rsid w:val="009A46CB"/>
    <w:rsid w:val="009A59EE"/>
    <w:rsid w:val="009A6339"/>
    <w:rsid w:val="009A76C0"/>
    <w:rsid w:val="009A7C03"/>
    <w:rsid w:val="009B0D1F"/>
    <w:rsid w:val="009B27E4"/>
    <w:rsid w:val="009B28EF"/>
    <w:rsid w:val="009B31EF"/>
    <w:rsid w:val="009B32BA"/>
    <w:rsid w:val="009B35CF"/>
    <w:rsid w:val="009B44D8"/>
    <w:rsid w:val="009B48DB"/>
    <w:rsid w:val="009B59A5"/>
    <w:rsid w:val="009B5E62"/>
    <w:rsid w:val="009B72D0"/>
    <w:rsid w:val="009B7760"/>
    <w:rsid w:val="009C0A25"/>
    <w:rsid w:val="009C3990"/>
    <w:rsid w:val="009C4453"/>
    <w:rsid w:val="009C4525"/>
    <w:rsid w:val="009C45B2"/>
    <w:rsid w:val="009C4897"/>
    <w:rsid w:val="009C569E"/>
    <w:rsid w:val="009C5BF6"/>
    <w:rsid w:val="009C6307"/>
    <w:rsid w:val="009C6508"/>
    <w:rsid w:val="009C76CD"/>
    <w:rsid w:val="009D0980"/>
    <w:rsid w:val="009D1EB7"/>
    <w:rsid w:val="009D288F"/>
    <w:rsid w:val="009D35BC"/>
    <w:rsid w:val="009D3645"/>
    <w:rsid w:val="009D3B75"/>
    <w:rsid w:val="009D3BE1"/>
    <w:rsid w:val="009D3D28"/>
    <w:rsid w:val="009D457A"/>
    <w:rsid w:val="009D64C5"/>
    <w:rsid w:val="009D6E3F"/>
    <w:rsid w:val="009D73C7"/>
    <w:rsid w:val="009E2506"/>
    <w:rsid w:val="009E3E01"/>
    <w:rsid w:val="009E4580"/>
    <w:rsid w:val="009E509C"/>
    <w:rsid w:val="009E5F8A"/>
    <w:rsid w:val="009E5FFD"/>
    <w:rsid w:val="009E6B9D"/>
    <w:rsid w:val="009E6C61"/>
    <w:rsid w:val="009E7D43"/>
    <w:rsid w:val="009E7EB0"/>
    <w:rsid w:val="009F30B3"/>
    <w:rsid w:val="009F397B"/>
    <w:rsid w:val="009F3E8E"/>
    <w:rsid w:val="009F4CF4"/>
    <w:rsid w:val="009F55FB"/>
    <w:rsid w:val="009F5827"/>
    <w:rsid w:val="009F5E25"/>
    <w:rsid w:val="009F6232"/>
    <w:rsid w:val="009F6575"/>
    <w:rsid w:val="009F68FB"/>
    <w:rsid w:val="009F7F41"/>
    <w:rsid w:val="00A00342"/>
    <w:rsid w:val="00A00582"/>
    <w:rsid w:val="00A00928"/>
    <w:rsid w:val="00A00DBA"/>
    <w:rsid w:val="00A00FB6"/>
    <w:rsid w:val="00A029B4"/>
    <w:rsid w:val="00A04527"/>
    <w:rsid w:val="00A04730"/>
    <w:rsid w:val="00A047C4"/>
    <w:rsid w:val="00A04AA6"/>
    <w:rsid w:val="00A057C8"/>
    <w:rsid w:val="00A069A8"/>
    <w:rsid w:val="00A109CA"/>
    <w:rsid w:val="00A13A61"/>
    <w:rsid w:val="00A13F33"/>
    <w:rsid w:val="00A152D2"/>
    <w:rsid w:val="00A15F8D"/>
    <w:rsid w:val="00A16C49"/>
    <w:rsid w:val="00A172AE"/>
    <w:rsid w:val="00A17548"/>
    <w:rsid w:val="00A209AB"/>
    <w:rsid w:val="00A2286A"/>
    <w:rsid w:val="00A24013"/>
    <w:rsid w:val="00A247B2"/>
    <w:rsid w:val="00A25E65"/>
    <w:rsid w:val="00A30423"/>
    <w:rsid w:val="00A30D77"/>
    <w:rsid w:val="00A31E3D"/>
    <w:rsid w:val="00A32B5C"/>
    <w:rsid w:val="00A33F4E"/>
    <w:rsid w:val="00A361FA"/>
    <w:rsid w:val="00A36511"/>
    <w:rsid w:val="00A37096"/>
    <w:rsid w:val="00A40044"/>
    <w:rsid w:val="00A402C1"/>
    <w:rsid w:val="00A40B6F"/>
    <w:rsid w:val="00A414D8"/>
    <w:rsid w:val="00A41530"/>
    <w:rsid w:val="00A415E5"/>
    <w:rsid w:val="00A45864"/>
    <w:rsid w:val="00A45B12"/>
    <w:rsid w:val="00A465EA"/>
    <w:rsid w:val="00A46FB6"/>
    <w:rsid w:val="00A50029"/>
    <w:rsid w:val="00A504EA"/>
    <w:rsid w:val="00A50989"/>
    <w:rsid w:val="00A5132A"/>
    <w:rsid w:val="00A51547"/>
    <w:rsid w:val="00A51F01"/>
    <w:rsid w:val="00A52A99"/>
    <w:rsid w:val="00A52D40"/>
    <w:rsid w:val="00A5318E"/>
    <w:rsid w:val="00A53752"/>
    <w:rsid w:val="00A544FF"/>
    <w:rsid w:val="00A55543"/>
    <w:rsid w:val="00A55638"/>
    <w:rsid w:val="00A567C2"/>
    <w:rsid w:val="00A6084F"/>
    <w:rsid w:val="00A6087E"/>
    <w:rsid w:val="00A60A7E"/>
    <w:rsid w:val="00A60C72"/>
    <w:rsid w:val="00A61E96"/>
    <w:rsid w:val="00A63260"/>
    <w:rsid w:val="00A64AE3"/>
    <w:rsid w:val="00A656EE"/>
    <w:rsid w:val="00A66C7A"/>
    <w:rsid w:val="00A67647"/>
    <w:rsid w:val="00A67D0F"/>
    <w:rsid w:val="00A67DE8"/>
    <w:rsid w:val="00A70041"/>
    <w:rsid w:val="00A704BE"/>
    <w:rsid w:val="00A709DA"/>
    <w:rsid w:val="00A7198B"/>
    <w:rsid w:val="00A72B1C"/>
    <w:rsid w:val="00A73545"/>
    <w:rsid w:val="00A738EA"/>
    <w:rsid w:val="00A754EE"/>
    <w:rsid w:val="00A756C0"/>
    <w:rsid w:val="00A7599E"/>
    <w:rsid w:val="00A75E24"/>
    <w:rsid w:val="00A7609A"/>
    <w:rsid w:val="00A76178"/>
    <w:rsid w:val="00A76993"/>
    <w:rsid w:val="00A76BA2"/>
    <w:rsid w:val="00A80A5A"/>
    <w:rsid w:val="00A823B8"/>
    <w:rsid w:val="00A82782"/>
    <w:rsid w:val="00A82C4A"/>
    <w:rsid w:val="00A831C1"/>
    <w:rsid w:val="00A8355F"/>
    <w:rsid w:val="00A83C9F"/>
    <w:rsid w:val="00A83E86"/>
    <w:rsid w:val="00A85412"/>
    <w:rsid w:val="00A85495"/>
    <w:rsid w:val="00A903D9"/>
    <w:rsid w:val="00A90F92"/>
    <w:rsid w:val="00A9175E"/>
    <w:rsid w:val="00A91B2D"/>
    <w:rsid w:val="00A9423C"/>
    <w:rsid w:val="00A95560"/>
    <w:rsid w:val="00A95CEE"/>
    <w:rsid w:val="00A966C9"/>
    <w:rsid w:val="00A97C7D"/>
    <w:rsid w:val="00AA046F"/>
    <w:rsid w:val="00AA0A62"/>
    <w:rsid w:val="00AA0DC7"/>
    <w:rsid w:val="00AA1FC8"/>
    <w:rsid w:val="00AA5B4C"/>
    <w:rsid w:val="00AA5B5A"/>
    <w:rsid w:val="00AA6EC1"/>
    <w:rsid w:val="00AA756A"/>
    <w:rsid w:val="00AB021E"/>
    <w:rsid w:val="00AB027D"/>
    <w:rsid w:val="00AB058F"/>
    <w:rsid w:val="00AB0C01"/>
    <w:rsid w:val="00AB1A62"/>
    <w:rsid w:val="00AB1DE8"/>
    <w:rsid w:val="00AB4714"/>
    <w:rsid w:val="00AB6995"/>
    <w:rsid w:val="00AB7A66"/>
    <w:rsid w:val="00AC02B6"/>
    <w:rsid w:val="00AC21B3"/>
    <w:rsid w:val="00AC3DDC"/>
    <w:rsid w:val="00AC4702"/>
    <w:rsid w:val="00AC502C"/>
    <w:rsid w:val="00AC51A4"/>
    <w:rsid w:val="00AC55DD"/>
    <w:rsid w:val="00AC56A8"/>
    <w:rsid w:val="00AC5875"/>
    <w:rsid w:val="00AC6107"/>
    <w:rsid w:val="00AC698D"/>
    <w:rsid w:val="00AC6BBB"/>
    <w:rsid w:val="00AC6C16"/>
    <w:rsid w:val="00AC6E40"/>
    <w:rsid w:val="00AC6F86"/>
    <w:rsid w:val="00AC7E44"/>
    <w:rsid w:val="00AD0A14"/>
    <w:rsid w:val="00AD1BCB"/>
    <w:rsid w:val="00AD2B7A"/>
    <w:rsid w:val="00AD2BFF"/>
    <w:rsid w:val="00AD4B46"/>
    <w:rsid w:val="00AD4D48"/>
    <w:rsid w:val="00AD6CE0"/>
    <w:rsid w:val="00AD7074"/>
    <w:rsid w:val="00AD7186"/>
    <w:rsid w:val="00AD7ACC"/>
    <w:rsid w:val="00AE217B"/>
    <w:rsid w:val="00AE4F0A"/>
    <w:rsid w:val="00AE5063"/>
    <w:rsid w:val="00AE5CF0"/>
    <w:rsid w:val="00AE6ED0"/>
    <w:rsid w:val="00AE7232"/>
    <w:rsid w:val="00AF0F29"/>
    <w:rsid w:val="00AF2363"/>
    <w:rsid w:val="00AF2B8A"/>
    <w:rsid w:val="00AF4B6A"/>
    <w:rsid w:val="00AF6468"/>
    <w:rsid w:val="00AF6659"/>
    <w:rsid w:val="00AF70A1"/>
    <w:rsid w:val="00AF7966"/>
    <w:rsid w:val="00AF7DC9"/>
    <w:rsid w:val="00B01375"/>
    <w:rsid w:val="00B01560"/>
    <w:rsid w:val="00B019EA"/>
    <w:rsid w:val="00B01AB7"/>
    <w:rsid w:val="00B0251C"/>
    <w:rsid w:val="00B03365"/>
    <w:rsid w:val="00B03A6A"/>
    <w:rsid w:val="00B0474A"/>
    <w:rsid w:val="00B05721"/>
    <w:rsid w:val="00B05849"/>
    <w:rsid w:val="00B102DB"/>
    <w:rsid w:val="00B10861"/>
    <w:rsid w:val="00B10DFB"/>
    <w:rsid w:val="00B10F83"/>
    <w:rsid w:val="00B1233E"/>
    <w:rsid w:val="00B134D1"/>
    <w:rsid w:val="00B134E4"/>
    <w:rsid w:val="00B14ADC"/>
    <w:rsid w:val="00B17BBE"/>
    <w:rsid w:val="00B2051F"/>
    <w:rsid w:val="00B20B47"/>
    <w:rsid w:val="00B2115C"/>
    <w:rsid w:val="00B2196D"/>
    <w:rsid w:val="00B22B8A"/>
    <w:rsid w:val="00B23527"/>
    <w:rsid w:val="00B24899"/>
    <w:rsid w:val="00B24D72"/>
    <w:rsid w:val="00B26BF6"/>
    <w:rsid w:val="00B26D4B"/>
    <w:rsid w:val="00B27FDE"/>
    <w:rsid w:val="00B314B3"/>
    <w:rsid w:val="00B32400"/>
    <w:rsid w:val="00B34579"/>
    <w:rsid w:val="00B356AB"/>
    <w:rsid w:val="00B35793"/>
    <w:rsid w:val="00B35C83"/>
    <w:rsid w:val="00B36046"/>
    <w:rsid w:val="00B37362"/>
    <w:rsid w:val="00B374E6"/>
    <w:rsid w:val="00B3753E"/>
    <w:rsid w:val="00B408BD"/>
    <w:rsid w:val="00B41467"/>
    <w:rsid w:val="00B42031"/>
    <w:rsid w:val="00B42C5E"/>
    <w:rsid w:val="00B4302B"/>
    <w:rsid w:val="00B437F2"/>
    <w:rsid w:val="00B4445D"/>
    <w:rsid w:val="00B46069"/>
    <w:rsid w:val="00B46AE4"/>
    <w:rsid w:val="00B46AF7"/>
    <w:rsid w:val="00B501C7"/>
    <w:rsid w:val="00B50CDC"/>
    <w:rsid w:val="00B52442"/>
    <w:rsid w:val="00B5249F"/>
    <w:rsid w:val="00B5700C"/>
    <w:rsid w:val="00B57C8E"/>
    <w:rsid w:val="00B57E72"/>
    <w:rsid w:val="00B60B2D"/>
    <w:rsid w:val="00B60C89"/>
    <w:rsid w:val="00B61191"/>
    <w:rsid w:val="00B61A86"/>
    <w:rsid w:val="00B62CED"/>
    <w:rsid w:val="00B63421"/>
    <w:rsid w:val="00B63FAA"/>
    <w:rsid w:val="00B6467B"/>
    <w:rsid w:val="00B64D01"/>
    <w:rsid w:val="00B65B44"/>
    <w:rsid w:val="00B678A0"/>
    <w:rsid w:val="00B67DD1"/>
    <w:rsid w:val="00B710AA"/>
    <w:rsid w:val="00B718C6"/>
    <w:rsid w:val="00B72C63"/>
    <w:rsid w:val="00B7325D"/>
    <w:rsid w:val="00B73A6A"/>
    <w:rsid w:val="00B74010"/>
    <w:rsid w:val="00B75D7A"/>
    <w:rsid w:val="00B76145"/>
    <w:rsid w:val="00B764D9"/>
    <w:rsid w:val="00B7680C"/>
    <w:rsid w:val="00B76B1A"/>
    <w:rsid w:val="00B76BB3"/>
    <w:rsid w:val="00B76BED"/>
    <w:rsid w:val="00B77518"/>
    <w:rsid w:val="00B77B64"/>
    <w:rsid w:val="00B80C4A"/>
    <w:rsid w:val="00B83A1B"/>
    <w:rsid w:val="00B85862"/>
    <w:rsid w:val="00B86976"/>
    <w:rsid w:val="00B86FE3"/>
    <w:rsid w:val="00B90037"/>
    <w:rsid w:val="00B9047F"/>
    <w:rsid w:val="00B908F5"/>
    <w:rsid w:val="00B910C7"/>
    <w:rsid w:val="00B92BA8"/>
    <w:rsid w:val="00B92FEE"/>
    <w:rsid w:val="00B931A9"/>
    <w:rsid w:val="00B931EF"/>
    <w:rsid w:val="00B9395B"/>
    <w:rsid w:val="00B93AD2"/>
    <w:rsid w:val="00B93C49"/>
    <w:rsid w:val="00B948D4"/>
    <w:rsid w:val="00B953F4"/>
    <w:rsid w:val="00B95C62"/>
    <w:rsid w:val="00B9760C"/>
    <w:rsid w:val="00BA0143"/>
    <w:rsid w:val="00BA2040"/>
    <w:rsid w:val="00BA20A7"/>
    <w:rsid w:val="00BA33DB"/>
    <w:rsid w:val="00BA3B53"/>
    <w:rsid w:val="00BA4F6F"/>
    <w:rsid w:val="00BA5CB5"/>
    <w:rsid w:val="00BA6195"/>
    <w:rsid w:val="00BA740D"/>
    <w:rsid w:val="00BA7C8B"/>
    <w:rsid w:val="00BB058B"/>
    <w:rsid w:val="00BB128E"/>
    <w:rsid w:val="00BB12AC"/>
    <w:rsid w:val="00BB23FC"/>
    <w:rsid w:val="00BB3966"/>
    <w:rsid w:val="00BB46CC"/>
    <w:rsid w:val="00BB485F"/>
    <w:rsid w:val="00BB51E9"/>
    <w:rsid w:val="00BB6B0B"/>
    <w:rsid w:val="00BC022F"/>
    <w:rsid w:val="00BC1A25"/>
    <w:rsid w:val="00BC2242"/>
    <w:rsid w:val="00BC2B72"/>
    <w:rsid w:val="00BC3734"/>
    <w:rsid w:val="00BC3CDC"/>
    <w:rsid w:val="00BC54E6"/>
    <w:rsid w:val="00BC610F"/>
    <w:rsid w:val="00BC6FBF"/>
    <w:rsid w:val="00BD0885"/>
    <w:rsid w:val="00BD08CE"/>
    <w:rsid w:val="00BD1034"/>
    <w:rsid w:val="00BD11AA"/>
    <w:rsid w:val="00BD1E34"/>
    <w:rsid w:val="00BD2702"/>
    <w:rsid w:val="00BD381E"/>
    <w:rsid w:val="00BD384B"/>
    <w:rsid w:val="00BD4980"/>
    <w:rsid w:val="00BD4F36"/>
    <w:rsid w:val="00BD6059"/>
    <w:rsid w:val="00BD64B4"/>
    <w:rsid w:val="00BD6D13"/>
    <w:rsid w:val="00BE0DDA"/>
    <w:rsid w:val="00BE1395"/>
    <w:rsid w:val="00BE321B"/>
    <w:rsid w:val="00BE3DA6"/>
    <w:rsid w:val="00BE4B8D"/>
    <w:rsid w:val="00BE5804"/>
    <w:rsid w:val="00BF12BC"/>
    <w:rsid w:val="00BF13DD"/>
    <w:rsid w:val="00BF19CC"/>
    <w:rsid w:val="00BF1F8F"/>
    <w:rsid w:val="00BF28F9"/>
    <w:rsid w:val="00BF2C98"/>
    <w:rsid w:val="00BF349E"/>
    <w:rsid w:val="00BF426B"/>
    <w:rsid w:val="00BF556D"/>
    <w:rsid w:val="00BF5D6E"/>
    <w:rsid w:val="00BF7104"/>
    <w:rsid w:val="00BF772A"/>
    <w:rsid w:val="00BF7CD6"/>
    <w:rsid w:val="00BF7D9A"/>
    <w:rsid w:val="00C00A0A"/>
    <w:rsid w:val="00C01140"/>
    <w:rsid w:val="00C0286F"/>
    <w:rsid w:val="00C0379B"/>
    <w:rsid w:val="00C03DA4"/>
    <w:rsid w:val="00C05693"/>
    <w:rsid w:val="00C05A1F"/>
    <w:rsid w:val="00C05D47"/>
    <w:rsid w:val="00C06904"/>
    <w:rsid w:val="00C07737"/>
    <w:rsid w:val="00C07BA2"/>
    <w:rsid w:val="00C07EF6"/>
    <w:rsid w:val="00C07F06"/>
    <w:rsid w:val="00C10A46"/>
    <w:rsid w:val="00C10DB9"/>
    <w:rsid w:val="00C11372"/>
    <w:rsid w:val="00C12642"/>
    <w:rsid w:val="00C133A0"/>
    <w:rsid w:val="00C15A0A"/>
    <w:rsid w:val="00C16873"/>
    <w:rsid w:val="00C17EB2"/>
    <w:rsid w:val="00C20DD0"/>
    <w:rsid w:val="00C21111"/>
    <w:rsid w:val="00C21226"/>
    <w:rsid w:val="00C21327"/>
    <w:rsid w:val="00C21467"/>
    <w:rsid w:val="00C22509"/>
    <w:rsid w:val="00C233B2"/>
    <w:rsid w:val="00C243B8"/>
    <w:rsid w:val="00C24D13"/>
    <w:rsid w:val="00C25AA9"/>
    <w:rsid w:val="00C27A03"/>
    <w:rsid w:val="00C27DCC"/>
    <w:rsid w:val="00C32171"/>
    <w:rsid w:val="00C32871"/>
    <w:rsid w:val="00C32C01"/>
    <w:rsid w:val="00C32F24"/>
    <w:rsid w:val="00C350A6"/>
    <w:rsid w:val="00C35498"/>
    <w:rsid w:val="00C373E8"/>
    <w:rsid w:val="00C375CA"/>
    <w:rsid w:val="00C40F8E"/>
    <w:rsid w:val="00C4100B"/>
    <w:rsid w:val="00C42A5E"/>
    <w:rsid w:val="00C43C9B"/>
    <w:rsid w:val="00C44A71"/>
    <w:rsid w:val="00C4551D"/>
    <w:rsid w:val="00C45A0B"/>
    <w:rsid w:val="00C46087"/>
    <w:rsid w:val="00C51999"/>
    <w:rsid w:val="00C519AC"/>
    <w:rsid w:val="00C52136"/>
    <w:rsid w:val="00C53B65"/>
    <w:rsid w:val="00C53F14"/>
    <w:rsid w:val="00C54490"/>
    <w:rsid w:val="00C54D09"/>
    <w:rsid w:val="00C56626"/>
    <w:rsid w:val="00C56AC8"/>
    <w:rsid w:val="00C57AE3"/>
    <w:rsid w:val="00C57D16"/>
    <w:rsid w:val="00C60A0C"/>
    <w:rsid w:val="00C61039"/>
    <w:rsid w:val="00C6186F"/>
    <w:rsid w:val="00C62D00"/>
    <w:rsid w:val="00C63A26"/>
    <w:rsid w:val="00C640FD"/>
    <w:rsid w:val="00C64BBA"/>
    <w:rsid w:val="00C6592D"/>
    <w:rsid w:val="00C667AC"/>
    <w:rsid w:val="00C66A0A"/>
    <w:rsid w:val="00C66AE4"/>
    <w:rsid w:val="00C7040E"/>
    <w:rsid w:val="00C7054C"/>
    <w:rsid w:val="00C715F7"/>
    <w:rsid w:val="00C72688"/>
    <w:rsid w:val="00C7382F"/>
    <w:rsid w:val="00C73900"/>
    <w:rsid w:val="00C746D5"/>
    <w:rsid w:val="00C755E5"/>
    <w:rsid w:val="00C75ACD"/>
    <w:rsid w:val="00C76968"/>
    <w:rsid w:val="00C77483"/>
    <w:rsid w:val="00C7758A"/>
    <w:rsid w:val="00C809D6"/>
    <w:rsid w:val="00C80B8F"/>
    <w:rsid w:val="00C8181F"/>
    <w:rsid w:val="00C81EF3"/>
    <w:rsid w:val="00C82113"/>
    <w:rsid w:val="00C82128"/>
    <w:rsid w:val="00C8227F"/>
    <w:rsid w:val="00C82D7B"/>
    <w:rsid w:val="00C8334B"/>
    <w:rsid w:val="00C847F4"/>
    <w:rsid w:val="00C84EE5"/>
    <w:rsid w:val="00C85941"/>
    <w:rsid w:val="00C85DD8"/>
    <w:rsid w:val="00C85F7C"/>
    <w:rsid w:val="00C86FA6"/>
    <w:rsid w:val="00C87CD6"/>
    <w:rsid w:val="00C900A4"/>
    <w:rsid w:val="00C92681"/>
    <w:rsid w:val="00C92A2C"/>
    <w:rsid w:val="00C93828"/>
    <w:rsid w:val="00C95600"/>
    <w:rsid w:val="00C95755"/>
    <w:rsid w:val="00C9688B"/>
    <w:rsid w:val="00C97366"/>
    <w:rsid w:val="00C97F61"/>
    <w:rsid w:val="00C97FD3"/>
    <w:rsid w:val="00CA0D25"/>
    <w:rsid w:val="00CA1F8D"/>
    <w:rsid w:val="00CA2543"/>
    <w:rsid w:val="00CA3D3C"/>
    <w:rsid w:val="00CA3F3D"/>
    <w:rsid w:val="00CA536B"/>
    <w:rsid w:val="00CA6036"/>
    <w:rsid w:val="00CA66C4"/>
    <w:rsid w:val="00CA709D"/>
    <w:rsid w:val="00CA7A17"/>
    <w:rsid w:val="00CB36A0"/>
    <w:rsid w:val="00CB3731"/>
    <w:rsid w:val="00CB3C00"/>
    <w:rsid w:val="00CB3DAC"/>
    <w:rsid w:val="00CB3E10"/>
    <w:rsid w:val="00CB4327"/>
    <w:rsid w:val="00CB4663"/>
    <w:rsid w:val="00CB5185"/>
    <w:rsid w:val="00CB55EB"/>
    <w:rsid w:val="00CB6826"/>
    <w:rsid w:val="00CB7458"/>
    <w:rsid w:val="00CB7BC7"/>
    <w:rsid w:val="00CB7D8B"/>
    <w:rsid w:val="00CC1663"/>
    <w:rsid w:val="00CC2A28"/>
    <w:rsid w:val="00CC308B"/>
    <w:rsid w:val="00CC3C39"/>
    <w:rsid w:val="00CC5967"/>
    <w:rsid w:val="00CC59AE"/>
    <w:rsid w:val="00CC65CB"/>
    <w:rsid w:val="00CC7402"/>
    <w:rsid w:val="00CD0BFF"/>
    <w:rsid w:val="00CD48BE"/>
    <w:rsid w:val="00CD5B48"/>
    <w:rsid w:val="00CD714A"/>
    <w:rsid w:val="00CD754B"/>
    <w:rsid w:val="00CD7EAD"/>
    <w:rsid w:val="00CE1264"/>
    <w:rsid w:val="00CE229B"/>
    <w:rsid w:val="00CE37F2"/>
    <w:rsid w:val="00CE5059"/>
    <w:rsid w:val="00CE5E6A"/>
    <w:rsid w:val="00CE6000"/>
    <w:rsid w:val="00CE647D"/>
    <w:rsid w:val="00CE76A5"/>
    <w:rsid w:val="00CE785D"/>
    <w:rsid w:val="00CF09D2"/>
    <w:rsid w:val="00CF274C"/>
    <w:rsid w:val="00CF28CA"/>
    <w:rsid w:val="00CF40C8"/>
    <w:rsid w:val="00CF5BA4"/>
    <w:rsid w:val="00CF7B3A"/>
    <w:rsid w:val="00CF7C92"/>
    <w:rsid w:val="00CF7D1B"/>
    <w:rsid w:val="00D005F7"/>
    <w:rsid w:val="00D00DF3"/>
    <w:rsid w:val="00D0139B"/>
    <w:rsid w:val="00D0194B"/>
    <w:rsid w:val="00D02775"/>
    <w:rsid w:val="00D03000"/>
    <w:rsid w:val="00D03333"/>
    <w:rsid w:val="00D0388A"/>
    <w:rsid w:val="00D04039"/>
    <w:rsid w:val="00D042EF"/>
    <w:rsid w:val="00D056A0"/>
    <w:rsid w:val="00D064A0"/>
    <w:rsid w:val="00D07F52"/>
    <w:rsid w:val="00D10D17"/>
    <w:rsid w:val="00D10E0D"/>
    <w:rsid w:val="00D110E0"/>
    <w:rsid w:val="00D11389"/>
    <w:rsid w:val="00D12861"/>
    <w:rsid w:val="00D12916"/>
    <w:rsid w:val="00D13067"/>
    <w:rsid w:val="00D138A8"/>
    <w:rsid w:val="00D14B7A"/>
    <w:rsid w:val="00D1596A"/>
    <w:rsid w:val="00D15A7D"/>
    <w:rsid w:val="00D15A8B"/>
    <w:rsid w:val="00D1660C"/>
    <w:rsid w:val="00D17BA0"/>
    <w:rsid w:val="00D17D3F"/>
    <w:rsid w:val="00D201E1"/>
    <w:rsid w:val="00D2208F"/>
    <w:rsid w:val="00D22543"/>
    <w:rsid w:val="00D23119"/>
    <w:rsid w:val="00D247EE"/>
    <w:rsid w:val="00D263CA"/>
    <w:rsid w:val="00D26B18"/>
    <w:rsid w:val="00D276AB"/>
    <w:rsid w:val="00D304B2"/>
    <w:rsid w:val="00D30D6E"/>
    <w:rsid w:val="00D30DC4"/>
    <w:rsid w:val="00D34E70"/>
    <w:rsid w:val="00D35DF1"/>
    <w:rsid w:val="00D362F4"/>
    <w:rsid w:val="00D37010"/>
    <w:rsid w:val="00D379C3"/>
    <w:rsid w:val="00D37E6A"/>
    <w:rsid w:val="00D41037"/>
    <w:rsid w:val="00D43630"/>
    <w:rsid w:val="00D43CC3"/>
    <w:rsid w:val="00D44CCB"/>
    <w:rsid w:val="00D44FD4"/>
    <w:rsid w:val="00D450D7"/>
    <w:rsid w:val="00D463AD"/>
    <w:rsid w:val="00D477AE"/>
    <w:rsid w:val="00D502AD"/>
    <w:rsid w:val="00D50DDF"/>
    <w:rsid w:val="00D5172C"/>
    <w:rsid w:val="00D52860"/>
    <w:rsid w:val="00D52AEC"/>
    <w:rsid w:val="00D5512B"/>
    <w:rsid w:val="00D60121"/>
    <w:rsid w:val="00D60B40"/>
    <w:rsid w:val="00D6282E"/>
    <w:rsid w:val="00D63E03"/>
    <w:rsid w:val="00D64E1C"/>
    <w:rsid w:val="00D656FC"/>
    <w:rsid w:val="00D6580F"/>
    <w:rsid w:val="00D65DBA"/>
    <w:rsid w:val="00D67063"/>
    <w:rsid w:val="00D67F07"/>
    <w:rsid w:val="00D7100D"/>
    <w:rsid w:val="00D72FEE"/>
    <w:rsid w:val="00D737BC"/>
    <w:rsid w:val="00D738B3"/>
    <w:rsid w:val="00D73EDF"/>
    <w:rsid w:val="00D74BD3"/>
    <w:rsid w:val="00D755FC"/>
    <w:rsid w:val="00D76EDC"/>
    <w:rsid w:val="00D7774A"/>
    <w:rsid w:val="00D778C2"/>
    <w:rsid w:val="00D801BC"/>
    <w:rsid w:val="00D80D2B"/>
    <w:rsid w:val="00D80F12"/>
    <w:rsid w:val="00D81714"/>
    <w:rsid w:val="00D81BC1"/>
    <w:rsid w:val="00D82DA0"/>
    <w:rsid w:val="00D82F5F"/>
    <w:rsid w:val="00D84CAF"/>
    <w:rsid w:val="00D872A5"/>
    <w:rsid w:val="00D87D15"/>
    <w:rsid w:val="00D87EC8"/>
    <w:rsid w:val="00D916A4"/>
    <w:rsid w:val="00D938E6"/>
    <w:rsid w:val="00D944FE"/>
    <w:rsid w:val="00D956F4"/>
    <w:rsid w:val="00D9691F"/>
    <w:rsid w:val="00D96EBB"/>
    <w:rsid w:val="00D97666"/>
    <w:rsid w:val="00D97D9F"/>
    <w:rsid w:val="00DA245E"/>
    <w:rsid w:val="00DA4629"/>
    <w:rsid w:val="00DA4C4E"/>
    <w:rsid w:val="00DA5109"/>
    <w:rsid w:val="00DA5122"/>
    <w:rsid w:val="00DA53DA"/>
    <w:rsid w:val="00DA5B7E"/>
    <w:rsid w:val="00DA5C0B"/>
    <w:rsid w:val="00DB0854"/>
    <w:rsid w:val="00DB0D92"/>
    <w:rsid w:val="00DB1AE9"/>
    <w:rsid w:val="00DB3CB5"/>
    <w:rsid w:val="00DB3CE3"/>
    <w:rsid w:val="00DB70D2"/>
    <w:rsid w:val="00DB78BF"/>
    <w:rsid w:val="00DC1E5F"/>
    <w:rsid w:val="00DC258A"/>
    <w:rsid w:val="00DC2C2E"/>
    <w:rsid w:val="00DC3009"/>
    <w:rsid w:val="00DC4E8C"/>
    <w:rsid w:val="00DC5A6F"/>
    <w:rsid w:val="00DC5BCC"/>
    <w:rsid w:val="00DC60C3"/>
    <w:rsid w:val="00DC64EA"/>
    <w:rsid w:val="00DD00A2"/>
    <w:rsid w:val="00DD014F"/>
    <w:rsid w:val="00DD11D0"/>
    <w:rsid w:val="00DD181D"/>
    <w:rsid w:val="00DD1A53"/>
    <w:rsid w:val="00DD24DD"/>
    <w:rsid w:val="00DD3016"/>
    <w:rsid w:val="00DD3A16"/>
    <w:rsid w:val="00DD40FD"/>
    <w:rsid w:val="00DD4B97"/>
    <w:rsid w:val="00DD56B5"/>
    <w:rsid w:val="00DD5BF5"/>
    <w:rsid w:val="00DD7249"/>
    <w:rsid w:val="00DE00D1"/>
    <w:rsid w:val="00DE0D21"/>
    <w:rsid w:val="00DE46C0"/>
    <w:rsid w:val="00DE4F94"/>
    <w:rsid w:val="00DE5C44"/>
    <w:rsid w:val="00DE62C8"/>
    <w:rsid w:val="00DE7703"/>
    <w:rsid w:val="00DE7CF5"/>
    <w:rsid w:val="00DF0E31"/>
    <w:rsid w:val="00DF1695"/>
    <w:rsid w:val="00DF276D"/>
    <w:rsid w:val="00DF3D08"/>
    <w:rsid w:val="00DF412F"/>
    <w:rsid w:val="00DF41B3"/>
    <w:rsid w:val="00DF5069"/>
    <w:rsid w:val="00DF7103"/>
    <w:rsid w:val="00DF7456"/>
    <w:rsid w:val="00E006ED"/>
    <w:rsid w:val="00E0181C"/>
    <w:rsid w:val="00E025E8"/>
    <w:rsid w:val="00E03369"/>
    <w:rsid w:val="00E069A2"/>
    <w:rsid w:val="00E07244"/>
    <w:rsid w:val="00E074E3"/>
    <w:rsid w:val="00E075B8"/>
    <w:rsid w:val="00E07822"/>
    <w:rsid w:val="00E10312"/>
    <w:rsid w:val="00E104B6"/>
    <w:rsid w:val="00E1176C"/>
    <w:rsid w:val="00E142C1"/>
    <w:rsid w:val="00E148E1"/>
    <w:rsid w:val="00E14C8C"/>
    <w:rsid w:val="00E14CF5"/>
    <w:rsid w:val="00E150BC"/>
    <w:rsid w:val="00E15692"/>
    <w:rsid w:val="00E1681A"/>
    <w:rsid w:val="00E16D9C"/>
    <w:rsid w:val="00E201DF"/>
    <w:rsid w:val="00E20507"/>
    <w:rsid w:val="00E20C13"/>
    <w:rsid w:val="00E22D72"/>
    <w:rsid w:val="00E23DD9"/>
    <w:rsid w:val="00E245A5"/>
    <w:rsid w:val="00E248B3"/>
    <w:rsid w:val="00E303E9"/>
    <w:rsid w:val="00E3129F"/>
    <w:rsid w:val="00E31323"/>
    <w:rsid w:val="00E3180D"/>
    <w:rsid w:val="00E33834"/>
    <w:rsid w:val="00E3399D"/>
    <w:rsid w:val="00E342BA"/>
    <w:rsid w:val="00E343AE"/>
    <w:rsid w:val="00E35290"/>
    <w:rsid w:val="00E35B87"/>
    <w:rsid w:val="00E35FBF"/>
    <w:rsid w:val="00E36425"/>
    <w:rsid w:val="00E3679A"/>
    <w:rsid w:val="00E42896"/>
    <w:rsid w:val="00E42AA6"/>
    <w:rsid w:val="00E44927"/>
    <w:rsid w:val="00E4495F"/>
    <w:rsid w:val="00E45200"/>
    <w:rsid w:val="00E45ACE"/>
    <w:rsid w:val="00E4634B"/>
    <w:rsid w:val="00E47D1D"/>
    <w:rsid w:val="00E47DB1"/>
    <w:rsid w:val="00E509B8"/>
    <w:rsid w:val="00E53ED5"/>
    <w:rsid w:val="00E5483C"/>
    <w:rsid w:val="00E5574A"/>
    <w:rsid w:val="00E55C24"/>
    <w:rsid w:val="00E563D9"/>
    <w:rsid w:val="00E5659E"/>
    <w:rsid w:val="00E56F67"/>
    <w:rsid w:val="00E6110F"/>
    <w:rsid w:val="00E612B6"/>
    <w:rsid w:val="00E61731"/>
    <w:rsid w:val="00E62696"/>
    <w:rsid w:val="00E64699"/>
    <w:rsid w:val="00E655A4"/>
    <w:rsid w:val="00E675C1"/>
    <w:rsid w:val="00E70D1F"/>
    <w:rsid w:val="00E742D0"/>
    <w:rsid w:val="00E758C8"/>
    <w:rsid w:val="00E75AAB"/>
    <w:rsid w:val="00E76773"/>
    <w:rsid w:val="00E76830"/>
    <w:rsid w:val="00E76B8B"/>
    <w:rsid w:val="00E772DE"/>
    <w:rsid w:val="00E77EC3"/>
    <w:rsid w:val="00E80314"/>
    <w:rsid w:val="00E81F1E"/>
    <w:rsid w:val="00E81FC9"/>
    <w:rsid w:val="00E8331A"/>
    <w:rsid w:val="00E83471"/>
    <w:rsid w:val="00E85470"/>
    <w:rsid w:val="00E857B0"/>
    <w:rsid w:val="00E86086"/>
    <w:rsid w:val="00E86D3E"/>
    <w:rsid w:val="00E86E2A"/>
    <w:rsid w:val="00E87496"/>
    <w:rsid w:val="00E8798F"/>
    <w:rsid w:val="00E87B15"/>
    <w:rsid w:val="00E87B67"/>
    <w:rsid w:val="00E90897"/>
    <w:rsid w:val="00E90A17"/>
    <w:rsid w:val="00E9172D"/>
    <w:rsid w:val="00E918CA"/>
    <w:rsid w:val="00E9252D"/>
    <w:rsid w:val="00E92D77"/>
    <w:rsid w:val="00E93159"/>
    <w:rsid w:val="00E93607"/>
    <w:rsid w:val="00E96AAE"/>
    <w:rsid w:val="00E96BAB"/>
    <w:rsid w:val="00E97A40"/>
    <w:rsid w:val="00EA0AA3"/>
    <w:rsid w:val="00EA29AC"/>
    <w:rsid w:val="00EA79FC"/>
    <w:rsid w:val="00EB0A9F"/>
    <w:rsid w:val="00EB1E47"/>
    <w:rsid w:val="00EB5AC9"/>
    <w:rsid w:val="00EC02EA"/>
    <w:rsid w:val="00EC1401"/>
    <w:rsid w:val="00EC18F4"/>
    <w:rsid w:val="00EC1FA2"/>
    <w:rsid w:val="00EC2C8E"/>
    <w:rsid w:val="00EC3012"/>
    <w:rsid w:val="00EC41BB"/>
    <w:rsid w:val="00EC4615"/>
    <w:rsid w:val="00EC4EE8"/>
    <w:rsid w:val="00EC5F8D"/>
    <w:rsid w:val="00ED0065"/>
    <w:rsid w:val="00ED20BE"/>
    <w:rsid w:val="00ED3C2D"/>
    <w:rsid w:val="00ED44EB"/>
    <w:rsid w:val="00ED44FE"/>
    <w:rsid w:val="00ED48E1"/>
    <w:rsid w:val="00ED4B9E"/>
    <w:rsid w:val="00ED4C6B"/>
    <w:rsid w:val="00ED53E5"/>
    <w:rsid w:val="00ED5D11"/>
    <w:rsid w:val="00ED689B"/>
    <w:rsid w:val="00ED6D35"/>
    <w:rsid w:val="00ED74C6"/>
    <w:rsid w:val="00ED756D"/>
    <w:rsid w:val="00ED786A"/>
    <w:rsid w:val="00ED7ABD"/>
    <w:rsid w:val="00ED7BEF"/>
    <w:rsid w:val="00EE00C1"/>
    <w:rsid w:val="00EE036D"/>
    <w:rsid w:val="00EE1727"/>
    <w:rsid w:val="00EE1E51"/>
    <w:rsid w:val="00EE2ED5"/>
    <w:rsid w:val="00EE34A4"/>
    <w:rsid w:val="00EE520E"/>
    <w:rsid w:val="00EE791F"/>
    <w:rsid w:val="00EF139F"/>
    <w:rsid w:val="00EF3705"/>
    <w:rsid w:val="00EF3A1B"/>
    <w:rsid w:val="00EF45FC"/>
    <w:rsid w:val="00EF58EF"/>
    <w:rsid w:val="00EF5D8D"/>
    <w:rsid w:val="00EF5E8F"/>
    <w:rsid w:val="00EF6D57"/>
    <w:rsid w:val="00EF7B64"/>
    <w:rsid w:val="00F010FB"/>
    <w:rsid w:val="00F01483"/>
    <w:rsid w:val="00F02D34"/>
    <w:rsid w:val="00F031BA"/>
    <w:rsid w:val="00F033A2"/>
    <w:rsid w:val="00F0458D"/>
    <w:rsid w:val="00F05B86"/>
    <w:rsid w:val="00F05FB2"/>
    <w:rsid w:val="00F06042"/>
    <w:rsid w:val="00F06B01"/>
    <w:rsid w:val="00F07529"/>
    <w:rsid w:val="00F105B9"/>
    <w:rsid w:val="00F11AF4"/>
    <w:rsid w:val="00F12566"/>
    <w:rsid w:val="00F12D4C"/>
    <w:rsid w:val="00F14672"/>
    <w:rsid w:val="00F150E4"/>
    <w:rsid w:val="00F168E3"/>
    <w:rsid w:val="00F21B5F"/>
    <w:rsid w:val="00F22D19"/>
    <w:rsid w:val="00F2410E"/>
    <w:rsid w:val="00F250BC"/>
    <w:rsid w:val="00F273C2"/>
    <w:rsid w:val="00F30E4E"/>
    <w:rsid w:val="00F310C1"/>
    <w:rsid w:val="00F328F6"/>
    <w:rsid w:val="00F32900"/>
    <w:rsid w:val="00F334D0"/>
    <w:rsid w:val="00F3374A"/>
    <w:rsid w:val="00F3380F"/>
    <w:rsid w:val="00F33F4C"/>
    <w:rsid w:val="00F344DC"/>
    <w:rsid w:val="00F3545D"/>
    <w:rsid w:val="00F35CC8"/>
    <w:rsid w:val="00F368DF"/>
    <w:rsid w:val="00F377BD"/>
    <w:rsid w:val="00F378B4"/>
    <w:rsid w:val="00F404F9"/>
    <w:rsid w:val="00F41A7D"/>
    <w:rsid w:val="00F41D75"/>
    <w:rsid w:val="00F41D8B"/>
    <w:rsid w:val="00F41F3D"/>
    <w:rsid w:val="00F422DC"/>
    <w:rsid w:val="00F42C31"/>
    <w:rsid w:val="00F43B82"/>
    <w:rsid w:val="00F43F43"/>
    <w:rsid w:val="00F44E49"/>
    <w:rsid w:val="00F44F93"/>
    <w:rsid w:val="00F4506E"/>
    <w:rsid w:val="00F4675E"/>
    <w:rsid w:val="00F467EB"/>
    <w:rsid w:val="00F47459"/>
    <w:rsid w:val="00F527D1"/>
    <w:rsid w:val="00F53472"/>
    <w:rsid w:val="00F53528"/>
    <w:rsid w:val="00F53A91"/>
    <w:rsid w:val="00F54C4B"/>
    <w:rsid w:val="00F54E92"/>
    <w:rsid w:val="00F54F67"/>
    <w:rsid w:val="00F55820"/>
    <w:rsid w:val="00F5646E"/>
    <w:rsid w:val="00F56AA9"/>
    <w:rsid w:val="00F5760A"/>
    <w:rsid w:val="00F601CF"/>
    <w:rsid w:val="00F61547"/>
    <w:rsid w:val="00F61852"/>
    <w:rsid w:val="00F62C51"/>
    <w:rsid w:val="00F648A7"/>
    <w:rsid w:val="00F65B89"/>
    <w:rsid w:val="00F66065"/>
    <w:rsid w:val="00F66D12"/>
    <w:rsid w:val="00F6792F"/>
    <w:rsid w:val="00F7049E"/>
    <w:rsid w:val="00F71501"/>
    <w:rsid w:val="00F72565"/>
    <w:rsid w:val="00F729A5"/>
    <w:rsid w:val="00F7399A"/>
    <w:rsid w:val="00F73F9B"/>
    <w:rsid w:val="00F74837"/>
    <w:rsid w:val="00F7536C"/>
    <w:rsid w:val="00F7552F"/>
    <w:rsid w:val="00F75E83"/>
    <w:rsid w:val="00F76263"/>
    <w:rsid w:val="00F762B2"/>
    <w:rsid w:val="00F80D2A"/>
    <w:rsid w:val="00F8266A"/>
    <w:rsid w:val="00F82F05"/>
    <w:rsid w:val="00F844FA"/>
    <w:rsid w:val="00F84A7C"/>
    <w:rsid w:val="00F86331"/>
    <w:rsid w:val="00F86810"/>
    <w:rsid w:val="00F876E1"/>
    <w:rsid w:val="00F90879"/>
    <w:rsid w:val="00F908CD"/>
    <w:rsid w:val="00F90BAE"/>
    <w:rsid w:val="00F92A6F"/>
    <w:rsid w:val="00F92C86"/>
    <w:rsid w:val="00F93356"/>
    <w:rsid w:val="00F94891"/>
    <w:rsid w:val="00F94A50"/>
    <w:rsid w:val="00F9691D"/>
    <w:rsid w:val="00FA07B5"/>
    <w:rsid w:val="00FA2285"/>
    <w:rsid w:val="00FA24B4"/>
    <w:rsid w:val="00FA2CB1"/>
    <w:rsid w:val="00FA3B5E"/>
    <w:rsid w:val="00FA3BB6"/>
    <w:rsid w:val="00FA3C9B"/>
    <w:rsid w:val="00FA4A5A"/>
    <w:rsid w:val="00FA4F10"/>
    <w:rsid w:val="00FA553B"/>
    <w:rsid w:val="00FA6820"/>
    <w:rsid w:val="00FA77A2"/>
    <w:rsid w:val="00FA7EE4"/>
    <w:rsid w:val="00FB06DF"/>
    <w:rsid w:val="00FB0FF2"/>
    <w:rsid w:val="00FB1766"/>
    <w:rsid w:val="00FB3D58"/>
    <w:rsid w:val="00FB5101"/>
    <w:rsid w:val="00FB5159"/>
    <w:rsid w:val="00FB51C6"/>
    <w:rsid w:val="00FB69B3"/>
    <w:rsid w:val="00FB740B"/>
    <w:rsid w:val="00FC0C98"/>
    <w:rsid w:val="00FC3539"/>
    <w:rsid w:val="00FC377F"/>
    <w:rsid w:val="00FC6AD2"/>
    <w:rsid w:val="00FC6BB1"/>
    <w:rsid w:val="00FC6F85"/>
    <w:rsid w:val="00FD1ABD"/>
    <w:rsid w:val="00FD2270"/>
    <w:rsid w:val="00FD2661"/>
    <w:rsid w:val="00FD2929"/>
    <w:rsid w:val="00FD3C48"/>
    <w:rsid w:val="00FD4405"/>
    <w:rsid w:val="00FD49B6"/>
    <w:rsid w:val="00FD66D0"/>
    <w:rsid w:val="00FD6909"/>
    <w:rsid w:val="00FD6CF9"/>
    <w:rsid w:val="00FD726C"/>
    <w:rsid w:val="00FE067D"/>
    <w:rsid w:val="00FE36F6"/>
    <w:rsid w:val="00FE40F0"/>
    <w:rsid w:val="00FE5C76"/>
    <w:rsid w:val="00FE5F3E"/>
    <w:rsid w:val="00FE60DF"/>
    <w:rsid w:val="00FE7445"/>
    <w:rsid w:val="00FE7696"/>
    <w:rsid w:val="00FE77A0"/>
    <w:rsid w:val="00FE7980"/>
    <w:rsid w:val="00FE7A1F"/>
    <w:rsid w:val="00FF0148"/>
    <w:rsid w:val="00FF0B43"/>
    <w:rsid w:val="00FF18F1"/>
    <w:rsid w:val="00FF1DCA"/>
    <w:rsid w:val="00FF3B7B"/>
    <w:rsid w:val="00FF3ED4"/>
    <w:rsid w:val="00FF476D"/>
    <w:rsid w:val="00FF5715"/>
    <w:rsid w:val="00FF73D1"/>
    <w:rsid w:val="00FF7CC3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4AF54DDA"/>
  <w15:docId w15:val="{4EF56462-761C-487B-9594-DC3BA120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B7F"/>
  </w:style>
  <w:style w:type="paragraph" w:styleId="Nagwek1">
    <w:name w:val="heading 1"/>
    <w:basedOn w:val="Normalny"/>
    <w:next w:val="Normalny"/>
    <w:link w:val="Nagwek1Znak"/>
    <w:uiPriority w:val="9"/>
    <w:qFormat/>
    <w:rsid w:val="00023B7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3B7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B7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2852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B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3B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42852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B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3B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B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42852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B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23B7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E9172D"/>
    <w:rPr>
      <w:rFonts w:ascii="Times New Roman" w:hAnsi="Times New Roman" w:cs="Times New Roman" w:hint="default"/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23B7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9172D"/>
    <w:pPr>
      <w:suppressAutoHyphens/>
      <w:spacing w:before="280" w:after="280"/>
    </w:pPr>
    <w:rPr>
      <w:rFonts w:eastAsia="Calibri"/>
      <w:lang w:eastAsia="zh-CN"/>
    </w:rPr>
  </w:style>
  <w:style w:type="character" w:customStyle="1" w:styleId="TekstprzypisudolnegoZnak">
    <w:name w:val="Tekst przypisu dolnego Znak"/>
    <w:aliases w:val="Znak3 Znak Znak,Tekst przypisu dolnego Znak Znak Znak,Podrozdział Znak Znak Znak Znak,Znak1 Znak Znak,Tekst przypisu dolnego Znak1 Znak Znak,Podrozdział Znak Znak1 Znak Znak,Znak1 Znak1 Znak Znak,Znak1 Znak2 Znak"/>
    <w:basedOn w:val="Domylnaczcionkaakapitu"/>
    <w:link w:val="Tekstprzypisudolnego"/>
    <w:uiPriority w:val="99"/>
    <w:locked/>
    <w:rsid w:val="00E9172D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Znak3 Znak,Tekst przypisu dolnego Znak Znak,Podrozdział Znak Znak Znak,Znak1 Znak,Tekst przypisu dolnego Znak1 Znak,Podrozdział Znak Znak1 Znak,Znak1 Znak1 Znak,Znak1 Znak2,Tekst przypisu,Tekst przypisu dolnego-poligrafia,Footnote"/>
    <w:basedOn w:val="Normalny"/>
    <w:link w:val="TekstprzypisudolnegoZnak"/>
    <w:uiPriority w:val="99"/>
    <w:unhideWhenUsed/>
    <w:rsid w:val="00E9172D"/>
    <w:pPr>
      <w:spacing w:after="0"/>
      <w:ind w:left="142" w:hanging="142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E9172D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172D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172D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9172D"/>
    <w:pPr>
      <w:tabs>
        <w:tab w:val="num" w:pos="1080"/>
      </w:tabs>
      <w:spacing w:after="0" w:line="360" w:lineRule="auto"/>
      <w:ind w:left="360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17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172D"/>
    <w:pPr>
      <w:ind w:left="720"/>
      <w:contextualSpacing/>
    </w:pPr>
  </w:style>
  <w:style w:type="paragraph" w:customStyle="1" w:styleId="Text1">
    <w:name w:val="Text 1"/>
    <w:basedOn w:val="Normalny"/>
    <w:uiPriority w:val="99"/>
    <w:rsid w:val="00E9172D"/>
    <w:pPr>
      <w:ind w:left="850"/>
    </w:pPr>
  </w:style>
  <w:style w:type="paragraph" w:customStyle="1" w:styleId="NormalLeft">
    <w:name w:val="Normal Left"/>
    <w:basedOn w:val="Normalny"/>
    <w:rsid w:val="00E9172D"/>
  </w:style>
  <w:style w:type="character" w:customStyle="1" w:styleId="ManualNumPar1Char">
    <w:name w:val="Manual NumPar 1 Char"/>
    <w:link w:val="ManualNumPar1"/>
    <w:locked/>
    <w:rsid w:val="00E9172D"/>
    <w:rPr>
      <w:rFonts w:ascii="Times New Roman" w:hAnsi="Times New Roman" w:cs="Times New Roman"/>
      <w:sz w:val="24"/>
      <w:szCs w:val="20"/>
    </w:rPr>
  </w:style>
  <w:style w:type="paragraph" w:customStyle="1" w:styleId="ManualNumPar1">
    <w:name w:val="Manual NumPar 1"/>
    <w:basedOn w:val="Normalny"/>
    <w:next w:val="Text1"/>
    <w:link w:val="ManualNumPar1Char"/>
    <w:rsid w:val="00E9172D"/>
    <w:pPr>
      <w:ind w:left="850" w:hanging="850"/>
    </w:pPr>
    <w:rPr>
      <w:rFonts w:eastAsiaTheme="minorHAnsi"/>
    </w:rPr>
  </w:style>
  <w:style w:type="paragraph" w:customStyle="1" w:styleId="Point1">
    <w:name w:val="Point 1"/>
    <w:basedOn w:val="Normalny"/>
    <w:uiPriority w:val="99"/>
    <w:rsid w:val="00E9172D"/>
    <w:pPr>
      <w:ind w:left="1417" w:hanging="567"/>
    </w:pPr>
  </w:style>
  <w:style w:type="paragraph" w:customStyle="1" w:styleId="ManualConsidrant">
    <w:name w:val="Manual Considérant"/>
    <w:basedOn w:val="Normalny"/>
    <w:uiPriority w:val="99"/>
    <w:rsid w:val="00E9172D"/>
    <w:pPr>
      <w:ind w:left="709" w:hanging="709"/>
    </w:pPr>
  </w:style>
  <w:style w:type="paragraph" w:customStyle="1" w:styleId="Point0">
    <w:name w:val="Point 0"/>
    <w:basedOn w:val="Normalny"/>
    <w:uiPriority w:val="99"/>
    <w:rsid w:val="00E9172D"/>
    <w:pPr>
      <w:ind w:left="850" w:hanging="850"/>
    </w:p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semiHidden/>
    <w:unhideWhenUsed/>
    <w:rsid w:val="00E9172D"/>
    <w:rPr>
      <w:rFonts w:ascii="Times New Roman" w:hAnsi="Times New Roman" w:cs="Times New Roman" w:hint="default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23B7F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A80A5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80A5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80A5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80A5A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8C202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2">
    <w:name w:val="Styl Nagłówek 2"/>
    <w:aliases w:val="Nagłówek 2 PO WER + Pierwszy wiersz:  0 cm"/>
    <w:basedOn w:val="Nagwek2"/>
    <w:uiPriority w:val="99"/>
    <w:rsid w:val="00B92BA8"/>
    <w:pPr>
      <w:spacing w:before="240" w:after="60"/>
      <w:ind w:left="567"/>
      <w:jc w:val="both"/>
    </w:pPr>
    <w:rPr>
      <w:rFonts w:ascii="Calibri" w:hAnsi="Calibri" w:cs="Calibri"/>
      <w:i/>
      <w:iCs/>
      <w:smallCaps/>
      <w:color w:val="FF6600"/>
      <w:szCs w:val="22"/>
    </w:rPr>
  </w:style>
  <w:style w:type="character" w:styleId="Pogrubienie">
    <w:name w:val="Strong"/>
    <w:basedOn w:val="Domylnaczcionkaakapitu"/>
    <w:uiPriority w:val="22"/>
    <w:qFormat/>
    <w:rsid w:val="00023B7F"/>
    <w:rPr>
      <w:b/>
      <w:bCs/>
    </w:rPr>
  </w:style>
  <w:style w:type="paragraph" w:customStyle="1" w:styleId="ZnakZnakZnakZnakZnakZnak">
    <w:name w:val="Znak Znak Znak Znak Znak Znak"/>
    <w:basedOn w:val="Normalny"/>
    <w:rsid w:val="005E1055"/>
    <w:pPr>
      <w:spacing w:after="0"/>
    </w:pPr>
    <w:rPr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16633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1663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64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1F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1F5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7CF"/>
    <w:pPr>
      <w:spacing w:after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7C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47C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3119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3119"/>
    <w:rPr>
      <w:rFonts w:ascii="Times New Roman" w:eastAsia="Times New Roman" w:hAnsi="Times New Roman" w:cs="Times New Roman"/>
      <w:sz w:val="24"/>
      <w:szCs w:val="24"/>
    </w:rPr>
  </w:style>
  <w:style w:type="character" w:customStyle="1" w:styleId="contact-street">
    <w:name w:val="contact-street"/>
    <w:basedOn w:val="Domylnaczcionkaakapitu"/>
    <w:rsid w:val="007732C0"/>
  </w:style>
  <w:style w:type="character" w:customStyle="1" w:styleId="contact-suburb">
    <w:name w:val="contact-suburb"/>
    <w:basedOn w:val="Domylnaczcionkaakapitu"/>
    <w:rsid w:val="007732C0"/>
  </w:style>
  <w:style w:type="character" w:customStyle="1" w:styleId="contact-state">
    <w:name w:val="contact-state"/>
    <w:basedOn w:val="Domylnaczcionkaakapitu"/>
    <w:rsid w:val="007732C0"/>
  </w:style>
  <w:style w:type="character" w:customStyle="1" w:styleId="contact-postcode">
    <w:name w:val="contact-postcode"/>
    <w:basedOn w:val="Domylnaczcionkaakapitu"/>
    <w:rsid w:val="007732C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B7F"/>
    <w:rPr>
      <w:rFonts w:asciiTheme="majorHAnsi" w:eastAsiaTheme="majorEastAsia" w:hAnsiTheme="majorHAnsi" w:cstheme="majorBidi"/>
      <w:color w:val="242852" w:themeColor="text2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A64AE3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basedOn w:val="Domylnaczcionkaakapitu"/>
    <w:uiPriority w:val="33"/>
    <w:qFormat/>
    <w:rsid w:val="00023B7F"/>
    <w:rPr>
      <w:b/>
      <w:bCs/>
      <w:smallCaps/>
    </w:rPr>
  </w:style>
  <w:style w:type="paragraph" w:styleId="Bezodstpw">
    <w:name w:val="No Spacing"/>
    <w:uiPriority w:val="1"/>
    <w:qFormat/>
    <w:rsid w:val="00023B7F"/>
    <w:pPr>
      <w:spacing w:after="0" w:line="240" w:lineRule="auto"/>
    </w:pPr>
  </w:style>
  <w:style w:type="paragraph" w:customStyle="1" w:styleId="CoffeyBullet1">
    <w:name w:val="Coffey Bullet 1"/>
    <w:basedOn w:val="Normalny"/>
    <w:rsid w:val="00763331"/>
    <w:pPr>
      <w:numPr>
        <w:numId w:val="1"/>
      </w:numPr>
      <w:spacing w:before="77" w:after="113" w:line="250" w:lineRule="exact"/>
    </w:pPr>
    <w:rPr>
      <w:rFonts w:ascii="Arial" w:hAnsi="Arial"/>
    </w:rPr>
  </w:style>
  <w:style w:type="table" w:styleId="Jasnalistaakcent2">
    <w:name w:val="Light List Accent 2"/>
    <w:basedOn w:val="Standardowy"/>
    <w:uiPriority w:val="61"/>
    <w:rsid w:val="002F09BE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A5132A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intensywne">
    <w:name w:val="Intense Reference"/>
    <w:basedOn w:val="Domylnaczcionkaakapitu"/>
    <w:uiPriority w:val="32"/>
    <w:qFormat/>
    <w:rsid w:val="00023B7F"/>
    <w:rPr>
      <w:b/>
      <w:bCs/>
      <w:smallCaps/>
      <w:spacing w:val="5"/>
      <w:u w:val="single"/>
    </w:rPr>
  </w:style>
  <w:style w:type="paragraph" w:styleId="Poprawka">
    <w:name w:val="Revision"/>
    <w:hidden/>
    <w:uiPriority w:val="99"/>
    <w:semiHidden/>
    <w:rsid w:val="00CD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4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46E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46E2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6E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BF6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B7F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3B7F"/>
    <w:rPr>
      <w:rFonts w:asciiTheme="majorHAnsi" w:eastAsiaTheme="majorEastAsia" w:hAnsiTheme="majorHAnsi" w:cstheme="majorBidi"/>
      <w:color w:val="242852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B7F"/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3B7F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B7F"/>
    <w:rPr>
      <w:rFonts w:asciiTheme="majorHAnsi" w:eastAsiaTheme="majorEastAsia" w:hAnsiTheme="majorHAnsi" w:cstheme="majorBidi"/>
      <w:b/>
      <w:bCs/>
      <w:color w:val="242852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B7F"/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23B7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023B7F"/>
    <w:pPr>
      <w:spacing w:after="0" w:line="240" w:lineRule="auto"/>
      <w:contextualSpacing/>
    </w:pPr>
    <w:rPr>
      <w:rFonts w:asciiTheme="majorHAnsi" w:eastAsiaTheme="majorEastAsia" w:hAnsiTheme="majorHAnsi" w:cstheme="majorBidi"/>
      <w:color w:val="4A66AC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B7F"/>
    <w:rPr>
      <w:rFonts w:asciiTheme="majorHAnsi" w:eastAsiaTheme="majorEastAsia" w:hAnsiTheme="majorHAnsi" w:cstheme="majorBidi"/>
      <w:color w:val="4A66AC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B7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23B7F"/>
    <w:rPr>
      <w:rFonts w:asciiTheme="majorHAnsi" w:eastAsiaTheme="majorEastAsia" w:hAnsiTheme="majorHAnsi" w:cstheme="majorBidi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023B7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B7F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B7F"/>
    <w:pPr>
      <w:pBdr>
        <w:left w:val="single" w:sz="18" w:space="12" w:color="4A66AC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B7F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023B7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023B7F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023B7F"/>
    <w:rPr>
      <w:smallCaps/>
      <w:color w:val="404040" w:themeColor="text1" w:themeTint="BF"/>
      <w:u w:val="single" w:color="7F7F7F" w:themeColor="text1" w:themeTint="8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23B7F"/>
    <w:pPr>
      <w:outlineLvl w:val="9"/>
    </w:pPr>
  </w:style>
  <w:style w:type="paragraph" w:styleId="Listapunktowana">
    <w:name w:val="List Bullet"/>
    <w:basedOn w:val="Normalny"/>
    <w:uiPriority w:val="99"/>
    <w:unhideWhenUsed/>
    <w:rsid w:val="004B2E0F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5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6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0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4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rodzina/sprawozdania-roczne-z-wdrazania-pop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Wycinek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Wycinek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ycinek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3856E-0D26-4374-9042-DBEBD46B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6165</Words>
  <Characters>36992</Characters>
  <Application>Microsoft Office Word</Application>
  <DocSecurity>0</DocSecurity>
  <Lines>308</Lines>
  <Paragraphs>86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Program Operacyjny pomoc Żywnościowa 2014-2020</vt:lpstr>
      <vt:lpstr>Program Operacyjny pomoc Żywnościowa 2014-2020</vt:lpstr>
      <vt:lpstr>Program Operacyjny pomoc Żywnościowa 2014-2020</vt:lpstr>
    </vt:vector>
  </TitlesOfParts>
  <Company>MPiPS</Company>
  <LinksUpToDate>false</LinksUpToDate>
  <CharactersWithSpaces>43071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Operacyjny pomoc Żywnościowa 2014-2020</dc:title>
  <dc:creator>Anna Prekurat</dc:creator>
  <cp:lastModifiedBy>Olga Richter</cp:lastModifiedBy>
  <cp:revision>9</cp:revision>
  <cp:lastPrinted>2014-10-21T11:35:00Z</cp:lastPrinted>
  <dcterms:created xsi:type="dcterms:W3CDTF">2021-11-16T08:11:00Z</dcterms:created>
  <dcterms:modified xsi:type="dcterms:W3CDTF">2021-11-16T08:35:00Z</dcterms:modified>
</cp:coreProperties>
</file>