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7371"/>
        <w:gridCol w:w="2835"/>
        <w:gridCol w:w="1359"/>
      </w:tblGrid>
      <w:tr w:rsidR="000B6C2E" w:rsidRPr="000B6C2E" w14:paraId="2F02366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07D8500C" w:rsidR="00A06425" w:rsidRPr="000B6C2E" w:rsidRDefault="00860FCD" w:rsidP="003C0F47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informatycznego pn.</w:t>
            </w:r>
            <w:r w:rsidR="0078442E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E469F9" w:rsidRPr="00E469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www.muzeach 2.0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3C0F47" w:rsidRPr="003C0F47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E469F9" w:rsidRPr="00E469F9">
              <w:rPr>
                <w:rFonts w:asciiTheme="minorHAnsi" w:hAnsiTheme="minorHAnsi" w:cstheme="minorHAnsi"/>
                <w:i/>
                <w:sz w:val="22"/>
                <w:szCs w:val="22"/>
              </w:rPr>
              <w:t>Muzeum Pałacu Króla Jana III w Wilanowie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0B6C2E" w:rsidRPr="000B6C2E" w14:paraId="63B4C1DA" w14:textId="77777777" w:rsidTr="000725CF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1F1672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DAD0DD9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F9102D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EE8018" w14:textId="77777777" w:rsidR="00A06425" w:rsidRPr="000B6C2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52478" w:rsidRPr="000B6C2E" w14:paraId="2A826E5D" w14:textId="77777777" w:rsidTr="000725CF">
        <w:tc>
          <w:tcPr>
            <w:tcW w:w="562" w:type="dxa"/>
            <w:shd w:val="clear" w:color="auto" w:fill="auto"/>
          </w:tcPr>
          <w:p w14:paraId="43DEEF84" w14:textId="77777777" w:rsidR="00152478" w:rsidRPr="000B6C2E" w:rsidRDefault="00152478" w:rsidP="0015247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A976F79" w14:textId="402F925D" w:rsidR="00152478" w:rsidRPr="000B6C2E" w:rsidRDefault="00FA3B66" w:rsidP="0015247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E9C4A99" w14:textId="6F59AA77" w:rsidR="00152478" w:rsidRPr="000B6C2E" w:rsidRDefault="00152478" w:rsidP="001524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7371" w:type="dxa"/>
            <w:shd w:val="clear" w:color="auto" w:fill="auto"/>
          </w:tcPr>
          <w:p w14:paraId="495BC646" w14:textId="1DA2053C" w:rsidR="00152478" w:rsidRPr="000B6C2E" w:rsidRDefault="00152478" w:rsidP="001524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 xml:space="preserve">W wierszu „Źródło finansowania” należy podać informację, tj. dla: </w:t>
            </w:r>
          </w:p>
          <w:p w14:paraId="4F59F02A" w14:textId="77777777" w:rsidR="00152478" w:rsidRDefault="00152478" w:rsidP="00C73505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 xml:space="preserve">budżetu państwa –  </w:t>
            </w:r>
            <w:r w:rsidRPr="003C0F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określoną część budżetową</w:t>
            </w:r>
            <w:r w:rsidR="00FA3B6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F923044" w14:textId="77777777" w:rsidR="0060100E" w:rsidRDefault="0060100E" w:rsidP="006010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E6C106" w14:textId="259D0ABD" w:rsidR="0060100E" w:rsidRPr="0060100E" w:rsidRDefault="0060100E" w:rsidP="00601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Podane informacje dotyczące kwot są nadmiarowe w tej części opisu założeń.</w:t>
            </w:r>
          </w:p>
        </w:tc>
        <w:tc>
          <w:tcPr>
            <w:tcW w:w="2835" w:type="dxa"/>
            <w:shd w:val="clear" w:color="auto" w:fill="auto"/>
          </w:tcPr>
          <w:p w14:paraId="4B87DD51" w14:textId="6F024571" w:rsidR="00152478" w:rsidRPr="000B6C2E" w:rsidRDefault="00152478" w:rsidP="001524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364259F9" w14:textId="4C2A0392" w:rsidR="00152478" w:rsidRPr="000B6C2E" w:rsidRDefault="00152478" w:rsidP="001524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3287" w:rsidRPr="000B6C2E" w14:paraId="0434EABF" w14:textId="77777777" w:rsidTr="000725CF">
        <w:tc>
          <w:tcPr>
            <w:tcW w:w="562" w:type="dxa"/>
            <w:shd w:val="clear" w:color="auto" w:fill="auto"/>
          </w:tcPr>
          <w:p w14:paraId="7A3605F5" w14:textId="77777777" w:rsidR="00E43287" w:rsidRPr="000B6C2E" w:rsidRDefault="00E43287" w:rsidP="0015247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58F909A" w14:textId="1073AAE8" w:rsidR="00E43287" w:rsidRDefault="00E43287" w:rsidP="0015247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6FAB1C83" w14:textId="52099E6A" w:rsidR="00E43287" w:rsidRPr="000B6C2E" w:rsidRDefault="00E43287" w:rsidP="001524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7371" w:type="dxa"/>
            <w:shd w:val="clear" w:color="auto" w:fill="auto"/>
          </w:tcPr>
          <w:p w14:paraId="1271D31D" w14:textId="3C83F1A4" w:rsidR="00E43287" w:rsidRPr="000B6C2E" w:rsidRDefault="00E43287" w:rsidP="00A43EE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czy też instytucja ma zamiar przechowywać kopię zapasową w repozytorium KRONIK@ (jeżeli tak, to jaki wolumen)?</w:t>
            </w:r>
          </w:p>
        </w:tc>
        <w:tc>
          <w:tcPr>
            <w:tcW w:w="2835" w:type="dxa"/>
            <w:shd w:val="clear" w:color="auto" w:fill="auto"/>
          </w:tcPr>
          <w:p w14:paraId="33BCCD63" w14:textId="5A4E57F6" w:rsidR="00E43287" w:rsidRPr="000B6C2E" w:rsidRDefault="00E43287" w:rsidP="001524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</w:t>
            </w:r>
            <w:r w:rsidR="00E5759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6D201E3D" w14:textId="77777777" w:rsidR="00E43287" w:rsidRPr="000B6C2E" w:rsidRDefault="00E43287" w:rsidP="001524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2478" w:rsidRPr="000B6C2E" w14:paraId="7B2741A1" w14:textId="77777777" w:rsidTr="000725CF">
        <w:tc>
          <w:tcPr>
            <w:tcW w:w="562" w:type="dxa"/>
            <w:shd w:val="clear" w:color="auto" w:fill="auto"/>
          </w:tcPr>
          <w:p w14:paraId="74188534" w14:textId="77777777" w:rsidR="00152478" w:rsidRPr="000B6C2E" w:rsidRDefault="00152478" w:rsidP="0015247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BBB0384" w14:textId="27707985" w:rsidR="00152478" w:rsidRPr="000B6C2E" w:rsidRDefault="00FA3B66" w:rsidP="0015247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73C8729" w14:textId="77777777" w:rsidR="00152478" w:rsidRPr="000B6C2E" w:rsidRDefault="00152478" w:rsidP="001524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1.1 Identyfikacja problemu i potrzeb</w:t>
            </w:r>
          </w:p>
          <w:p w14:paraId="0082C0E3" w14:textId="77777777" w:rsidR="00152478" w:rsidRPr="000B6C2E" w:rsidRDefault="00152478" w:rsidP="001524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332E8787" w14:textId="301F3F88" w:rsidR="00A43EEC" w:rsidRPr="000B6C2E" w:rsidRDefault="00152478" w:rsidP="00A43EEC">
            <w:pPr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sz w:val="22"/>
                <w:szCs w:val="22"/>
              </w:rPr>
              <w:t>tabeli interesariuszy, w kolumnie „szacowana wielkość grupy” należy wskazać wyłącznie szacowaną wartość, pozostałe opisy powinny znaleźć się w pierwszej kolumnie</w:t>
            </w:r>
            <w:r w:rsidR="00FB6A7B">
              <w:rPr>
                <w:rFonts w:ascii="Calibri" w:hAnsi="Calibri" w:cs="Calibri"/>
                <w:sz w:val="22"/>
                <w:szCs w:val="22"/>
              </w:rPr>
              <w:t>, w której nazwa grupy interesariuszy powinna być określona w sposób niebudzący wątpliwości interpretacyjnych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B120F54" w14:textId="0A914BEA" w:rsidR="00152478" w:rsidRPr="000B6C2E" w:rsidRDefault="00152478" w:rsidP="001524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E5759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1EE2BADC" w14:textId="77777777" w:rsidR="00152478" w:rsidRPr="000B6C2E" w:rsidRDefault="00152478" w:rsidP="001524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3B66" w:rsidRPr="000B6C2E" w14:paraId="79DFD722" w14:textId="77777777" w:rsidTr="000725CF">
        <w:tc>
          <w:tcPr>
            <w:tcW w:w="562" w:type="dxa"/>
            <w:shd w:val="clear" w:color="auto" w:fill="auto"/>
          </w:tcPr>
          <w:p w14:paraId="1563D3DC" w14:textId="77777777" w:rsidR="00FA3B66" w:rsidRPr="000B6C2E" w:rsidRDefault="00FA3B66" w:rsidP="00A43EEC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1C34B6E" w14:textId="194450BE" w:rsidR="00FA3B66" w:rsidRPr="000B6C2E" w:rsidRDefault="00FA3B66" w:rsidP="00A43EE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C3190C1" w14:textId="2AC3B36B" w:rsidR="00FA3B66" w:rsidRPr="000B6C2E" w:rsidRDefault="00FA3B66" w:rsidP="00A43E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A3B66">
              <w:rPr>
                <w:rFonts w:ascii="Calibri" w:hAnsi="Calibri" w:cs="Calibri"/>
                <w:sz w:val="22"/>
                <w:szCs w:val="22"/>
              </w:rPr>
              <w:t>1.1 Identyfikacja problemu i potrzeb</w:t>
            </w:r>
          </w:p>
        </w:tc>
        <w:tc>
          <w:tcPr>
            <w:tcW w:w="7371" w:type="dxa"/>
            <w:shd w:val="clear" w:color="auto" w:fill="auto"/>
          </w:tcPr>
          <w:p w14:paraId="048B1522" w14:textId="42EEC363" w:rsidR="00FA3B66" w:rsidRPr="000B6C2E" w:rsidRDefault="00FA3B66" w:rsidP="00FA3B66">
            <w:pPr>
              <w:rPr>
                <w:rFonts w:ascii="Calibri" w:hAnsi="Calibri" w:cs="Calibri"/>
                <w:sz w:val="22"/>
                <w:szCs w:val="22"/>
              </w:rPr>
            </w:pPr>
            <w:r w:rsidRPr="00FA3B66">
              <w:rPr>
                <w:rFonts w:ascii="Calibri" w:hAnsi="Calibri" w:cs="Calibri"/>
                <w:sz w:val="22"/>
                <w:szCs w:val="22"/>
              </w:rPr>
              <w:t>Lista interesariuszy jest niekompletna. Należy ją uzupełnić o Wnioskodawcę i</w:t>
            </w:r>
            <w:r w:rsidR="000725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A3B66">
              <w:rPr>
                <w:rFonts w:ascii="Calibri" w:hAnsi="Calibri" w:cs="Calibri"/>
                <w:sz w:val="22"/>
                <w:szCs w:val="22"/>
              </w:rPr>
              <w:t>pracowników jego urzędu lub instytucję Wnioskodawcy</w:t>
            </w:r>
            <w:r w:rsidR="00FB6A7B">
              <w:rPr>
                <w:rFonts w:ascii="Calibri" w:hAnsi="Calibri" w:cs="Calibri"/>
                <w:sz w:val="22"/>
                <w:szCs w:val="22"/>
              </w:rPr>
              <w:t>, którzy pełnią kluczową rolę w realizacji projektu</w:t>
            </w:r>
            <w:r w:rsidRPr="00FA3B6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66B664BC" w14:textId="031A17CB" w:rsidR="00FA3B66" w:rsidRPr="000B6C2E" w:rsidRDefault="002A4240" w:rsidP="00A43E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E5759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7E4360A7" w14:textId="77777777" w:rsidR="00FA3B66" w:rsidRPr="000B6C2E" w:rsidRDefault="00FA3B66" w:rsidP="00A43E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47E" w:rsidRPr="000B6C2E" w14:paraId="70BC545D" w14:textId="77777777" w:rsidTr="000725CF">
        <w:tc>
          <w:tcPr>
            <w:tcW w:w="562" w:type="dxa"/>
            <w:shd w:val="clear" w:color="auto" w:fill="auto"/>
          </w:tcPr>
          <w:p w14:paraId="383B1565" w14:textId="77777777" w:rsidR="0037247E" w:rsidRPr="000B6C2E" w:rsidRDefault="0037247E" w:rsidP="0037247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DB0A52C" w14:textId="32453DD4" w:rsidR="0037247E" w:rsidRDefault="0037247E" w:rsidP="003724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CBD6EE4" w14:textId="4E9E0599" w:rsidR="0037247E" w:rsidRDefault="0037247E" w:rsidP="0037247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3B66">
              <w:rPr>
                <w:rFonts w:ascii="Calibri" w:hAnsi="Calibri" w:cs="Calibri"/>
                <w:sz w:val="22"/>
                <w:szCs w:val="22"/>
              </w:rPr>
              <w:t>1.1 Identyfikacja problemu i potrzeb</w:t>
            </w:r>
          </w:p>
        </w:tc>
        <w:tc>
          <w:tcPr>
            <w:tcW w:w="7371" w:type="dxa"/>
            <w:shd w:val="clear" w:color="auto" w:fill="auto"/>
          </w:tcPr>
          <w:p w14:paraId="7A4FC497" w14:textId="77777777" w:rsidR="00DB77E2" w:rsidRDefault="00DB77E2" w:rsidP="0037247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 kolumnie „zidentyfikowany problem” dla interesariusza „muzea” wskazano następujący problem: „</w:t>
            </w:r>
            <w:r w:rsidRPr="00DB77E2">
              <w:rPr>
                <w:rFonts w:asciiTheme="minorHAnsi" w:hAnsiTheme="minorHAnsi" w:cstheme="minorHAnsi"/>
                <w:bCs/>
                <w:sz w:val="22"/>
                <w:szCs w:val="22"/>
              </w:rPr>
              <w:t>Brak ogólnokrajowych rozwiązań integrujących cyfrowe zasoby muzeów, które są publikowane w różnorodnej formie przez różne instytucje, co utrudnia użytkownikom dostęp do tych zasobów i ogranicza ich potencjalne wykorzystanie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”, podczas gdy </w:t>
            </w:r>
            <w:r w:rsidRPr="00DB77E2">
              <w:rPr>
                <w:rFonts w:asciiTheme="minorHAnsi" w:hAnsiTheme="minorHAnsi" w:cstheme="minorHAnsi"/>
                <w:bCs/>
                <w:sz w:val="22"/>
                <w:szCs w:val="22"/>
              </w:rPr>
              <w:t>istnieje Krajowe Repozytorium Obiektów Nauki i Kultury (KRONIK@), gdzie instytucje, również muzealne mogą zarówno publikować swoje zasoby oraz deponować kopie zapasową w bezpłatnym repozytorium. Portal KRONIK@ pozwala na zebranie i udostępnianie w jednym miejscu cyfrowych zasobów polskiego dziedzictwa narodowego z zakresu nauki i kultury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663914DA" w14:textId="77777777" w:rsidR="00DB77E2" w:rsidRDefault="00DB77E2" w:rsidP="0037247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A53D580" w14:textId="0384E705" w:rsidR="00DB77E2" w:rsidRPr="00FF41F0" w:rsidRDefault="00DB77E2" w:rsidP="0037247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Należy w kolumnie „zidentyfikowany problem</w:t>
            </w:r>
            <w:r w:rsidR="00145D31">
              <w:rPr>
                <w:rFonts w:asciiTheme="minorHAnsi" w:hAnsiTheme="minorHAnsi" w:cstheme="minorHAnsi"/>
                <w:bCs/>
                <w:sz w:val="22"/>
                <w:szCs w:val="22"/>
              </w:rPr>
              <w:t>” uzupełnić informacje biorąc pod uwagę istnienie portalu KRONIK@.</w:t>
            </w:r>
          </w:p>
        </w:tc>
        <w:tc>
          <w:tcPr>
            <w:tcW w:w="2835" w:type="dxa"/>
            <w:shd w:val="clear" w:color="auto" w:fill="auto"/>
          </w:tcPr>
          <w:p w14:paraId="5D3283F0" w14:textId="1B0F7AAD" w:rsidR="0037247E" w:rsidRPr="000B6C2E" w:rsidRDefault="00145D31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E5759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75FC725D" w14:textId="77777777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47E" w:rsidRPr="000B6C2E" w14:paraId="46D204E7" w14:textId="77777777" w:rsidTr="000725CF">
        <w:tc>
          <w:tcPr>
            <w:tcW w:w="562" w:type="dxa"/>
            <w:shd w:val="clear" w:color="auto" w:fill="auto"/>
          </w:tcPr>
          <w:p w14:paraId="3219529C" w14:textId="77777777" w:rsidR="0037247E" w:rsidRPr="000B6C2E" w:rsidRDefault="0037247E" w:rsidP="0037247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083026B" w14:textId="0EBF928D" w:rsidR="0037247E" w:rsidRPr="002A4240" w:rsidRDefault="0037247E" w:rsidP="003724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6C7C96A" w14:textId="77777777" w:rsidR="0037247E" w:rsidRDefault="0037247E" w:rsidP="0037247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 Opis stanu obecnego</w:t>
            </w:r>
          </w:p>
          <w:p w14:paraId="0D006AE3" w14:textId="77777777" w:rsidR="0037247E" w:rsidRPr="002A4240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2986B0F0" w14:textId="77777777" w:rsidR="0037247E" w:rsidRPr="00FF41F0" w:rsidRDefault="0037247E" w:rsidP="0037247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41F0">
              <w:rPr>
                <w:rFonts w:asciiTheme="minorHAnsi" w:hAnsiTheme="minorHAnsi" w:cstheme="minorHAnsi"/>
                <w:bCs/>
                <w:sz w:val="22"/>
                <w:szCs w:val="22"/>
              </w:rPr>
              <w:t>Zgodnie z informacją zawartą na stronie wmuzeach.pl prezentacja informacji o zbiorach innych instytucji niż wskazane we wniosku o dofinansowanie wiąże się z koniecznością dokonywania przez nie opłat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FF41F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158B7AB3" w14:textId="1C1D5DC6" w:rsidR="0037247E" w:rsidRDefault="0037247E" w:rsidP="0037247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41F0">
              <w:rPr>
                <w:rFonts w:asciiTheme="minorHAnsi" w:hAnsiTheme="minorHAnsi" w:cstheme="minorHAnsi"/>
                <w:bCs/>
                <w:sz w:val="22"/>
                <w:szCs w:val="22"/>
              </w:rPr>
              <w:t>„Zawarcie umowy partnerskiej z Muzeum Pałacu Króla Jana III w Wilanowie – właścicielem serwisu. W ramach umowy zgadzasz się na opłacanie składki członkowskiej, dzięki której opłacana jest przestrzeń dyskowa, na której przechowywane są dane o obiektach publikowane w serwisie. Jeśli chcesz zapoznać się z wzorem umowy partnerskiej napisz do nas”</w:t>
            </w:r>
            <w:r w:rsidR="000725CF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22EEEDEF" w14:textId="77777777" w:rsidR="0037247E" w:rsidRDefault="0037247E" w:rsidP="0037247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EB176B4" w14:textId="77777777" w:rsidR="0060100E" w:rsidRDefault="0037247E" w:rsidP="0037247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41F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Ponieważ w ramach projektu wśród zadań finansowanych ze środków FERC zaplanowano modyfikację </w:t>
            </w:r>
            <w:proofErr w:type="spellStart"/>
            <w:r w:rsidRPr="00FF41F0">
              <w:rPr>
                <w:rFonts w:asciiTheme="minorHAnsi" w:hAnsiTheme="minorHAnsi" w:cstheme="minorHAnsi"/>
                <w:bCs/>
                <w:sz w:val="22"/>
                <w:szCs w:val="22"/>
              </w:rPr>
              <w:t>multiwyszukiwarki</w:t>
            </w:r>
            <w:proofErr w:type="spellEnd"/>
            <w:r w:rsidRPr="00FF41F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 zakup przestrzeni dyskowej do przechowywania zbiorów w niej prezentowanej prosimy o informację, czy dla instytucji innych niż wskazane jako partnerskie nadal pobierane będą opłaty (zarówno w trakcie realizacji projektu jak i w okresie trwałości). </w:t>
            </w:r>
          </w:p>
          <w:p w14:paraId="6CB9EF11" w14:textId="77777777" w:rsidR="0060100E" w:rsidRDefault="0060100E" w:rsidP="0037247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41139CA" w14:textId="7923C7EE" w:rsidR="0037247E" w:rsidRDefault="0037247E" w:rsidP="003724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41F0">
              <w:rPr>
                <w:rFonts w:asciiTheme="minorHAnsi" w:hAnsiTheme="minorHAnsi" w:cstheme="minorHAnsi"/>
                <w:bCs/>
                <w:sz w:val="22"/>
                <w:szCs w:val="22"/>
              </w:rPr>
              <w:t>Jeśli tak to za co konkretnie i w jakiej wysokości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?</w:t>
            </w:r>
          </w:p>
        </w:tc>
        <w:tc>
          <w:tcPr>
            <w:tcW w:w="2835" w:type="dxa"/>
            <w:shd w:val="clear" w:color="auto" w:fill="auto"/>
          </w:tcPr>
          <w:p w14:paraId="03E2E47C" w14:textId="3BE1ED9B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</w:t>
            </w:r>
            <w:r w:rsidR="0060100E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  <w:r w:rsidR="00E5759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32642451" w14:textId="77777777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6BB1" w:rsidRPr="000B6C2E" w14:paraId="2B2285C7" w14:textId="77777777" w:rsidTr="000725CF">
        <w:tc>
          <w:tcPr>
            <w:tcW w:w="562" w:type="dxa"/>
            <w:shd w:val="clear" w:color="auto" w:fill="auto"/>
          </w:tcPr>
          <w:p w14:paraId="51232BBF" w14:textId="77777777" w:rsidR="00B96BB1" w:rsidRPr="000B6C2E" w:rsidRDefault="00B96BB1" w:rsidP="0037247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D5220C4" w14:textId="29CF7D50" w:rsidR="00B96BB1" w:rsidRPr="002A4240" w:rsidRDefault="00B96BB1" w:rsidP="003724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424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62BFEBFF" w14:textId="5C8B9B33" w:rsidR="00B96BB1" w:rsidRPr="002A4240" w:rsidRDefault="00B96BB1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4240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371" w:type="dxa"/>
            <w:shd w:val="clear" w:color="auto" w:fill="auto"/>
          </w:tcPr>
          <w:p w14:paraId="77CD8BF2" w14:textId="5FFBA602" w:rsidR="00B96BB1" w:rsidRDefault="00B96BB1" w:rsidP="00FB6A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6BB1">
              <w:rPr>
                <w:rFonts w:asciiTheme="minorHAnsi" w:hAnsiTheme="minorHAnsi" w:cstheme="minorHAnsi"/>
                <w:sz w:val="22"/>
                <w:szCs w:val="22"/>
              </w:rPr>
              <w:t>W przypadku niniejszego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6BB1">
              <w:rPr>
                <w:rFonts w:asciiTheme="minorHAnsi" w:hAnsiTheme="minorHAnsi" w:cstheme="minorHAnsi"/>
                <w:sz w:val="22"/>
                <w:szCs w:val="22"/>
              </w:rPr>
              <w:t>właściwy wskaźnik opisujący liczbę</w:t>
            </w:r>
            <w:r w:rsidR="000725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6BB1">
              <w:rPr>
                <w:rFonts w:asciiTheme="minorHAnsi" w:hAnsiTheme="minorHAnsi" w:cstheme="minorHAnsi"/>
                <w:sz w:val="22"/>
                <w:szCs w:val="22"/>
              </w:rPr>
              <w:t>podmiotów, które uzyskały wsparcie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6BB1">
              <w:rPr>
                <w:rFonts w:asciiTheme="minorHAnsi" w:hAnsiTheme="minorHAnsi" w:cstheme="minorHAnsi"/>
                <w:sz w:val="22"/>
                <w:szCs w:val="22"/>
              </w:rPr>
              <w:t xml:space="preserve">to: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96BB1">
              <w:rPr>
                <w:rFonts w:asciiTheme="minorHAnsi" w:hAnsiTheme="minorHAnsi" w:cstheme="minorHAnsi"/>
                <w:sz w:val="22"/>
                <w:szCs w:val="22"/>
              </w:rPr>
              <w:t>Instytucje publiczne otrzymujące</w:t>
            </w:r>
            <w:r w:rsidR="000725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6BB1">
              <w:rPr>
                <w:rFonts w:asciiTheme="minorHAnsi" w:hAnsiTheme="minorHAnsi" w:cstheme="minorHAnsi"/>
                <w:sz w:val="22"/>
                <w:szCs w:val="22"/>
              </w:rPr>
              <w:t>wsparcie na opracowywanie usług,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6BB1">
              <w:rPr>
                <w:rFonts w:asciiTheme="minorHAnsi" w:hAnsiTheme="minorHAnsi" w:cstheme="minorHAnsi"/>
                <w:sz w:val="22"/>
                <w:szCs w:val="22"/>
              </w:rPr>
              <w:t>produktów i procesów cyfrowych”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6BB1">
              <w:rPr>
                <w:rFonts w:asciiTheme="minorHAnsi" w:hAnsiTheme="minorHAnsi" w:cstheme="minorHAnsi"/>
                <w:sz w:val="22"/>
                <w:szCs w:val="22"/>
              </w:rPr>
              <w:t>zamiast wskaźnika: „Liczba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6BB1">
              <w:rPr>
                <w:rFonts w:asciiTheme="minorHAnsi" w:hAnsiTheme="minorHAnsi" w:cstheme="minorHAnsi"/>
                <w:sz w:val="22"/>
                <w:szCs w:val="22"/>
              </w:rPr>
              <w:t>podmiotów wspartych w 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6BB1">
              <w:rPr>
                <w:rFonts w:asciiTheme="minorHAnsi" w:hAnsiTheme="minorHAnsi" w:cstheme="minorHAnsi"/>
                <w:sz w:val="22"/>
                <w:szCs w:val="22"/>
              </w:rPr>
              <w:t>rozwoju usług, produktów i procesów</w:t>
            </w:r>
            <w:r w:rsidR="00FB6A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6BB1">
              <w:rPr>
                <w:rFonts w:asciiTheme="minorHAnsi" w:hAnsiTheme="minorHAnsi" w:cstheme="minorHAnsi"/>
                <w:sz w:val="22"/>
                <w:szCs w:val="22"/>
              </w:rPr>
              <w:t>cyfrowych”.</w:t>
            </w:r>
          </w:p>
        </w:tc>
        <w:tc>
          <w:tcPr>
            <w:tcW w:w="2835" w:type="dxa"/>
            <w:shd w:val="clear" w:color="auto" w:fill="auto"/>
          </w:tcPr>
          <w:p w14:paraId="237EBBDA" w14:textId="65652AF9" w:rsidR="00B96BB1" w:rsidRPr="000B6C2E" w:rsidRDefault="00B96BB1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E5759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4FF95444" w14:textId="77777777" w:rsidR="00B96BB1" w:rsidRPr="000B6C2E" w:rsidRDefault="00B96BB1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47E" w:rsidRPr="000B6C2E" w14:paraId="0C708028" w14:textId="77777777" w:rsidTr="000725CF">
        <w:tc>
          <w:tcPr>
            <w:tcW w:w="562" w:type="dxa"/>
            <w:shd w:val="clear" w:color="auto" w:fill="auto"/>
          </w:tcPr>
          <w:p w14:paraId="49757D29" w14:textId="77777777" w:rsidR="0037247E" w:rsidRPr="000B6C2E" w:rsidRDefault="0037247E" w:rsidP="0037247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B4F72AC" w14:textId="13C39413" w:rsidR="0037247E" w:rsidRDefault="0037247E" w:rsidP="003724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424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1EF1616" w14:textId="07834569" w:rsidR="0037247E" w:rsidRPr="00C9386A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4240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371" w:type="dxa"/>
            <w:shd w:val="clear" w:color="auto" w:fill="auto"/>
          </w:tcPr>
          <w:p w14:paraId="7C2F2F84" w14:textId="6A66B5BF" w:rsidR="0037247E" w:rsidRPr="00C2582E" w:rsidRDefault="0037247E" w:rsidP="003724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informacji o rozmiarze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publicznego. Proponuję d</w:t>
            </w:r>
            <w:r w:rsidRPr="002A4240">
              <w:rPr>
                <w:rFonts w:asciiTheme="minorHAnsi" w:hAnsiTheme="minorHAnsi" w:cstheme="minorHAnsi"/>
                <w:sz w:val="22"/>
                <w:szCs w:val="22"/>
              </w:rPr>
              <w:t>odanie właściwego wskaźnika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2A4240">
              <w:rPr>
                <w:rFonts w:asciiTheme="minorHAnsi" w:hAnsiTheme="minorHAnsi" w:cstheme="minorHAnsi"/>
                <w:sz w:val="22"/>
                <w:szCs w:val="22"/>
              </w:rPr>
              <w:t xml:space="preserve"> „Rozmiar </w:t>
            </w:r>
            <w:proofErr w:type="spellStart"/>
            <w:r w:rsidRPr="002A4240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2A4240"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A4240">
              <w:rPr>
                <w:rFonts w:asciiTheme="minorHAnsi" w:hAnsiTheme="minorHAnsi" w:cstheme="minorHAnsi"/>
                <w:sz w:val="22"/>
                <w:szCs w:val="22"/>
              </w:rPr>
              <w:t>publicznego/danych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2A4240">
              <w:rPr>
                <w:rFonts w:asciiTheme="minorHAnsi" w:hAnsiTheme="minorHAnsi" w:cstheme="minorHAnsi"/>
                <w:sz w:val="22"/>
                <w:szCs w:val="22"/>
              </w:rPr>
              <w:t>rywatnych”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393EDFF4" w14:textId="752E8039" w:rsidR="0037247E" w:rsidRPr="00C9386A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E5759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3C225700" w14:textId="77777777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47E" w:rsidRPr="000B6C2E" w14:paraId="23235A50" w14:textId="77777777" w:rsidTr="000725CF">
        <w:tc>
          <w:tcPr>
            <w:tcW w:w="562" w:type="dxa"/>
            <w:shd w:val="clear" w:color="auto" w:fill="auto"/>
          </w:tcPr>
          <w:p w14:paraId="06FE398B" w14:textId="77777777" w:rsidR="0037247E" w:rsidRPr="000B6C2E" w:rsidRDefault="0037247E" w:rsidP="0037247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1F24AC2" w14:textId="31FE320D" w:rsidR="0037247E" w:rsidRPr="000B6C2E" w:rsidRDefault="0037247E" w:rsidP="003724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72AD656" w14:textId="2F664B4D" w:rsidR="0037247E" w:rsidRPr="000B6C2E" w:rsidRDefault="0037247E" w:rsidP="003724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386A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371" w:type="dxa"/>
            <w:shd w:val="clear" w:color="auto" w:fill="auto"/>
          </w:tcPr>
          <w:p w14:paraId="02639E8B" w14:textId="77777777" w:rsidR="0037247E" w:rsidRPr="00C2582E" w:rsidRDefault="0037247E" w:rsidP="003724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582E">
              <w:rPr>
                <w:rFonts w:asciiTheme="minorHAnsi" w:hAnsiTheme="minorHAnsi" w:cstheme="minorHAnsi"/>
                <w:sz w:val="22"/>
                <w:szCs w:val="22"/>
              </w:rPr>
              <w:t>W wierszu „Wartość aktualna i docelowe KPI” dla wszystkich wymienionych w dokumencie KPI, należy podać informacje pogrupowane wg formatu:</w:t>
            </w:r>
          </w:p>
          <w:p w14:paraId="42C5FE9B" w14:textId="77777777" w:rsidR="0037247E" w:rsidRPr="00C2582E" w:rsidRDefault="0037247E" w:rsidP="0037247E">
            <w:pPr>
              <w:pStyle w:val="Akapitzlist"/>
              <w:numPr>
                <w:ilvl w:val="0"/>
                <w:numId w:val="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582E">
              <w:rPr>
                <w:rFonts w:asciiTheme="minorHAnsi" w:hAnsiTheme="minorHAnsi" w:cstheme="minorHAnsi"/>
                <w:sz w:val="22"/>
                <w:szCs w:val="22"/>
              </w:rPr>
              <w:t>KPI 1:</w:t>
            </w:r>
          </w:p>
          <w:p w14:paraId="40C55E6C" w14:textId="77777777" w:rsidR="0037247E" w:rsidRPr="00C2582E" w:rsidRDefault="0037247E" w:rsidP="0037247E">
            <w:pPr>
              <w:pStyle w:val="Akapitzlist"/>
              <w:numPr>
                <w:ilvl w:val="0"/>
                <w:numId w:val="4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582E">
              <w:rPr>
                <w:rFonts w:asciiTheme="minorHAnsi" w:hAnsiTheme="minorHAnsi" w:cstheme="minorHAnsi"/>
                <w:sz w:val="22"/>
                <w:szCs w:val="22"/>
              </w:rPr>
              <w:t>wartość aktualna: ….</w:t>
            </w:r>
          </w:p>
          <w:p w14:paraId="6EC4251B" w14:textId="77777777" w:rsidR="0037247E" w:rsidRPr="00C2582E" w:rsidRDefault="0037247E" w:rsidP="0037247E">
            <w:pPr>
              <w:pStyle w:val="Akapitzlist"/>
              <w:numPr>
                <w:ilvl w:val="0"/>
                <w:numId w:val="4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582E">
              <w:rPr>
                <w:rFonts w:asciiTheme="minorHAnsi" w:hAnsiTheme="minorHAnsi" w:cstheme="minorHAnsi"/>
                <w:sz w:val="22"/>
                <w:szCs w:val="22"/>
              </w:rPr>
              <w:t>wartość docelowa: ….</w:t>
            </w:r>
          </w:p>
          <w:p w14:paraId="75D06EC6" w14:textId="77777777" w:rsidR="0037247E" w:rsidRPr="00C2582E" w:rsidRDefault="0037247E" w:rsidP="0037247E">
            <w:pPr>
              <w:pStyle w:val="Akapitzlist"/>
              <w:numPr>
                <w:ilvl w:val="0"/>
                <w:numId w:val="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582E">
              <w:rPr>
                <w:rFonts w:asciiTheme="minorHAnsi" w:hAnsiTheme="minorHAnsi" w:cstheme="minorHAnsi"/>
                <w:sz w:val="22"/>
                <w:szCs w:val="22"/>
              </w:rPr>
              <w:t>KPI 2: ….</w:t>
            </w:r>
          </w:p>
          <w:p w14:paraId="58368668" w14:textId="77777777" w:rsidR="0037247E" w:rsidRPr="00C2582E" w:rsidRDefault="0037247E" w:rsidP="0037247E">
            <w:pPr>
              <w:pStyle w:val="Akapitzlist"/>
              <w:numPr>
                <w:ilvl w:val="0"/>
                <w:numId w:val="5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582E">
              <w:rPr>
                <w:rFonts w:asciiTheme="minorHAnsi" w:hAnsiTheme="minorHAnsi" w:cstheme="minorHAnsi"/>
                <w:sz w:val="22"/>
                <w:szCs w:val="22"/>
              </w:rPr>
              <w:t>wartość aktualna: ….</w:t>
            </w:r>
          </w:p>
          <w:p w14:paraId="316D5D43" w14:textId="3BCD0844" w:rsidR="0037247E" w:rsidRPr="005F3B48" w:rsidRDefault="0037247E" w:rsidP="0037247E">
            <w:pPr>
              <w:pStyle w:val="Akapitzlist"/>
              <w:numPr>
                <w:ilvl w:val="0"/>
                <w:numId w:val="5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582E">
              <w:rPr>
                <w:rFonts w:asciiTheme="minorHAnsi" w:hAnsiTheme="minorHAnsi" w:cstheme="minorHAnsi"/>
                <w:sz w:val="22"/>
                <w:szCs w:val="22"/>
              </w:rPr>
              <w:t>wartość docelowa: ….</w:t>
            </w:r>
          </w:p>
        </w:tc>
        <w:tc>
          <w:tcPr>
            <w:tcW w:w="2835" w:type="dxa"/>
            <w:shd w:val="clear" w:color="auto" w:fill="auto"/>
          </w:tcPr>
          <w:p w14:paraId="4B9F99C6" w14:textId="13FA0EE2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86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E5759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44DB10E1" w14:textId="77777777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47E" w:rsidRPr="000B6C2E" w14:paraId="3FAAA7A8" w14:textId="77777777" w:rsidTr="000725CF">
        <w:tc>
          <w:tcPr>
            <w:tcW w:w="562" w:type="dxa"/>
            <w:shd w:val="clear" w:color="auto" w:fill="auto"/>
          </w:tcPr>
          <w:p w14:paraId="27E28BA5" w14:textId="77777777" w:rsidR="0037247E" w:rsidRPr="000B6C2E" w:rsidRDefault="0037247E" w:rsidP="0037247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913F7F5" w14:textId="0D18599D" w:rsidR="0037247E" w:rsidRPr="000B6C2E" w:rsidRDefault="0037247E" w:rsidP="003724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05A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E1C42A0" w14:textId="039B2507" w:rsidR="0037247E" w:rsidRPr="000B6C2E" w:rsidRDefault="0037247E" w:rsidP="003724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2.3. Udostępnione informacje sektora publicznego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zdigitalizowane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</w:t>
            </w:r>
          </w:p>
        </w:tc>
        <w:tc>
          <w:tcPr>
            <w:tcW w:w="7371" w:type="dxa"/>
            <w:shd w:val="clear" w:color="auto" w:fill="auto"/>
          </w:tcPr>
          <w:p w14:paraId="75E0C523" w14:textId="77777777" w:rsidR="0037247E" w:rsidRDefault="0037247E" w:rsidP="003724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Niejasny jest zakres digitalizacji oraz udostępniania informacji/zasobów planowany do realizacji w projekcie. Dlatego sugerujemy przeredagowanie zapisów w kolumnie „Rodzaj informacji/zasobu” i uwzględnienie rozróżnienia, np.: </w:t>
            </w:r>
          </w:p>
          <w:p w14:paraId="4AF7CD85" w14:textId="77777777" w:rsidR="0037247E" w:rsidRPr="00D15331" w:rsidRDefault="0037247E" w:rsidP="0037247E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lastRenderedPageBreak/>
              <w:t>„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Zdigitalizowane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i udostępnione …………..” (jeśli zasób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i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jednocześnie 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28A99159" w14:textId="1F11232F" w:rsidR="0037247E" w:rsidRPr="005F3B48" w:rsidRDefault="0037247E" w:rsidP="0037247E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„Udostę</w:t>
            </w:r>
            <w:r w:rsidR="0065799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nione  …” (jeśli zasób nie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ale będzie 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projekcie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63F2A1DC" w14:textId="77777777" w:rsidR="0037247E" w:rsidRPr="00FB6A7B" w:rsidRDefault="0037247E" w:rsidP="0037247E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F3B4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5F3B4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Zdigitalizowane</w:t>
            </w:r>
            <w:proofErr w:type="spellEnd"/>
            <w:r w:rsidRPr="005F3B4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…” (jeśli zasób będzie </w:t>
            </w:r>
            <w:proofErr w:type="spellStart"/>
            <w:r w:rsidRPr="005F3B4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 w:rsidRPr="005F3B4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projektu, ale nie będzie udostępniony w projekcie)</w:t>
            </w:r>
          </w:p>
          <w:p w14:paraId="77F75EF0" w14:textId="06C5EDE0" w:rsidR="00FB6A7B" w:rsidRDefault="00FB6A7B" w:rsidP="00FB6A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Taka propozycja pozwoli na właściwe wypełnienie kolumny „</w:t>
            </w:r>
            <w:r w:rsidRPr="00693323">
              <w:rPr>
                <w:rFonts w:ascii="Calibri" w:hAnsi="Calibri" w:cs="Calibri"/>
                <w:sz w:val="22"/>
                <w:szCs w:val="22"/>
              </w:rPr>
              <w:t>Szacowana liczba obiektów objętych digitalizacją (udostępnianiem informacji</w:t>
            </w:r>
            <w:r>
              <w:rPr>
                <w:rFonts w:ascii="Calibri" w:hAnsi="Calibri" w:cs="Calibri"/>
                <w:sz w:val="22"/>
                <w:szCs w:val="22"/>
              </w:rPr>
              <w:t>)”</w:t>
            </w:r>
          </w:p>
          <w:p w14:paraId="0BB86678" w14:textId="77777777" w:rsidR="00FB6A7B" w:rsidRDefault="00FB6A7B" w:rsidP="00FB6A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34DF0D" w14:textId="254F510C" w:rsidR="00FB6A7B" w:rsidRPr="00FB6A7B" w:rsidRDefault="00FB6A7B" w:rsidP="00FB6A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precyzyjne opisanie zakresu projektu jest kluczowe w kontekście realizowania innych podobnych projektów przez strony projektu, jak inne podmioty.</w:t>
            </w:r>
          </w:p>
        </w:tc>
        <w:tc>
          <w:tcPr>
            <w:tcW w:w="2835" w:type="dxa"/>
            <w:shd w:val="clear" w:color="auto" w:fill="auto"/>
          </w:tcPr>
          <w:p w14:paraId="605DB0EA" w14:textId="335DFEF3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1359" w:type="dxa"/>
          </w:tcPr>
          <w:p w14:paraId="0558EDE2" w14:textId="77777777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47E" w:rsidRPr="000B6C2E" w14:paraId="185AB829" w14:textId="77777777" w:rsidTr="000725CF">
        <w:tc>
          <w:tcPr>
            <w:tcW w:w="562" w:type="dxa"/>
            <w:shd w:val="clear" w:color="auto" w:fill="auto"/>
          </w:tcPr>
          <w:p w14:paraId="20E40575" w14:textId="77777777" w:rsidR="0037247E" w:rsidRPr="000B6C2E" w:rsidRDefault="0037247E" w:rsidP="0037247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6B2252E" w14:textId="3736B965" w:rsidR="0037247E" w:rsidRPr="00636DB5" w:rsidRDefault="0037247E" w:rsidP="003724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05A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5B494115" w14:textId="43EE006C" w:rsidR="0037247E" w:rsidRPr="000B6C2E" w:rsidRDefault="0037247E" w:rsidP="003724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22F3">
              <w:rPr>
                <w:rFonts w:ascii="Calibri" w:hAnsi="Calibri" w:cs="Calibri"/>
                <w:sz w:val="22"/>
                <w:szCs w:val="22"/>
              </w:rPr>
              <w:t xml:space="preserve">2.3. Udostępnione informacje sektora publicznego i </w:t>
            </w:r>
            <w:proofErr w:type="spellStart"/>
            <w:r w:rsidRPr="00D122F3">
              <w:rPr>
                <w:rFonts w:ascii="Calibri" w:hAnsi="Calibri" w:cs="Calibri"/>
                <w:sz w:val="22"/>
                <w:szCs w:val="22"/>
              </w:rPr>
              <w:t>zdigitalizowane</w:t>
            </w:r>
            <w:proofErr w:type="spellEnd"/>
            <w:r w:rsidRPr="00D122F3">
              <w:rPr>
                <w:rFonts w:ascii="Calibri" w:hAnsi="Calibri" w:cs="Calibri"/>
                <w:sz w:val="22"/>
                <w:szCs w:val="22"/>
              </w:rPr>
              <w:t xml:space="preserve"> zasoby</w:t>
            </w:r>
          </w:p>
        </w:tc>
        <w:tc>
          <w:tcPr>
            <w:tcW w:w="7371" w:type="dxa"/>
            <w:shd w:val="clear" w:color="auto" w:fill="auto"/>
          </w:tcPr>
          <w:p w14:paraId="2452A7A2" w14:textId="028E0400" w:rsidR="0037247E" w:rsidRPr="000B6C2E" w:rsidRDefault="0037247E" w:rsidP="003724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kolumnie „</w:t>
            </w:r>
            <w:r w:rsidRPr="00693323">
              <w:rPr>
                <w:rFonts w:ascii="Calibri" w:hAnsi="Calibri" w:cs="Calibri"/>
                <w:sz w:val="22"/>
                <w:szCs w:val="22"/>
              </w:rPr>
              <w:t>Szacowana liczba obiektów objętych digitalizacją (udostępnianiem informacji)</w:t>
            </w:r>
            <w:r w:rsidRPr="00693323">
              <w:rPr>
                <w:rFonts w:ascii="Calibri" w:hAnsi="Calibri" w:cs="Calibri"/>
                <w:sz w:val="22"/>
                <w:szCs w:val="22"/>
              </w:rPr>
              <w:cr/>
            </w:r>
            <w:r>
              <w:rPr>
                <w:rFonts w:ascii="Calibri" w:hAnsi="Calibri" w:cs="Calibri"/>
                <w:sz w:val="22"/>
                <w:szCs w:val="22"/>
              </w:rPr>
              <w:t>” należy wskazać jedną wartość liczbową.</w:t>
            </w:r>
          </w:p>
        </w:tc>
        <w:tc>
          <w:tcPr>
            <w:tcW w:w="2835" w:type="dxa"/>
            <w:shd w:val="clear" w:color="auto" w:fill="auto"/>
          </w:tcPr>
          <w:p w14:paraId="11F5C600" w14:textId="465B881E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1CB9A0CE" w14:textId="77777777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47E" w:rsidRPr="000B6C2E" w14:paraId="0266431B" w14:textId="77777777" w:rsidTr="000725CF">
        <w:tc>
          <w:tcPr>
            <w:tcW w:w="562" w:type="dxa"/>
            <w:shd w:val="clear" w:color="auto" w:fill="auto"/>
          </w:tcPr>
          <w:p w14:paraId="308AD17E" w14:textId="628C6100" w:rsidR="0037247E" w:rsidRPr="000B6C2E" w:rsidRDefault="0037247E" w:rsidP="0037247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893A803" w14:textId="3DA79F05" w:rsidR="0037247E" w:rsidRPr="000B6C2E" w:rsidRDefault="0037247E" w:rsidP="003724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6DB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3A161BE" w14:textId="21217234" w:rsidR="0037247E" w:rsidRPr="000B6C2E" w:rsidRDefault="0037247E" w:rsidP="003724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2.4. Produkty końcowe projektu</w:t>
            </w:r>
          </w:p>
        </w:tc>
        <w:tc>
          <w:tcPr>
            <w:tcW w:w="7371" w:type="dxa"/>
            <w:shd w:val="clear" w:color="auto" w:fill="auto"/>
          </w:tcPr>
          <w:p w14:paraId="3E62732F" w14:textId="1694D819" w:rsidR="0037247E" w:rsidRPr="000B6C2E" w:rsidRDefault="0037247E" w:rsidP="0037247E">
            <w:pPr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 xml:space="preserve">W tabeli </w:t>
            </w:r>
            <w:r>
              <w:rPr>
                <w:rFonts w:ascii="Calibri" w:hAnsi="Calibri" w:cs="Calibri"/>
                <w:sz w:val="22"/>
                <w:szCs w:val="22"/>
              </w:rPr>
              <w:t>2.4 „</w:t>
            </w:r>
            <w:r w:rsidRPr="000B6C2E">
              <w:rPr>
                <w:rFonts w:ascii="Calibri" w:hAnsi="Calibri" w:cs="Calibri"/>
                <w:sz w:val="22"/>
                <w:szCs w:val="22"/>
              </w:rPr>
              <w:t>produkty końcowe” brakuje:</w:t>
            </w:r>
          </w:p>
          <w:p w14:paraId="62FF15A4" w14:textId="5529BD32" w:rsidR="0037247E" w:rsidRPr="00FB6A7B" w:rsidRDefault="0037247E" w:rsidP="0037247E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D122F3">
              <w:rPr>
                <w:rFonts w:asciiTheme="minorHAnsi" w:hAnsiTheme="minorHAnsi" w:cstheme="minorHAnsi"/>
                <w:sz w:val="22"/>
                <w:szCs w:val="22"/>
              </w:rPr>
              <w:t>Raportu z testów wydajności</w:t>
            </w:r>
          </w:p>
          <w:p w14:paraId="26BE4153" w14:textId="77777777" w:rsidR="00FB6A7B" w:rsidRDefault="00FB6A7B" w:rsidP="00FB6A7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12F8A04" w14:textId="1F5A8DCA" w:rsidR="00FB6A7B" w:rsidRPr="00D122F3" w:rsidRDefault="00FB6A7B" w:rsidP="00237B6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Testy i raporty wydajności </w:t>
            </w:r>
            <w:r w:rsidR="00237B65">
              <w:rPr>
                <w:rFonts w:ascii="Calibri" w:hAnsi="Calibri" w:cs="Calibri"/>
                <w:sz w:val="22"/>
                <w:szCs w:val="22"/>
              </w:rPr>
              <w:t>są konieczne w przypadku modernizacji systemów teleinformatycznych służących udostępnianiu zasobów oraz zwiększonego wolumenu udostępnianych zasobów informacyjnych.</w:t>
            </w:r>
          </w:p>
        </w:tc>
        <w:tc>
          <w:tcPr>
            <w:tcW w:w="2835" w:type="dxa"/>
            <w:shd w:val="clear" w:color="auto" w:fill="auto"/>
          </w:tcPr>
          <w:p w14:paraId="27CEAD0C" w14:textId="7B19B775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E5759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3ED166EC" w14:textId="77777777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B65" w:rsidRPr="000B6C2E" w14:paraId="163FD8DA" w14:textId="77777777" w:rsidTr="000725CF">
        <w:tc>
          <w:tcPr>
            <w:tcW w:w="562" w:type="dxa"/>
            <w:shd w:val="clear" w:color="auto" w:fill="auto"/>
          </w:tcPr>
          <w:p w14:paraId="474EB9C5" w14:textId="77777777" w:rsidR="00237B65" w:rsidRPr="000B6C2E" w:rsidRDefault="00237B65" w:rsidP="00237B65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239A0C5" w14:textId="0A497150" w:rsidR="00237B65" w:rsidRPr="00636DB5" w:rsidRDefault="00237B65" w:rsidP="00237B6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6DB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67D9761D" w14:textId="3E8CB7FE" w:rsidR="00237B65" w:rsidRPr="000B6C2E" w:rsidRDefault="00237B65" w:rsidP="00237B6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2.4. Produkty końcowe projektu</w:t>
            </w:r>
          </w:p>
        </w:tc>
        <w:tc>
          <w:tcPr>
            <w:tcW w:w="7371" w:type="dxa"/>
            <w:shd w:val="clear" w:color="auto" w:fill="auto"/>
          </w:tcPr>
          <w:p w14:paraId="7E441F4A" w14:textId="77777777" w:rsidR="00237B65" w:rsidRPr="000B6C2E" w:rsidRDefault="00237B65" w:rsidP="00237B65">
            <w:pPr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 xml:space="preserve">W tabeli </w:t>
            </w:r>
            <w:r>
              <w:rPr>
                <w:rFonts w:ascii="Calibri" w:hAnsi="Calibri" w:cs="Calibri"/>
                <w:sz w:val="22"/>
                <w:szCs w:val="22"/>
              </w:rPr>
              <w:t>2.4 „</w:t>
            </w:r>
            <w:r w:rsidRPr="000B6C2E">
              <w:rPr>
                <w:rFonts w:ascii="Calibri" w:hAnsi="Calibri" w:cs="Calibri"/>
                <w:sz w:val="22"/>
                <w:szCs w:val="22"/>
              </w:rPr>
              <w:t>produkty końcowe” brakuje:</w:t>
            </w:r>
          </w:p>
          <w:p w14:paraId="362C81D2" w14:textId="185E495B" w:rsidR="00237B65" w:rsidRPr="00237B65" w:rsidRDefault="00237B65" w:rsidP="00237B6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37B65">
              <w:rPr>
                <w:rFonts w:asciiTheme="minorHAnsi" w:hAnsiTheme="minorHAnsi" w:cstheme="minorHAnsi"/>
                <w:sz w:val="22"/>
                <w:szCs w:val="22"/>
              </w:rPr>
              <w:t xml:space="preserve">Raportu z testów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bezpieczeństwa </w:t>
            </w:r>
            <w:r w:rsidRPr="00237B65">
              <w:rPr>
                <w:rFonts w:asciiTheme="minorHAnsi" w:hAnsiTheme="minorHAnsi" w:cstheme="minorHAnsi"/>
                <w:sz w:val="22"/>
                <w:szCs w:val="22"/>
              </w:rPr>
              <w:t>MPKJ3W</w:t>
            </w:r>
          </w:p>
          <w:p w14:paraId="647D2BC1" w14:textId="299413EC" w:rsidR="00237B65" w:rsidRPr="00237B65" w:rsidRDefault="00237B65" w:rsidP="00237B6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37B65">
              <w:rPr>
                <w:rFonts w:asciiTheme="minorHAnsi" w:hAnsiTheme="minorHAnsi" w:cstheme="minorHAnsi"/>
                <w:sz w:val="22"/>
                <w:szCs w:val="22"/>
              </w:rPr>
              <w:t xml:space="preserve">Raportu z testów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bezpieczeństwa </w:t>
            </w:r>
            <w:r w:rsidRPr="00237B65">
              <w:rPr>
                <w:rFonts w:asciiTheme="minorHAnsi" w:hAnsiTheme="minorHAnsi" w:cstheme="minorHAnsi"/>
                <w:sz w:val="22"/>
                <w:szCs w:val="22"/>
              </w:rPr>
              <w:t>MNL</w:t>
            </w:r>
          </w:p>
          <w:p w14:paraId="31047C7B" w14:textId="443B0BB1" w:rsidR="00237B65" w:rsidRPr="00237B65" w:rsidRDefault="00237B65" w:rsidP="00237B6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37B65">
              <w:rPr>
                <w:rFonts w:asciiTheme="minorHAnsi" w:hAnsiTheme="minorHAnsi" w:cstheme="minorHAnsi"/>
                <w:sz w:val="22"/>
                <w:szCs w:val="22"/>
              </w:rPr>
              <w:t xml:space="preserve">Raportu z testów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bezpieczeństwa </w:t>
            </w:r>
            <w:r w:rsidRPr="00237B65">
              <w:rPr>
                <w:rFonts w:asciiTheme="minorHAnsi" w:hAnsiTheme="minorHAnsi" w:cstheme="minorHAnsi"/>
                <w:sz w:val="22"/>
                <w:szCs w:val="22"/>
              </w:rPr>
              <w:t>MNKI</w:t>
            </w:r>
          </w:p>
          <w:p w14:paraId="14284DB5" w14:textId="2F629685" w:rsidR="00237B65" w:rsidRPr="00237B65" w:rsidRDefault="00237B65" w:rsidP="00237B6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37B65">
              <w:rPr>
                <w:rFonts w:asciiTheme="minorHAnsi" w:hAnsiTheme="minorHAnsi" w:cstheme="minorHAnsi"/>
                <w:sz w:val="22"/>
                <w:szCs w:val="22"/>
              </w:rPr>
              <w:t xml:space="preserve">Raportu z testów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bezpieczeństwa </w:t>
            </w:r>
            <w:r w:rsidRPr="00237B65">
              <w:rPr>
                <w:rFonts w:asciiTheme="minorHAnsi" w:hAnsiTheme="minorHAnsi" w:cstheme="minorHAnsi"/>
                <w:sz w:val="22"/>
                <w:szCs w:val="22"/>
              </w:rPr>
              <w:t xml:space="preserve">MNP </w:t>
            </w:r>
          </w:p>
          <w:p w14:paraId="077E9F17" w14:textId="36CF0C60" w:rsidR="00237B65" w:rsidRPr="00237B65" w:rsidRDefault="00237B65" w:rsidP="00237B6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37B65">
              <w:rPr>
                <w:rFonts w:asciiTheme="minorHAnsi" w:hAnsiTheme="minorHAnsi" w:cstheme="minorHAnsi"/>
                <w:sz w:val="22"/>
                <w:szCs w:val="22"/>
              </w:rPr>
              <w:t xml:space="preserve">Raportu z testów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bezpieczeństwa </w:t>
            </w:r>
            <w:proofErr w:type="spellStart"/>
            <w:r w:rsidRPr="00237B65">
              <w:rPr>
                <w:rFonts w:asciiTheme="minorHAnsi" w:hAnsiTheme="minorHAnsi" w:cstheme="minorHAnsi"/>
                <w:sz w:val="22"/>
                <w:szCs w:val="22"/>
              </w:rPr>
              <w:t>MZwM</w:t>
            </w:r>
            <w:proofErr w:type="spellEnd"/>
          </w:p>
          <w:p w14:paraId="151FCF4F" w14:textId="77777777" w:rsidR="00237B65" w:rsidRDefault="00237B65" w:rsidP="00237B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951A7E" w14:textId="248B754D" w:rsidR="00237B65" w:rsidRPr="000B6C2E" w:rsidRDefault="00237B65" w:rsidP="00237B65">
            <w:pPr>
              <w:rPr>
                <w:rFonts w:ascii="Calibri" w:hAnsi="Calibri" w:cs="Calibri"/>
                <w:sz w:val="22"/>
                <w:szCs w:val="22"/>
              </w:rPr>
            </w:pPr>
            <w:r w:rsidRPr="005050A4">
              <w:rPr>
                <w:rFonts w:asciiTheme="minorHAnsi" w:hAnsiTheme="minorHAnsi" w:cstheme="minorHAnsi"/>
                <w:sz w:val="22"/>
                <w:szCs w:val="22"/>
              </w:rPr>
              <w:t>Audyt i testy bezpieczeństwa powinny zostać także przeprowadzone dla modernizowanych infrastruktur teleinformatycznych poszczególnych muzeów.</w:t>
            </w:r>
          </w:p>
        </w:tc>
        <w:tc>
          <w:tcPr>
            <w:tcW w:w="2835" w:type="dxa"/>
            <w:shd w:val="clear" w:color="auto" w:fill="auto"/>
          </w:tcPr>
          <w:p w14:paraId="1F261317" w14:textId="15DFA452" w:rsidR="00237B65" w:rsidRPr="000B6C2E" w:rsidRDefault="00237B65" w:rsidP="00237B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12B71F7E" w14:textId="77777777" w:rsidR="00237B65" w:rsidRPr="000B6C2E" w:rsidRDefault="00237B65" w:rsidP="00237B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47E" w:rsidRPr="000B6C2E" w14:paraId="226F3D70" w14:textId="77777777" w:rsidTr="000725CF">
        <w:tc>
          <w:tcPr>
            <w:tcW w:w="562" w:type="dxa"/>
            <w:shd w:val="clear" w:color="auto" w:fill="auto"/>
          </w:tcPr>
          <w:p w14:paraId="75C0D15C" w14:textId="77777777" w:rsidR="0037247E" w:rsidRPr="000B6C2E" w:rsidRDefault="0037247E" w:rsidP="0037247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12C9BBB" w14:textId="17430E72" w:rsidR="0037247E" w:rsidRPr="00636DB5" w:rsidRDefault="0037247E" w:rsidP="003724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3A2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75EF83A" w14:textId="0673DFC0" w:rsidR="0037247E" w:rsidRPr="000B6C2E" w:rsidRDefault="0037247E" w:rsidP="003724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7371" w:type="dxa"/>
            <w:shd w:val="clear" w:color="auto" w:fill="auto"/>
          </w:tcPr>
          <w:p w14:paraId="016591C2" w14:textId="61CB9208" w:rsidR="0037247E" w:rsidRPr="000B6C2E" w:rsidRDefault="0037247E" w:rsidP="0037247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5050A4">
              <w:rPr>
                <w:rFonts w:asciiTheme="minorHAnsi" w:hAnsiTheme="minorHAnsi" w:cstheme="minorHAnsi"/>
                <w:sz w:val="22"/>
                <w:szCs w:val="22"/>
              </w:rPr>
              <w:t xml:space="preserve">ależy uwzględnić przed etapem odbioru systemu wykonanie audytu bezpieczeństwa i testów bezpieczeństwa oraz testów wydajnościowych i obciążeniowych portalu www.muzeach oraz sporządzenie z nich raportów. </w:t>
            </w:r>
            <w:r w:rsidRPr="005050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Obecne zapisy mówią tylko o samym</w:t>
            </w:r>
            <w:r w:rsidR="00237B65">
              <w:rPr>
                <w:rFonts w:asciiTheme="minorHAnsi" w:hAnsiTheme="minorHAnsi" w:cstheme="minorHAnsi"/>
                <w:sz w:val="22"/>
                <w:szCs w:val="22"/>
              </w:rPr>
              <w:t xml:space="preserve"> końcowym</w:t>
            </w:r>
            <w:r w:rsidRPr="005050A4">
              <w:rPr>
                <w:rFonts w:asciiTheme="minorHAnsi" w:hAnsiTheme="minorHAnsi" w:cstheme="minorHAnsi"/>
                <w:sz w:val="22"/>
                <w:szCs w:val="22"/>
              </w:rPr>
              <w:t xml:space="preserve"> odbiorze raportu z testów bezpieczeństwa</w:t>
            </w:r>
            <w:r w:rsidR="00237B65">
              <w:rPr>
                <w:rFonts w:asciiTheme="minorHAnsi" w:hAnsiTheme="minorHAnsi" w:cstheme="minorHAnsi"/>
                <w:sz w:val="22"/>
                <w:szCs w:val="22"/>
              </w:rPr>
              <w:t xml:space="preserve"> i tylko w zakresie serwisu www.muzeach</w:t>
            </w:r>
            <w:r w:rsidRPr="005050A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835" w:type="dxa"/>
            <w:shd w:val="clear" w:color="auto" w:fill="auto"/>
          </w:tcPr>
          <w:p w14:paraId="30955F6F" w14:textId="24A00F06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A2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</w:t>
            </w:r>
            <w:r w:rsidR="00E5759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6D7AFE00" w14:textId="77777777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47E" w:rsidRPr="000B6C2E" w14:paraId="549148F0" w14:textId="77777777" w:rsidTr="000725CF">
        <w:tc>
          <w:tcPr>
            <w:tcW w:w="562" w:type="dxa"/>
            <w:shd w:val="clear" w:color="auto" w:fill="auto"/>
          </w:tcPr>
          <w:p w14:paraId="2EC17705" w14:textId="77777777" w:rsidR="0037247E" w:rsidRPr="000B6C2E" w:rsidRDefault="0037247E" w:rsidP="0037247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EFFD388" w14:textId="4C0590A0" w:rsidR="0037247E" w:rsidRPr="00E53A20" w:rsidRDefault="0037247E" w:rsidP="003724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3A2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762E4A5" w14:textId="648A99F6" w:rsidR="0037247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7371" w:type="dxa"/>
            <w:shd w:val="clear" w:color="auto" w:fill="auto"/>
          </w:tcPr>
          <w:p w14:paraId="37EA586C" w14:textId="1E7FEA2C" w:rsidR="0037247E" w:rsidRPr="00B63AD2" w:rsidRDefault="00237B65" w:rsidP="003724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uwzględnić termin </w:t>
            </w:r>
            <w:r w:rsidR="0037247E">
              <w:rPr>
                <w:rFonts w:asciiTheme="minorHAnsi" w:hAnsiTheme="minorHAnsi" w:cstheme="minorHAnsi"/>
                <w:sz w:val="22"/>
                <w:szCs w:val="22"/>
              </w:rPr>
              <w:t>planowan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="0037247E">
              <w:rPr>
                <w:rFonts w:asciiTheme="minorHAnsi" w:hAnsiTheme="minorHAnsi" w:cstheme="minorHAnsi"/>
                <w:sz w:val="22"/>
                <w:szCs w:val="22"/>
              </w:rPr>
              <w:t xml:space="preserve"> migracj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37247E">
              <w:rPr>
                <w:rFonts w:asciiTheme="minorHAnsi" w:hAnsiTheme="minorHAnsi" w:cstheme="minorHAnsi"/>
                <w:sz w:val="22"/>
                <w:szCs w:val="22"/>
              </w:rPr>
              <w:t xml:space="preserve"> zasobów do portalu KRONIK@</w:t>
            </w:r>
          </w:p>
        </w:tc>
        <w:tc>
          <w:tcPr>
            <w:tcW w:w="2835" w:type="dxa"/>
            <w:shd w:val="clear" w:color="auto" w:fill="auto"/>
          </w:tcPr>
          <w:p w14:paraId="344EEFD7" w14:textId="12CD4C39" w:rsidR="0037247E" w:rsidRPr="00E53A20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A20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E5759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5353E551" w14:textId="77777777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47E" w:rsidRPr="000B6C2E" w14:paraId="2CAE6FF4" w14:textId="77777777" w:rsidTr="000725CF">
        <w:tc>
          <w:tcPr>
            <w:tcW w:w="562" w:type="dxa"/>
            <w:shd w:val="clear" w:color="auto" w:fill="auto"/>
          </w:tcPr>
          <w:p w14:paraId="392CC5A1" w14:textId="77777777" w:rsidR="0037247E" w:rsidRPr="000B6C2E" w:rsidRDefault="0037247E" w:rsidP="0037247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5A69599" w14:textId="0A568A93" w:rsidR="0037247E" w:rsidRPr="00E53A20" w:rsidRDefault="0037247E" w:rsidP="003724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62C5B578" w14:textId="0006200A" w:rsidR="0037247E" w:rsidRPr="007A3D23" w:rsidRDefault="0037247E" w:rsidP="0037247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Otoczenie prawne</w:t>
            </w:r>
          </w:p>
        </w:tc>
        <w:tc>
          <w:tcPr>
            <w:tcW w:w="7371" w:type="dxa"/>
            <w:shd w:val="clear" w:color="auto" w:fill="auto"/>
          </w:tcPr>
          <w:p w14:paraId="57A81278" w14:textId="77777777" w:rsidR="0037247E" w:rsidRDefault="0037247E" w:rsidP="0037247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4C58">
              <w:rPr>
                <w:rFonts w:asciiTheme="minorHAnsi" w:hAnsiTheme="minorHAnsi" w:cstheme="minorHAnsi"/>
                <w:bCs/>
                <w:sz w:val="22"/>
                <w:szCs w:val="22"/>
              </w:rPr>
              <w:t>W tej części należy wymienić także akty prawne z zakresu informatyzacji, którego wdrożenie podlega realizowany projekt, np.:</w:t>
            </w:r>
          </w:p>
          <w:p w14:paraId="55CFA0D9" w14:textId="38AE0C16" w:rsidR="0037247E" w:rsidRPr="00BD4C58" w:rsidRDefault="00F4499D" w:rsidP="0037247E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37247E" w:rsidRPr="00BD4C58">
              <w:rPr>
                <w:rFonts w:asciiTheme="minorHAnsi" w:hAnsiTheme="minorHAnsi" w:cstheme="minorHAnsi"/>
                <w:sz w:val="22"/>
                <w:szCs w:val="22"/>
              </w:rPr>
              <w:t>staw</w:t>
            </w:r>
            <w:r w:rsidR="0037247E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37247E" w:rsidRPr="00BD4C58">
              <w:rPr>
                <w:rFonts w:asciiTheme="minorHAnsi" w:hAnsiTheme="minorHAnsi" w:cstheme="minorHAnsi"/>
                <w:sz w:val="22"/>
                <w:szCs w:val="22"/>
              </w:rPr>
              <w:t xml:space="preserve"> o muzeach.</w:t>
            </w:r>
          </w:p>
        </w:tc>
        <w:tc>
          <w:tcPr>
            <w:tcW w:w="2835" w:type="dxa"/>
            <w:shd w:val="clear" w:color="auto" w:fill="auto"/>
          </w:tcPr>
          <w:p w14:paraId="195A8006" w14:textId="7A0C0E8E" w:rsidR="0037247E" w:rsidRPr="00E53A20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A20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C3108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3FEE1BD4" w14:textId="77777777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47E" w:rsidRPr="000B6C2E" w14:paraId="3E8F5C1D" w14:textId="77777777" w:rsidTr="000725CF">
        <w:tc>
          <w:tcPr>
            <w:tcW w:w="562" w:type="dxa"/>
            <w:shd w:val="clear" w:color="auto" w:fill="auto"/>
          </w:tcPr>
          <w:p w14:paraId="0E5CAF39" w14:textId="77777777" w:rsidR="0037247E" w:rsidRPr="000B6C2E" w:rsidRDefault="0037247E" w:rsidP="0037247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4BAC57F" w14:textId="16B52FFB" w:rsidR="0037247E" w:rsidRPr="00E53A20" w:rsidRDefault="0037247E" w:rsidP="003724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5C375DEB" w14:textId="545D36B2" w:rsidR="0037247E" w:rsidRPr="007A3D23" w:rsidRDefault="0037247E" w:rsidP="0037247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7.3. Przyjęte założenia technologiczne</w:t>
            </w:r>
          </w:p>
        </w:tc>
        <w:tc>
          <w:tcPr>
            <w:tcW w:w="7371" w:type="dxa"/>
            <w:shd w:val="clear" w:color="auto" w:fill="auto"/>
          </w:tcPr>
          <w:p w14:paraId="531AF6D5" w14:textId="57DCADD6" w:rsidR="0037247E" w:rsidRPr="00B63AD2" w:rsidRDefault="00237B65" w:rsidP="003724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 projekcie realizowana jest modyfikacja systemów.</w:t>
            </w:r>
            <w:r w:rsidR="0037247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Należy zweryfikować konieczność</w:t>
            </w:r>
            <w:r w:rsidR="0037247E" w:rsidRPr="00EB745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dodani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="0037247E" w:rsidRPr="00EB745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informacji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 sztywnych, przyjętych założeniach warunkujących wspomniane modyfikacje, w szczególności b</w:t>
            </w:r>
            <w:r w:rsidRPr="00FF41F0">
              <w:rPr>
                <w:rFonts w:asciiTheme="minorHAnsi" w:hAnsiTheme="minorHAnsi" w:cstheme="minorHAnsi"/>
                <w:bCs/>
                <w:sz w:val="22"/>
                <w:szCs w:val="22"/>
              </w:rPr>
              <w:t>rak informacji o stosowanych standardach wymiany danych</w:t>
            </w:r>
            <w:r w:rsidR="0037247E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C7C29E3" w14:textId="2FE18730" w:rsidR="0037247E" w:rsidRPr="00E53A20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A20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C3108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525FC181" w14:textId="77777777" w:rsidR="0037247E" w:rsidRPr="000B6C2E" w:rsidRDefault="0037247E" w:rsidP="003724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7591" w:rsidRPr="000B6C2E" w14:paraId="173DAE45" w14:textId="77777777" w:rsidTr="000725CF">
        <w:tc>
          <w:tcPr>
            <w:tcW w:w="562" w:type="dxa"/>
            <w:shd w:val="clear" w:color="auto" w:fill="auto"/>
          </w:tcPr>
          <w:p w14:paraId="7CE82E84" w14:textId="77777777" w:rsidR="00E57591" w:rsidRPr="000B6C2E" w:rsidRDefault="00E57591" w:rsidP="00E5759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24D6919" w14:textId="5AD90430" w:rsidR="00E57591" w:rsidRDefault="00E57591" w:rsidP="00E5759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3A2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1EC5DAB2" w14:textId="528293F5" w:rsidR="00E57591" w:rsidRDefault="00E57591" w:rsidP="00E575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7.5. Bezpieczeństwo</w:t>
            </w:r>
          </w:p>
        </w:tc>
        <w:tc>
          <w:tcPr>
            <w:tcW w:w="7371" w:type="dxa"/>
            <w:shd w:val="clear" w:color="auto" w:fill="auto"/>
          </w:tcPr>
          <w:p w14:paraId="7672F4C5" w14:textId="77777777" w:rsidR="00E57591" w:rsidRPr="00B63AD2" w:rsidRDefault="00E57591" w:rsidP="00E575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3AD2">
              <w:rPr>
                <w:rFonts w:asciiTheme="minorHAnsi" w:hAnsiTheme="minorHAnsi" w:cstheme="minorHAnsi"/>
                <w:sz w:val="22"/>
                <w:szCs w:val="22"/>
              </w:rPr>
              <w:t xml:space="preserve">Niewłaściwe jest </w:t>
            </w:r>
            <w:r w:rsidRPr="00F4499D">
              <w:rPr>
                <w:rFonts w:asciiTheme="minorHAnsi" w:hAnsiTheme="minorHAnsi" w:cstheme="minorHAnsi"/>
                <w:sz w:val="22"/>
                <w:szCs w:val="22"/>
              </w:rPr>
              <w:t>stwierdzenie, że §20 KRI odnosi</w:t>
            </w:r>
            <w:r w:rsidRPr="00B63AD2">
              <w:rPr>
                <w:rFonts w:asciiTheme="minorHAnsi" w:hAnsiTheme="minorHAnsi" w:cstheme="minorHAnsi"/>
                <w:sz w:val="22"/>
                <w:szCs w:val="22"/>
              </w:rPr>
              <w:t xml:space="preserve"> się wyłącznie do rejestrów publicznych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B63AD2">
              <w:rPr>
                <w:rFonts w:asciiTheme="minorHAnsi" w:hAnsiTheme="minorHAnsi" w:cstheme="minorHAnsi"/>
                <w:sz w:val="22"/>
                <w:szCs w:val="22"/>
              </w:rPr>
              <w:t xml:space="preserve"> podczas gdy przepisy tej jednostki redakcyjnej dotyczą wszystkich systemów teleinformatycznych podmiotów realizujących zadania publiczne. Jednocześnie należy zaznaczyć, że wymagania dotyczące standardów wymiany informacji nie dotyczą jedynie wymiany z rejestrami publicznymi.</w:t>
            </w:r>
          </w:p>
          <w:p w14:paraId="33251072" w14:textId="77777777" w:rsidR="00E57591" w:rsidRDefault="00E57591" w:rsidP="00E575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3AD2">
              <w:rPr>
                <w:rFonts w:asciiTheme="minorHAnsi" w:hAnsiTheme="minorHAnsi" w:cstheme="minorHAnsi"/>
                <w:sz w:val="22"/>
                <w:szCs w:val="22"/>
              </w:rPr>
              <w:t>Poprawna jest natomiast końcowa treść omawianej jednostki redakcyjnej.</w:t>
            </w:r>
          </w:p>
          <w:p w14:paraId="2FF4A807" w14:textId="77777777" w:rsidR="00E57591" w:rsidRDefault="00E57591" w:rsidP="00E5759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63A6D2" w14:textId="57DEDA60" w:rsidR="00E57591" w:rsidRPr="00FF41F0" w:rsidRDefault="00E57591" w:rsidP="00E5759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63AD2">
              <w:rPr>
                <w:rFonts w:asciiTheme="minorHAnsi" w:hAnsiTheme="minorHAnsi" w:cstheme="minorHAnsi"/>
                <w:sz w:val="22"/>
                <w:szCs w:val="22"/>
              </w:rPr>
              <w:t>Należy wykreślić akapit w brzmieniu „System nie podlega wymogom KRI, ponieważ nie tworzy zbiorów o charakterze rejestrów publicznych, ani nie przewiduje wymiany z innymi rejestrami publicznymi.”</w:t>
            </w:r>
          </w:p>
        </w:tc>
        <w:tc>
          <w:tcPr>
            <w:tcW w:w="2835" w:type="dxa"/>
            <w:shd w:val="clear" w:color="auto" w:fill="auto"/>
          </w:tcPr>
          <w:p w14:paraId="35039D0F" w14:textId="1B6C79CE" w:rsidR="00E57591" w:rsidRPr="00E53A20" w:rsidRDefault="00E57591" w:rsidP="00E575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3A20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66AD08F6" w14:textId="77777777" w:rsidR="00E57591" w:rsidRPr="000B6C2E" w:rsidRDefault="00E57591" w:rsidP="00E575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77777777" w:rsidR="00C64B1B" w:rsidRPr="000B6C2E" w:rsidRDefault="00C64B1B" w:rsidP="00400385"/>
    <w:sectPr w:rsidR="00C64B1B" w:rsidRPr="000B6C2E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12BD8" w14:textId="77777777" w:rsidR="000C48BF" w:rsidRDefault="000C48BF" w:rsidP="00886AF0">
      <w:r>
        <w:separator/>
      </w:r>
    </w:p>
  </w:endnote>
  <w:endnote w:type="continuationSeparator" w:id="0">
    <w:p w14:paraId="67E894A4" w14:textId="77777777" w:rsidR="000C48BF" w:rsidRDefault="000C48BF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AC401" w14:textId="77777777" w:rsidR="000C48BF" w:rsidRDefault="000C48BF" w:rsidP="00886AF0">
      <w:r>
        <w:separator/>
      </w:r>
    </w:p>
  </w:footnote>
  <w:footnote w:type="continuationSeparator" w:id="0">
    <w:p w14:paraId="10A0E0D7" w14:textId="77777777" w:rsidR="000C48BF" w:rsidRDefault="000C48BF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602586"/>
    <w:multiLevelType w:val="hybridMultilevel"/>
    <w:tmpl w:val="6E46D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29394D"/>
    <w:multiLevelType w:val="hybridMultilevel"/>
    <w:tmpl w:val="E9C48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2D0731"/>
    <w:multiLevelType w:val="hybridMultilevel"/>
    <w:tmpl w:val="4CD892D8"/>
    <w:lvl w:ilvl="0" w:tplc="00C2638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4855">
    <w:abstractNumId w:val="0"/>
  </w:num>
  <w:num w:numId="2" w16cid:durableId="303169556">
    <w:abstractNumId w:val="7"/>
  </w:num>
  <w:num w:numId="3" w16cid:durableId="1115098081">
    <w:abstractNumId w:val="6"/>
  </w:num>
  <w:num w:numId="4" w16cid:durableId="722022335">
    <w:abstractNumId w:val="2"/>
  </w:num>
  <w:num w:numId="5" w16cid:durableId="974338382">
    <w:abstractNumId w:val="5"/>
  </w:num>
  <w:num w:numId="6" w16cid:durableId="1820346501">
    <w:abstractNumId w:val="4"/>
  </w:num>
  <w:num w:numId="7" w16cid:durableId="54669411">
    <w:abstractNumId w:val="1"/>
  </w:num>
  <w:num w:numId="8" w16cid:durableId="114389153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505B"/>
    <w:rsid w:val="000218FD"/>
    <w:rsid w:val="00023DE0"/>
    <w:rsid w:val="00034258"/>
    <w:rsid w:val="00044893"/>
    <w:rsid w:val="00055DB6"/>
    <w:rsid w:val="00065EE9"/>
    <w:rsid w:val="000725CF"/>
    <w:rsid w:val="000920EA"/>
    <w:rsid w:val="000B03C0"/>
    <w:rsid w:val="000B6C2E"/>
    <w:rsid w:val="000B7F18"/>
    <w:rsid w:val="000C416B"/>
    <w:rsid w:val="000C48BF"/>
    <w:rsid w:val="000C56DC"/>
    <w:rsid w:val="000D44F3"/>
    <w:rsid w:val="000D46DA"/>
    <w:rsid w:val="000F317D"/>
    <w:rsid w:val="000F65FC"/>
    <w:rsid w:val="00114D45"/>
    <w:rsid w:val="0012281E"/>
    <w:rsid w:val="001258A9"/>
    <w:rsid w:val="00140BE8"/>
    <w:rsid w:val="00145D31"/>
    <w:rsid w:val="00152478"/>
    <w:rsid w:val="001561A5"/>
    <w:rsid w:val="00161699"/>
    <w:rsid w:val="001905B4"/>
    <w:rsid w:val="00195E00"/>
    <w:rsid w:val="0019648E"/>
    <w:rsid w:val="001A2CE3"/>
    <w:rsid w:val="001D4467"/>
    <w:rsid w:val="001D5B0F"/>
    <w:rsid w:val="001F2B0B"/>
    <w:rsid w:val="002068A1"/>
    <w:rsid w:val="002333B2"/>
    <w:rsid w:val="0023535C"/>
    <w:rsid w:val="00237B65"/>
    <w:rsid w:val="00247E89"/>
    <w:rsid w:val="00251201"/>
    <w:rsid w:val="00257197"/>
    <w:rsid w:val="00270709"/>
    <w:rsid w:val="002715B2"/>
    <w:rsid w:val="002800E9"/>
    <w:rsid w:val="00283915"/>
    <w:rsid w:val="00284ACD"/>
    <w:rsid w:val="002A4240"/>
    <w:rsid w:val="002C63E3"/>
    <w:rsid w:val="002E354F"/>
    <w:rsid w:val="002E461B"/>
    <w:rsid w:val="002E598E"/>
    <w:rsid w:val="003051AB"/>
    <w:rsid w:val="003124D1"/>
    <w:rsid w:val="003174BC"/>
    <w:rsid w:val="00343837"/>
    <w:rsid w:val="00365062"/>
    <w:rsid w:val="0037247E"/>
    <w:rsid w:val="00374952"/>
    <w:rsid w:val="003901E1"/>
    <w:rsid w:val="003B1101"/>
    <w:rsid w:val="003B1A30"/>
    <w:rsid w:val="003B4105"/>
    <w:rsid w:val="003C0F47"/>
    <w:rsid w:val="003C325D"/>
    <w:rsid w:val="003D5802"/>
    <w:rsid w:val="003D72C4"/>
    <w:rsid w:val="003E5CAF"/>
    <w:rsid w:val="003E68E5"/>
    <w:rsid w:val="00400385"/>
    <w:rsid w:val="0040098E"/>
    <w:rsid w:val="00406804"/>
    <w:rsid w:val="00414D35"/>
    <w:rsid w:val="00423EDA"/>
    <w:rsid w:val="0043061A"/>
    <w:rsid w:val="004428F9"/>
    <w:rsid w:val="0046157B"/>
    <w:rsid w:val="0046275A"/>
    <w:rsid w:val="004669F9"/>
    <w:rsid w:val="00477AD9"/>
    <w:rsid w:val="0048119F"/>
    <w:rsid w:val="004839F7"/>
    <w:rsid w:val="00494A4A"/>
    <w:rsid w:val="004B2E1F"/>
    <w:rsid w:val="004D086F"/>
    <w:rsid w:val="004E06DE"/>
    <w:rsid w:val="004E16CA"/>
    <w:rsid w:val="00502929"/>
    <w:rsid w:val="00527798"/>
    <w:rsid w:val="00535FF5"/>
    <w:rsid w:val="00545F4C"/>
    <w:rsid w:val="005461FB"/>
    <w:rsid w:val="00556B17"/>
    <w:rsid w:val="00563841"/>
    <w:rsid w:val="00573295"/>
    <w:rsid w:val="005848C1"/>
    <w:rsid w:val="005B45D6"/>
    <w:rsid w:val="005B7553"/>
    <w:rsid w:val="005C13F1"/>
    <w:rsid w:val="005C4092"/>
    <w:rsid w:val="005D02F7"/>
    <w:rsid w:val="005D6C13"/>
    <w:rsid w:val="005E238F"/>
    <w:rsid w:val="005E4F39"/>
    <w:rsid w:val="005F3B48"/>
    <w:rsid w:val="005F6527"/>
    <w:rsid w:val="0060100E"/>
    <w:rsid w:val="00606470"/>
    <w:rsid w:val="0062493B"/>
    <w:rsid w:val="00627FF3"/>
    <w:rsid w:val="0065799A"/>
    <w:rsid w:val="006705EC"/>
    <w:rsid w:val="00693323"/>
    <w:rsid w:val="006C241A"/>
    <w:rsid w:val="006C2A60"/>
    <w:rsid w:val="006C3104"/>
    <w:rsid w:val="006E16E9"/>
    <w:rsid w:val="006E4333"/>
    <w:rsid w:val="00727BAA"/>
    <w:rsid w:val="0073012D"/>
    <w:rsid w:val="00763DE7"/>
    <w:rsid w:val="0076470C"/>
    <w:rsid w:val="00773CC5"/>
    <w:rsid w:val="00777920"/>
    <w:rsid w:val="00780B51"/>
    <w:rsid w:val="00781E93"/>
    <w:rsid w:val="0078442E"/>
    <w:rsid w:val="007A3D23"/>
    <w:rsid w:val="007E2EE3"/>
    <w:rsid w:val="007E6602"/>
    <w:rsid w:val="007E7047"/>
    <w:rsid w:val="007F2D8D"/>
    <w:rsid w:val="00807385"/>
    <w:rsid w:val="00813436"/>
    <w:rsid w:val="00816888"/>
    <w:rsid w:val="00822F0D"/>
    <w:rsid w:val="008363FE"/>
    <w:rsid w:val="00836515"/>
    <w:rsid w:val="00860FCD"/>
    <w:rsid w:val="008626EE"/>
    <w:rsid w:val="008749F0"/>
    <w:rsid w:val="008771F8"/>
    <w:rsid w:val="008808AF"/>
    <w:rsid w:val="00882795"/>
    <w:rsid w:val="008838F9"/>
    <w:rsid w:val="00886AF0"/>
    <w:rsid w:val="00891E39"/>
    <w:rsid w:val="008A0926"/>
    <w:rsid w:val="008B2259"/>
    <w:rsid w:val="008B70A8"/>
    <w:rsid w:val="008E650D"/>
    <w:rsid w:val="008F7285"/>
    <w:rsid w:val="00907959"/>
    <w:rsid w:val="00907AF0"/>
    <w:rsid w:val="00923B76"/>
    <w:rsid w:val="00944932"/>
    <w:rsid w:val="00945EA2"/>
    <w:rsid w:val="0096010D"/>
    <w:rsid w:val="00960C54"/>
    <w:rsid w:val="009637B5"/>
    <w:rsid w:val="00967305"/>
    <w:rsid w:val="00967B18"/>
    <w:rsid w:val="009702E5"/>
    <w:rsid w:val="00983AF0"/>
    <w:rsid w:val="009B32ED"/>
    <w:rsid w:val="009B5D9F"/>
    <w:rsid w:val="009C4BC5"/>
    <w:rsid w:val="009D0DBB"/>
    <w:rsid w:val="009D6DE3"/>
    <w:rsid w:val="009E136A"/>
    <w:rsid w:val="009E5FDB"/>
    <w:rsid w:val="00A06425"/>
    <w:rsid w:val="00A43EEC"/>
    <w:rsid w:val="00A62A4C"/>
    <w:rsid w:val="00A95064"/>
    <w:rsid w:val="00A9778D"/>
    <w:rsid w:val="00AA04A6"/>
    <w:rsid w:val="00AB073C"/>
    <w:rsid w:val="00AC1D3C"/>
    <w:rsid w:val="00AC4561"/>
    <w:rsid w:val="00AC7796"/>
    <w:rsid w:val="00AD018C"/>
    <w:rsid w:val="00AD297C"/>
    <w:rsid w:val="00AD795A"/>
    <w:rsid w:val="00B0751B"/>
    <w:rsid w:val="00B16625"/>
    <w:rsid w:val="00B31095"/>
    <w:rsid w:val="00B350C6"/>
    <w:rsid w:val="00B50446"/>
    <w:rsid w:val="00B53565"/>
    <w:rsid w:val="00B649B0"/>
    <w:rsid w:val="00B65730"/>
    <w:rsid w:val="00B8456B"/>
    <w:rsid w:val="00B871B6"/>
    <w:rsid w:val="00B90A00"/>
    <w:rsid w:val="00B916AC"/>
    <w:rsid w:val="00B9614D"/>
    <w:rsid w:val="00B96BB1"/>
    <w:rsid w:val="00BC1E95"/>
    <w:rsid w:val="00BD4C58"/>
    <w:rsid w:val="00C10D1A"/>
    <w:rsid w:val="00C2582E"/>
    <w:rsid w:val="00C27634"/>
    <w:rsid w:val="00C31087"/>
    <w:rsid w:val="00C31C9A"/>
    <w:rsid w:val="00C328A8"/>
    <w:rsid w:val="00C64B1B"/>
    <w:rsid w:val="00C727F5"/>
    <w:rsid w:val="00C72E9D"/>
    <w:rsid w:val="00C73505"/>
    <w:rsid w:val="00C74DB0"/>
    <w:rsid w:val="00C826B0"/>
    <w:rsid w:val="00CB51F0"/>
    <w:rsid w:val="00CC1C6D"/>
    <w:rsid w:val="00CC6611"/>
    <w:rsid w:val="00CD49B7"/>
    <w:rsid w:val="00CD5EB0"/>
    <w:rsid w:val="00CD6E50"/>
    <w:rsid w:val="00CE0D57"/>
    <w:rsid w:val="00D04828"/>
    <w:rsid w:val="00D11F90"/>
    <w:rsid w:val="00D122F3"/>
    <w:rsid w:val="00D134F8"/>
    <w:rsid w:val="00D148C7"/>
    <w:rsid w:val="00D15B33"/>
    <w:rsid w:val="00D208A4"/>
    <w:rsid w:val="00D22829"/>
    <w:rsid w:val="00D23ABA"/>
    <w:rsid w:val="00D85E42"/>
    <w:rsid w:val="00D92544"/>
    <w:rsid w:val="00DB6574"/>
    <w:rsid w:val="00DB6C75"/>
    <w:rsid w:val="00DB77E2"/>
    <w:rsid w:val="00DC2DF0"/>
    <w:rsid w:val="00DF4E21"/>
    <w:rsid w:val="00E04104"/>
    <w:rsid w:val="00E14C33"/>
    <w:rsid w:val="00E43287"/>
    <w:rsid w:val="00E469F9"/>
    <w:rsid w:val="00E53A20"/>
    <w:rsid w:val="00E57591"/>
    <w:rsid w:val="00E57735"/>
    <w:rsid w:val="00E6732D"/>
    <w:rsid w:val="00E85569"/>
    <w:rsid w:val="00EA37B1"/>
    <w:rsid w:val="00EC5127"/>
    <w:rsid w:val="00ED23C5"/>
    <w:rsid w:val="00EE3796"/>
    <w:rsid w:val="00EF1BE6"/>
    <w:rsid w:val="00F203A7"/>
    <w:rsid w:val="00F26AA1"/>
    <w:rsid w:val="00F4499D"/>
    <w:rsid w:val="00F458C8"/>
    <w:rsid w:val="00F50196"/>
    <w:rsid w:val="00F509A9"/>
    <w:rsid w:val="00F53EE6"/>
    <w:rsid w:val="00F57F63"/>
    <w:rsid w:val="00F73867"/>
    <w:rsid w:val="00F750E2"/>
    <w:rsid w:val="00FA1CAB"/>
    <w:rsid w:val="00FA3B66"/>
    <w:rsid w:val="00FB5C64"/>
    <w:rsid w:val="00FB6A7B"/>
    <w:rsid w:val="00FB71F0"/>
    <w:rsid w:val="00FD7F78"/>
    <w:rsid w:val="00FE3C6F"/>
    <w:rsid w:val="00FE6A15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BBD48828-1759-406D-94AF-99710549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627F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7FF3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AD29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1566</TotalTime>
  <Pages>4</Pages>
  <Words>1175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17</cp:revision>
  <dcterms:created xsi:type="dcterms:W3CDTF">2023-09-12T11:31:00Z</dcterms:created>
  <dcterms:modified xsi:type="dcterms:W3CDTF">2024-12-10T19:50:00Z</dcterms:modified>
</cp:coreProperties>
</file>