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F7797" w14:textId="77777777" w:rsidR="00FC5D9A" w:rsidRPr="00FE629B" w:rsidRDefault="00FC5D9A" w:rsidP="00FC5D9A">
      <w:pPr>
        <w:jc w:val="center"/>
        <w:rPr>
          <w:rFonts w:asciiTheme="minorHAnsi" w:hAnsiTheme="minorHAnsi"/>
          <w:b/>
          <w:sz w:val="22"/>
          <w:szCs w:val="22"/>
        </w:rPr>
      </w:pPr>
      <w:r w:rsidRPr="00FE629B">
        <w:rPr>
          <w:rFonts w:asciiTheme="minorHAnsi" w:hAnsiTheme="minorHAnsi"/>
          <w:b/>
          <w:sz w:val="22"/>
          <w:szCs w:val="22"/>
        </w:rPr>
        <w:t>PROGRAM PRIORYTETOWY</w:t>
      </w:r>
    </w:p>
    <w:p w14:paraId="6D1BA38F" w14:textId="77777777" w:rsidR="00FC5D9A" w:rsidRPr="00FE629B" w:rsidRDefault="00FC5D9A" w:rsidP="00FC5D9A">
      <w:pPr>
        <w:jc w:val="center"/>
        <w:rPr>
          <w:rFonts w:asciiTheme="minorHAnsi" w:hAnsiTheme="minorHAnsi"/>
          <w:sz w:val="22"/>
          <w:szCs w:val="22"/>
        </w:rPr>
      </w:pPr>
    </w:p>
    <w:p w14:paraId="585E9EA2" w14:textId="77777777"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14:paraId="40F88617" w14:textId="6C4A19E2" w:rsidR="00FC5D9A" w:rsidRDefault="00E303A3" w:rsidP="00FC5D9A">
      <w:pPr>
        <w:tabs>
          <w:tab w:val="left" w:pos="1276"/>
        </w:tabs>
        <w:autoSpaceDE w:val="0"/>
        <w:autoSpaceDN w:val="0"/>
        <w:adjustRightInd w:val="0"/>
        <w:spacing w:before="240" w:after="240"/>
        <w:rPr>
          <w:rFonts w:asciiTheme="minorHAnsi" w:hAnsiTheme="minorHAnsi"/>
          <w:b/>
          <w:sz w:val="22"/>
          <w:szCs w:val="22"/>
        </w:rPr>
      </w:pPr>
      <w:r w:rsidRPr="00FE629B">
        <w:rPr>
          <w:rFonts w:asciiTheme="minorHAnsi" w:hAnsiTheme="minorHAnsi"/>
          <w:b/>
          <w:sz w:val="22"/>
          <w:szCs w:val="22"/>
        </w:rPr>
        <w:t>Poznanie budowy geologicznej na rzecz kraju</w:t>
      </w:r>
    </w:p>
    <w:p w14:paraId="5F8435D9" w14:textId="77777777" w:rsidR="00026BD0" w:rsidRPr="00996A36" w:rsidRDefault="00026BD0" w:rsidP="00026BD0">
      <w:pPr>
        <w:jc w:val="both"/>
        <w:rPr>
          <w:rFonts w:asciiTheme="minorHAnsi" w:hAnsiTheme="minorHAnsi" w:cstheme="minorHAnsi"/>
          <w:b/>
          <w:i/>
          <w:sz w:val="20"/>
          <w:szCs w:val="20"/>
        </w:rPr>
      </w:pPr>
      <w:r w:rsidRPr="00996A36">
        <w:rPr>
          <w:rFonts w:asciiTheme="minorHAnsi" w:hAnsiTheme="minorHAnsi" w:cstheme="minorHAnsi"/>
          <w:b/>
          <w:i/>
          <w:sz w:val="20"/>
          <w:szCs w:val="20"/>
        </w:rPr>
        <w:t>Uwaga:</w:t>
      </w:r>
    </w:p>
    <w:p w14:paraId="6E12B83F" w14:textId="77777777" w:rsidR="00026BD0" w:rsidRPr="00996A36" w:rsidRDefault="00026BD0" w:rsidP="00996A36">
      <w:pPr>
        <w:tabs>
          <w:tab w:val="left" w:pos="0"/>
        </w:tabs>
        <w:spacing w:before="120"/>
        <w:jc w:val="both"/>
        <w:rPr>
          <w:rFonts w:asciiTheme="minorHAnsi" w:hAnsiTheme="minorHAnsi" w:cstheme="minorHAnsi"/>
          <w:i/>
          <w:sz w:val="20"/>
          <w:szCs w:val="20"/>
        </w:rPr>
      </w:pPr>
      <w:r w:rsidRPr="00996A36">
        <w:rPr>
          <w:rFonts w:asciiTheme="minorHAnsi" w:hAnsiTheme="minorHAnsi" w:cstheme="minorHAnsi"/>
          <w:i/>
          <w:sz w:val="20"/>
          <w:szCs w:val="20"/>
        </w:rPr>
        <w:t>W ramach niniejszego programu realizowane są przedsięwzięcia m.in. w zakresie badań środowiskowych związanych z poszukiwaniem i rozpoznawaniem złóż wód termalnych w celu wykorzystania tych wód do produkcji energii.</w:t>
      </w:r>
    </w:p>
    <w:p w14:paraId="5F3330BC" w14:textId="57A2C35E" w:rsidR="00026BD0" w:rsidRPr="00996A36" w:rsidRDefault="00026BD0" w:rsidP="00996A36">
      <w:pPr>
        <w:pStyle w:val="Akapitzlist"/>
        <w:spacing w:before="120"/>
        <w:ind w:left="0"/>
        <w:jc w:val="both"/>
        <w:rPr>
          <w:rStyle w:val="Hipercze"/>
          <w:rFonts w:asciiTheme="minorHAnsi" w:hAnsiTheme="minorHAnsi" w:cstheme="minorHAnsi"/>
          <w:sz w:val="20"/>
          <w:szCs w:val="20"/>
        </w:rPr>
      </w:pPr>
      <w:r w:rsidRPr="00996A36">
        <w:rPr>
          <w:rFonts w:asciiTheme="minorHAnsi" w:hAnsiTheme="minorHAnsi" w:cstheme="minorHAnsi"/>
          <w:i/>
          <w:sz w:val="20"/>
          <w:szCs w:val="20"/>
        </w:rPr>
        <w:t xml:space="preserve">Kontynuacja przedsięwzięć może nastąpić w ramach programu priorytetowego </w:t>
      </w:r>
      <w:r w:rsidRPr="00996A36">
        <w:rPr>
          <w:rFonts w:asciiTheme="minorHAnsi" w:hAnsiTheme="minorHAnsi" w:cstheme="minorHAnsi"/>
          <w:b/>
          <w:i/>
          <w:sz w:val="20"/>
          <w:szCs w:val="20"/>
        </w:rPr>
        <w:t xml:space="preserve">Energia Plus. </w:t>
      </w:r>
      <w:r w:rsidRPr="00996A36">
        <w:rPr>
          <w:rFonts w:asciiTheme="minorHAnsi" w:hAnsiTheme="minorHAnsi" w:cstheme="minorHAnsi"/>
          <w:i/>
          <w:sz w:val="20"/>
          <w:szCs w:val="20"/>
        </w:rPr>
        <w:t xml:space="preserve">Treść programu znajduje się na stronie: </w:t>
      </w:r>
      <w:hyperlink r:id="rId8" w:history="1">
        <w:r w:rsidRPr="00996A36">
          <w:rPr>
            <w:rStyle w:val="Hipercze"/>
            <w:rFonts w:asciiTheme="minorHAnsi" w:hAnsiTheme="minorHAnsi" w:cstheme="minorHAnsi"/>
            <w:sz w:val="20"/>
            <w:szCs w:val="20"/>
          </w:rPr>
          <w:t>www.nfosigw.gov.pl</w:t>
        </w:r>
      </w:hyperlink>
    </w:p>
    <w:p w14:paraId="1A2DD9B9" w14:textId="77777777" w:rsidR="00996A36" w:rsidRPr="00996A36" w:rsidRDefault="00996A36" w:rsidP="00996A36">
      <w:pPr>
        <w:pStyle w:val="Akapitzlist"/>
        <w:spacing w:before="120"/>
        <w:ind w:left="0"/>
        <w:jc w:val="both"/>
        <w:rPr>
          <w:rFonts w:asciiTheme="minorHAnsi" w:hAnsiTheme="minorHAnsi" w:cstheme="minorHAnsi"/>
          <w:bCs/>
          <w:color w:val="000000"/>
          <w:sz w:val="22"/>
          <w:szCs w:val="22"/>
        </w:rPr>
      </w:pPr>
    </w:p>
    <w:p w14:paraId="5542ABB8" w14:textId="67824C34" w:rsidR="00FC5D9A" w:rsidRPr="00FE629B" w:rsidRDefault="00FC5D9A" w:rsidP="00FC5D9A">
      <w:pPr>
        <w:pStyle w:val="Akapitzlist"/>
        <w:numPr>
          <w:ilvl w:val="0"/>
          <w:numId w:val="5"/>
        </w:numPr>
        <w:tabs>
          <w:tab w:val="left" w:pos="540"/>
        </w:tabs>
        <w:autoSpaceDE w:val="0"/>
        <w:autoSpaceDN w:val="0"/>
        <w:adjustRightInd w:val="0"/>
        <w:spacing w:before="600" w:after="12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14:paraId="79C2A36F" w14:textId="2E261530" w:rsidR="008E3B99" w:rsidRPr="00FE629B" w:rsidRDefault="00026BD0" w:rsidP="00FC5D9A">
      <w:pPr>
        <w:pStyle w:val="Akapitzlist"/>
        <w:numPr>
          <w:ilvl w:val="0"/>
          <w:numId w:val="6"/>
        </w:numPr>
        <w:tabs>
          <w:tab w:val="left" w:pos="540"/>
        </w:tabs>
        <w:autoSpaceDE w:val="0"/>
        <w:autoSpaceDN w:val="0"/>
        <w:adjustRightInd w:val="0"/>
        <w:spacing w:before="120" w:after="120"/>
        <w:ind w:left="567" w:hanging="567"/>
        <w:jc w:val="both"/>
        <w:rPr>
          <w:rFonts w:asciiTheme="minorHAnsi" w:hAnsiTheme="minorHAnsi"/>
          <w:b/>
          <w:color w:val="000000"/>
          <w:sz w:val="22"/>
          <w:szCs w:val="22"/>
        </w:rPr>
      </w:pPr>
      <w:r>
        <w:rPr>
          <w:rFonts w:asciiTheme="minorHAnsi" w:hAnsiTheme="minorHAnsi"/>
          <w:sz w:val="22"/>
          <w:szCs w:val="22"/>
        </w:rPr>
        <w:t>p</w:t>
      </w:r>
      <w:r w:rsidR="00372E17" w:rsidRPr="00FE629B">
        <w:rPr>
          <w:rFonts w:asciiTheme="minorHAnsi" w:hAnsiTheme="minorHAnsi"/>
          <w:sz w:val="22"/>
          <w:szCs w:val="22"/>
        </w:rPr>
        <w:t xml:space="preserve">oznanie </w:t>
      </w:r>
      <w:r w:rsidR="00FC5D9A" w:rsidRPr="00FE629B">
        <w:rPr>
          <w:rFonts w:asciiTheme="minorHAnsi" w:hAnsiTheme="minorHAnsi"/>
          <w:sz w:val="22"/>
          <w:szCs w:val="22"/>
        </w:rPr>
        <w:t xml:space="preserve">budowy geologicznej </w:t>
      </w:r>
      <w:r w:rsidR="0036230C" w:rsidRPr="00FE629B">
        <w:rPr>
          <w:rFonts w:asciiTheme="minorHAnsi" w:hAnsiTheme="minorHAnsi"/>
          <w:sz w:val="22"/>
          <w:szCs w:val="22"/>
        </w:rPr>
        <w:t xml:space="preserve">na rzecz </w:t>
      </w:r>
      <w:r w:rsidR="00FC5D9A" w:rsidRPr="00FE629B">
        <w:rPr>
          <w:rFonts w:asciiTheme="minorHAnsi" w:hAnsiTheme="minorHAnsi"/>
          <w:sz w:val="22"/>
          <w:szCs w:val="22"/>
        </w:rPr>
        <w:t>kraju oraz racjonalna gospodarka zasobami złóż kopalin i wód podziemnych, poprzez</w:t>
      </w:r>
      <w:r w:rsidR="008E3B99" w:rsidRPr="00FE629B">
        <w:rPr>
          <w:rFonts w:asciiTheme="minorHAnsi" w:hAnsiTheme="minorHAnsi"/>
          <w:sz w:val="22"/>
          <w:szCs w:val="22"/>
        </w:rPr>
        <w:t>:</w:t>
      </w:r>
    </w:p>
    <w:p w14:paraId="3B04C140" w14:textId="61378A86" w:rsidR="008E3B99" w:rsidRPr="00FE629B" w:rsidRDefault="00FC5D9A" w:rsidP="00FE629B">
      <w:pPr>
        <w:pStyle w:val="Akapitzlist"/>
        <w:numPr>
          <w:ilvl w:val="0"/>
          <w:numId w:val="43"/>
        </w:numPr>
        <w:tabs>
          <w:tab w:val="left" w:pos="540"/>
        </w:tabs>
        <w:autoSpaceDE w:val="0"/>
        <w:autoSpaceDN w:val="0"/>
        <w:adjustRightInd w:val="0"/>
        <w:spacing w:before="120" w:after="120"/>
        <w:ind w:left="993" w:hanging="426"/>
        <w:jc w:val="both"/>
        <w:rPr>
          <w:rFonts w:asciiTheme="minorHAnsi" w:hAnsiTheme="minorHAnsi"/>
          <w:b/>
          <w:color w:val="000000"/>
          <w:sz w:val="22"/>
          <w:szCs w:val="22"/>
        </w:rPr>
      </w:pPr>
      <w:r w:rsidRPr="00FE629B">
        <w:rPr>
          <w:rFonts w:asciiTheme="minorHAnsi" w:hAnsiTheme="minorHAnsi"/>
          <w:sz w:val="22"/>
          <w:szCs w:val="22"/>
        </w:rPr>
        <w:t xml:space="preserve">wdrażanie </w:t>
      </w:r>
      <w:r w:rsidR="005E218C" w:rsidRPr="00FE629B">
        <w:rPr>
          <w:rFonts w:asciiTheme="minorHAnsi" w:hAnsiTheme="minorHAnsi"/>
          <w:sz w:val="22"/>
          <w:szCs w:val="22"/>
        </w:rPr>
        <w:t xml:space="preserve">programów, </w:t>
      </w:r>
      <w:r w:rsidRPr="00FE629B">
        <w:rPr>
          <w:rFonts w:asciiTheme="minorHAnsi" w:hAnsiTheme="minorHAnsi"/>
          <w:sz w:val="22"/>
          <w:szCs w:val="22"/>
        </w:rPr>
        <w:t>długoterminowych polityk państwa i</w:t>
      </w:r>
      <w:r w:rsidR="00E303A3" w:rsidRPr="00FE629B">
        <w:rPr>
          <w:rFonts w:asciiTheme="minorHAnsi" w:hAnsiTheme="minorHAnsi"/>
          <w:sz w:val="22"/>
          <w:szCs w:val="22"/>
        </w:rPr>
        <w:t xml:space="preserve"> </w:t>
      </w:r>
      <w:r w:rsidRPr="00FE629B">
        <w:rPr>
          <w:rFonts w:asciiTheme="minorHAnsi" w:hAnsiTheme="minorHAnsi"/>
          <w:sz w:val="22"/>
          <w:szCs w:val="22"/>
        </w:rPr>
        <w:t>kierunków badań w zakresie geologii,</w:t>
      </w:r>
    </w:p>
    <w:p w14:paraId="40768BB1" w14:textId="4166CC54" w:rsidR="008E3B99" w:rsidRPr="00FE629B" w:rsidRDefault="00FC5D9A" w:rsidP="00FE629B">
      <w:pPr>
        <w:pStyle w:val="Akapitzlist"/>
        <w:numPr>
          <w:ilvl w:val="0"/>
          <w:numId w:val="43"/>
        </w:numPr>
        <w:tabs>
          <w:tab w:val="left" w:pos="540"/>
        </w:tabs>
        <w:autoSpaceDE w:val="0"/>
        <w:autoSpaceDN w:val="0"/>
        <w:adjustRightInd w:val="0"/>
        <w:spacing w:before="120" w:after="120"/>
        <w:ind w:left="993" w:hanging="426"/>
        <w:jc w:val="both"/>
        <w:rPr>
          <w:rFonts w:asciiTheme="minorHAnsi" w:hAnsiTheme="minorHAnsi"/>
          <w:b/>
          <w:color w:val="000000"/>
          <w:sz w:val="22"/>
          <w:szCs w:val="22"/>
        </w:rPr>
      </w:pPr>
      <w:r w:rsidRPr="00FE629B">
        <w:rPr>
          <w:rFonts w:asciiTheme="minorHAnsi" w:hAnsiTheme="minorHAnsi"/>
          <w:sz w:val="22"/>
          <w:szCs w:val="22"/>
        </w:rPr>
        <w:t>implementację stosownych dyrektyw oraz realizację zadań ustawowych i innych, niezbędnych do poszerzenia bazy geologicznej, w</w:t>
      </w:r>
      <w:r w:rsidR="005E218C" w:rsidRPr="00FE629B">
        <w:rPr>
          <w:rFonts w:asciiTheme="minorHAnsi" w:hAnsiTheme="minorHAnsi"/>
          <w:sz w:val="22"/>
          <w:szCs w:val="22"/>
        </w:rPr>
        <w:t xml:space="preserve"> </w:t>
      </w:r>
      <w:r w:rsidRPr="00FE629B">
        <w:rPr>
          <w:rFonts w:asciiTheme="minorHAnsi" w:hAnsiTheme="minorHAnsi"/>
          <w:sz w:val="22"/>
          <w:szCs w:val="22"/>
        </w:rPr>
        <w:t>zakresie badawczo-rozpoznawczym i dokumentacyjnym</w:t>
      </w:r>
    </w:p>
    <w:p w14:paraId="272CDB6F" w14:textId="571A5BD8" w:rsidR="008E3B99" w:rsidRPr="00FE629B" w:rsidRDefault="008E3B99" w:rsidP="00FE629B">
      <w:pPr>
        <w:pStyle w:val="Akapitzlist"/>
        <w:numPr>
          <w:ilvl w:val="0"/>
          <w:numId w:val="43"/>
        </w:numPr>
        <w:tabs>
          <w:tab w:val="left" w:pos="540"/>
        </w:tabs>
        <w:autoSpaceDE w:val="0"/>
        <w:autoSpaceDN w:val="0"/>
        <w:adjustRightInd w:val="0"/>
        <w:spacing w:before="120" w:after="120"/>
        <w:ind w:left="993" w:hanging="426"/>
        <w:jc w:val="both"/>
        <w:rPr>
          <w:rFonts w:asciiTheme="minorHAnsi" w:hAnsiTheme="minorHAnsi"/>
          <w:b/>
          <w:color w:val="000000"/>
          <w:sz w:val="22"/>
          <w:szCs w:val="22"/>
        </w:rPr>
      </w:pPr>
      <w:r w:rsidRPr="00FE629B">
        <w:rPr>
          <w:rFonts w:asciiTheme="minorHAnsi" w:hAnsiTheme="minorHAnsi"/>
          <w:sz w:val="22"/>
          <w:szCs w:val="22"/>
        </w:rPr>
        <w:t xml:space="preserve">wykonywanie badań związanych </w:t>
      </w:r>
      <w:r w:rsidR="00FC5D9A" w:rsidRPr="00FE629B">
        <w:rPr>
          <w:rFonts w:asciiTheme="minorHAnsi" w:hAnsiTheme="minorHAnsi"/>
          <w:sz w:val="22"/>
          <w:szCs w:val="22"/>
        </w:rPr>
        <w:t>z poszukiwaniem i rozpoznawaniem złóż wód</w:t>
      </w:r>
      <w:r w:rsidR="0036230C" w:rsidRPr="00FE629B">
        <w:rPr>
          <w:rFonts w:asciiTheme="minorHAnsi" w:hAnsiTheme="minorHAnsi"/>
          <w:sz w:val="22"/>
          <w:szCs w:val="22"/>
        </w:rPr>
        <w:t xml:space="preserve"> mineralnych, leczniczych i</w:t>
      </w:r>
      <w:r w:rsidR="00FC5D9A" w:rsidRPr="00FE629B">
        <w:rPr>
          <w:rFonts w:asciiTheme="minorHAnsi" w:hAnsiTheme="minorHAnsi"/>
          <w:sz w:val="22"/>
          <w:szCs w:val="22"/>
        </w:rPr>
        <w:t xml:space="preserve"> termalnych oraz możliwościami pozyskiwania energii cieplnej suchych skał</w:t>
      </w:r>
      <w:r w:rsidR="00C26A57">
        <w:rPr>
          <w:rFonts w:asciiTheme="minorHAnsi" w:hAnsiTheme="minorHAnsi"/>
          <w:sz w:val="22"/>
          <w:szCs w:val="22"/>
        </w:rPr>
        <w:t>,</w:t>
      </w:r>
    </w:p>
    <w:p w14:paraId="7EEAF38F" w14:textId="601D66D3" w:rsidR="00013D53" w:rsidRPr="00FE629B" w:rsidRDefault="008E3B99" w:rsidP="00FE629B">
      <w:pPr>
        <w:pStyle w:val="Akapitzlist"/>
        <w:numPr>
          <w:ilvl w:val="0"/>
          <w:numId w:val="43"/>
        </w:numPr>
        <w:tabs>
          <w:tab w:val="left" w:pos="540"/>
        </w:tabs>
        <w:autoSpaceDE w:val="0"/>
        <w:autoSpaceDN w:val="0"/>
        <w:adjustRightInd w:val="0"/>
        <w:spacing w:before="120" w:after="120"/>
        <w:ind w:left="993" w:hanging="426"/>
        <w:jc w:val="both"/>
        <w:rPr>
          <w:rFonts w:asciiTheme="minorHAnsi" w:hAnsiTheme="minorHAnsi"/>
          <w:b/>
          <w:color w:val="000000"/>
          <w:sz w:val="22"/>
          <w:szCs w:val="22"/>
        </w:rPr>
      </w:pPr>
      <w:r w:rsidRPr="00FE629B">
        <w:rPr>
          <w:rFonts w:asciiTheme="minorHAnsi" w:hAnsiTheme="minorHAnsi"/>
          <w:sz w:val="22"/>
          <w:szCs w:val="22"/>
        </w:rPr>
        <w:t xml:space="preserve">wykonywanie badań związanych z </w:t>
      </w:r>
      <w:r w:rsidR="00013D53" w:rsidRPr="00FE629B">
        <w:rPr>
          <w:rFonts w:asciiTheme="minorHAnsi" w:hAnsiTheme="minorHAnsi"/>
          <w:sz w:val="22"/>
          <w:szCs w:val="22"/>
        </w:rPr>
        <w:t>rozpoznawanie</w:t>
      </w:r>
      <w:r w:rsidR="00D26A2A" w:rsidRPr="00FE629B">
        <w:rPr>
          <w:rFonts w:asciiTheme="minorHAnsi" w:hAnsiTheme="minorHAnsi"/>
          <w:sz w:val="22"/>
          <w:szCs w:val="22"/>
        </w:rPr>
        <w:t>m</w:t>
      </w:r>
      <w:r w:rsidR="00013D53" w:rsidRPr="00FE629B">
        <w:rPr>
          <w:rFonts w:asciiTheme="minorHAnsi" w:hAnsiTheme="minorHAnsi"/>
          <w:sz w:val="22"/>
          <w:szCs w:val="22"/>
        </w:rPr>
        <w:t xml:space="preserve"> złóż</w:t>
      </w:r>
      <w:r w:rsidR="00803C51" w:rsidRPr="00FE629B">
        <w:rPr>
          <w:rFonts w:asciiTheme="minorHAnsi" w:hAnsiTheme="minorHAnsi"/>
          <w:sz w:val="22"/>
          <w:szCs w:val="22"/>
        </w:rPr>
        <w:t xml:space="preserve"> kopalin i możliwości</w:t>
      </w:r>
      <w:r w:rsidRPr="00FE629B">
        <w:rPr>
          <w:rFonts w:asciiTheme="minorHAnsi" w:hAnsiTheme="minorHAnsi"/>
          <w:sz w:val="22"/>
          <w:szCs w:val="22"/>
        </w:rPr>
        <w:t>ami</w:t>
      </w:r>
      <w:r w:rsidR="00803C51" w:rsidRPr="00FE629B">
        <w:rPr>
          <w:rFonts w:asciiTheme="minorHAnsi" w:hAnsiTheme="minorHAnsi"/>
          <w:sz w:val="22"/>
          <w:szCs w:val="22"/>
        </w:rPr>
        <w:t xml:space="preserve"> ich wykorzystania</w:t>
      </w:r>
      <w:r w:rsidR="00013D53" w:rsidRPr="00FE629B">
        <w:rPr>
          <w:rFonts w:asciiTheme="minorHAnsi" w:hAnsiTheme="minorHAnsi"/>
          <w:sz w:val="22"/>
          <w:szCs w:val="22"/>
        </w:rPr>
        <w:t>.</w:t>
      </w:r>
    </w:p>
    <w:p w14:paraId="168EA4AC" w14:textId="6E82FBCF" w:rsidR="00FC5D9A" w:rsidRPr="00FE629B" w:rsidRDefault="00026BD0" w:rsidP="00013D53">
      <w:pPr>
        <w:pStyle w:val="Akapitzlist"/>
        <w:numPr>
          <w:ilvl w:val="0"/>
          <w:numId w:val="6"/>
        </w:numPr>
        <w:tabs>
          <w:tab w:val="left" w:pos="540"/>
        </w:tabs>
        <w:autoSpaceDE w:val="0"/>
        <w:autoSpaceDN w:val="0"/>
        <w:adjustRightInd w:val="0"/>
        <w:spacing w:before="120" w:after="120"/>
        <w:ind w:left="567" w:hanging="567"/>
        <w:jc w:val="both"/>
        <w:rPr>
          <w:rFonts w:asciiTheme="minorHAnsi" w:hAnsiTheme="minorHAnsi"/>
          <w:b/>
          <w:color w:val="000000"/>
          <w:sz w:val="22"/>
          <w:szCs w:val="22"/>
        </w:rPr>
      </w:pPr>
      <w:r>
        <w:rPr>
          <w:rFonts w:asciiTheme="minorHAnsi" w:hAnsiTheme="minorHAnsi"/>
          <w:sz w:val="22"/>
          <w:szCs w:val="22"/>
        </w:rPr>
        <w:t>b</w:t>
      </w:r>
      <w:r w:rsidR="00373E12">
        <w:rPr>
          <w:rFonts w:asciiTheme="minorHAnsi" w:hAnsiTheme="minorHAnsi"/>
          <w:sz w:val="22"/>
          <w:szCs w:val="22"/>
        </w:rPr>
        <w:t>adania</w:t>
      </w:r>
      <w:r w:rsidR="00630498">
        <w:rPr>
          <w:rFonts w:asciiTheme="minorHAnsi" w:hAnsiTheme="minorHAnsi"/>
          <w:sz w:val="22"/>
          <w:szCs w:val="22"/>
        </w:rPr>
        <w:t xml:space="preserve"> i</w:t>
      </w:r>
      <w:r w:rsidR="00373E12">
        <w:rPr>
          <w:rFonts w:asciiTheme="minorHAnsi" w:hAnsiTheme="minorHAnsi"/>
          <w:sz w:val="22"/>
          <w:szCs w:val="22"/>
        </w:rPr>
        <w:t xml:space="preserve"> </w:t>
      </w:r>
      <w:r w:rsidR="00013D53" w:rsidRPr="00FE629B">
        <w:rPr>
          <w:rFonts w:asciiTheme="minorHAnsi" w:hAnsiTheme="minorHAnsi"/>
          <w:sz w:val="22"/>
          <w:szCs w:val="22"/>
        </w:rPr>
        <w:t>prace geo</w:t>
      </w:r>
      <w:r w:rsidR="00373E12">
        <w:rPr>
          <w:rFonts w:asciiTheme="minorHAnsi" w:hAnsiTheme="minorHAnsi"/>
          <w:sz w:val="22"/>
          <w:szCs w:val="22"/>
        </w:rPr>
        <w:t>logiczne dla ochrony środowiska.</w:t>
      </w:r>
    </w:p>
    <w:p w14:paraId="3F5079D8" w14:textId="77777777" w:rsidR="00FC5D9A" w:rsidRPr="00FE629B" w:rsidRDefault="00FC5D9A" w:rsidP="00FC5D9A">
      <w:pPr>
        <w:pStyle w:val="Akapitzlist"/>
        <w:numPr>
          <w:ilvl w:val="0"/>
          <w:numId w:val="5"/>
        </w:numPr>
        <w:tabs>
          <w:tab w:val="left" w:pos="540"/>
        </w:tabs>
        <w:autoSpaceDE w:val="0"/>
        <w:autoSpaceDN w:val="0"/>
        <w:adjustRightInd w:val="0"/>
        <w:spacing w:before="360" w:after="12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14:paraId="0D5F38C6" w14:textId="77777777" w:rsidR="00FC5D9A" w:rsidRPr="00FE629B" w:rsidRDefault="00FC5D9A" w:rsidP="00FC5D9A">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14:paraId="1911CD96" w14:textId="77777777" w:rsidR="00FC5D9A" w:rsidRPr="00FE629B" w:rsidRDefault="00FC5D9A" w:rsidP="00FC5D9A">
      <w:pPr>
        <w:jc w:val="both"/>
        <w:rPr>
          <w:rFonts w:asciiTheme="minorHAnsi" w:hAnsiTheme="minorHAnsi"/>
          <w:color w:val="000000"/>
          <w:sz w:val="22"/>
          <w:szCs w:val="22"/>
        </w:rPr>
      </w:pPr>
    </w:p>
    <w:p w14:paraId="5B08BC2C" w14:textId="3203245E" w:rsidR="00FC5D9A" w:rsidRPr="00FE629B" w:rsidRDefault="00026BD0" w:rsidP="003E55BD">
      <w:pPr>
        <w:pStyle w:val="Akapitzlist"/>
        <w:numPr>
          <w:ilvl w:val="0"/>
          <w:numId w:val="25"/>
        </w:numPr>
        <w:ind w:left="567" w:hanging="567"/>
        <w:jc w:val="both"/>
        <w:rPr>
          <w:rFonts w:asciiTheme="minorHAnsi" w:hAnsiTheme="minorHAnsi"/>
          <w:sz w:val="22"/>
          <w:szCs w:val="22"/>
        </w:rPr>
      </w:pPr>
      <w:r>
        <w:rPr>
          <w:rFonts w:asciiTheme="minorHAnsi" w:hAnsiTheme="minorHAnsi"/>
          <w:b/>
          <w:sz w:val="22"/>
          <w:szCs w:val="22"/>
        </w:rPr>
        <w:t>l</w:t>
      </w:r>
      <w:r w:rsidR="00FC5D9A" w:rsidRPr="00FE629B">
        <w:rPr>
          <w:rFonts w:asciiTheme="minorHAnsi" w:hAnsiTheme="minorHAnsi"/>
          <w:b/>
          <w:sz w:val="22"/>
          <w:szCs w:val="22"/>
        </w:rPr>
        <w:t>iczba sporządzonych opracowań [szt.]</w:t>
      </w:r>
    </w:p>
    <w:p w14:paraId="7927C52A" w14:textId="41051F63" w:rsidR="00FC5D9A" w:rsidRPr="00FE629B" w:rsidRDefault="00FC5D9A" w:rsidP="003E55BD">
      <w:pPr>
        <w:ind w:left="567"/>
        <w:jc w:val="both"/>
        <w:rPr>
          <w:rFonts w:asciiTheme="minorHAnsi" w:hAnsiTheme="minorHAnsi"/>
          <w:sz w:val="22"/>
          <w:szCs w:val="22"/>
        </w:rPr>
      </w:pPr>
      <w:r w:rsidRPr="00FE629B">
        <w:rPr>
          <w:rFonts w:asciiTheme="minorHAnsi" w:hAnsiTheme="minorHAnsi"/>
          <w:color w:val="000000"/>
          <w:sz w:val="22"/>
          <w:szCs w:val="22"/>
        </w:rPr>
        <w:t xml:space="preserve">Planowana wartość wskaźnika osiągnięcia celu wynosi co najmniej </w:t>
      </w:r>
      <w:r w:rsidR="00D70C2E">
        <w:rPr>
          <w:rFonts w:asciiTheme="minorHAnsi" w:hAnsiTheme="minorHAnsi"/>
          <w:b/>
          <w:color w:val="000000"/>
          <w:sz w:val="22"/>
          <w:szCs w:val="22"/>
        </w:rPr>
        <w:t>5 000</w:t>
      </w:r>
      <w:r w:rsidRPr="00FE629B">
        <w:rPr>
          <w:rFonts w:asciiTheme="minorHAnsi" w:hAnsiTheme="minorHAnsi"/>
          <w:b/>
          <w:color w:val="000000"/>
          <w:sz w:val="22"/>
          <w:szCs w:val="22"/>
        </w:rPr>
        <w:t xml:space="preserve"> szt.,</w:t>
      </w:r>
      <w:r w:rsidRPr="00FE629B">
        <w:rPr>
          <w:rFonts w:asciiTheme="minorHAnsi" w:hAnsiTheme="minorHAnsi"/>
          <w:color w:val="000000"/>
          <w:sz w:val="22"/>
          <w:szCs w:val="22"/>
        </w:rPr>
        <w:t xml:space="preserve"> w tym </w:t>
      </w:r>
      <w:r w:rsidRPr="00FE629B">
        <w:rPr>
          <w:rFonts w:asciiTheme="minorHAnsi" w:hAnsiTheme="minorHAnsi"/>
          <w:sz w:val="22"/>
          <w:szCs w:val="22"/>
        </w:rPr>
        <w:t xml:space="preserve">dla bezzwrotnych form dofinansowania – co najmniej </w:t>
      </w:r>
      <w:r w:rsidR="00D70C2E">
        <w:rPr>
          <w:rFonts w:asciiTheme="minorHAnsi" w:hAnsiTheme="minorHAnsi"/>
          <w:color w:val="000000"/>
          <w:sz w:val="22"/>
          <w:szCs w:val="22"/>
        </w:rPr>
        <w:t>5 000</w:t>
      </w:r>
      <w:r w:rsidRPr="00FE629B">
        <w:rPr>
          <w:rFonts w:asciiTheme="minorHAnsi" w:hAnsiTheme="minorHAnsi"/>
          <w:color w:val="000000"/>
          <w:sz w:val="22"/>
          <w:szCs w:val="22"/>
        </w:rPr>
        <w:t xml:space="preserve"> </w:t>
      </w:r>
      <w:r w:rsidRPr="00FE629B">
        <w:rPr>
          <w:rFonts w:asciiTheme="minorHAnsi" w:hAnsiTheme="minorHAnsi"/>
          <w:sz w:val="22"/>
          <w:szCs w:val="22"/>
        </w:rPr>
        <w:t>szt.</w:t>
      </w:r>
    </w:p>
    <w:p w14:paraId="05C3CCA7" w14:textId="77777777" w:rsidR="00FC5D9A" w:rsidRPr="00FE629B" w:rsidRDefault="00FC5D9A" w:rsidP="00996A36">
      <w:pPr>
        <w:pStyle w:val="Akapitzlist"/>
        <w:ind w:left="0"/>
        <w:jc w:val="both"/>
        <w:rPr>
          <w:rFonts w:asciiTheme="minorHAnsi" w:hAnsiTheme="minorHAnsi"/>
          <w:sz w:val="22"/>
          <w:szCs w:val="22"/>
        </w:rPr>
      </w:pPr>
    </w:p>
    <w:p w14:paraId="438EE7D4" w14:textId="3D9700D7" w:rsidR="00FC5D9A" w:rsidRPr="00FE629B" w:rsidRDefault="00026BD0" w:rsidP="003E55BD">
      <w:pPr>
        <w:pStyle w:val="Akapitzlist"/>
        <w:numPr>
          <w:ilvl w:val="0"/>
          <w:numId w:val="25"/>
        </w:numPr>
        <w:ind w:left="567" w:hanging="567"/>
        <w:jc w:val="both"/>
        <w:rPr>
          <w:rFonts w:asciiTheme="minorHAnsi" w:hAnsiTheme="minorHAnsi"/>
          <w:b/>
          <w:color w:val="000000"/>
          <w:sz w:val="22"/>
          <w:szCs w:val="22"/>
        </w:rPr>
      </w:pPr>
      <w:r>
        <w:rPr>
          <w:rFonts w:asciiTheme="minorHAnsi" w:hAnsiTheme="minorHAnsi"/>
          <w:b/>
          <w:sz w:val="22"/>
          <w:szCs w:val="22"/>
        </w:rPr>
        <w:t>l</w:t>
      </w:r>
      <w:r w:rsidR="00FC5D9A" w:rsidRPr="00FE629B">
        <w:rPr>
          <w:rFonts w:asciiTheme="minorHAnsi" w:hAnsiTheme="minorHAnsi"/>
          <w:b/>
          <w:sz w:val="22"/>
          <w:szCs w:val="22"/>
        </w:rPr>
        <w:t>iczba wykonanych odwiertów/otworów wiertniczych [szt.]</w:t>
      </w:r>
    </w:p>
    <w:p w14:paraId="5C607C97" w14:textId="085E6084" w:rsidR="00FC5D9A" w:rsidRPr="00FE629B" w:rsidRDefault="00FC5D9A" w:rsidP="003E55BD">
      <w:pPr>
        <w:ind w:left="567"/>
        <w:jc w:val="both"/>
        <w:rPr>
          <w:rFonts w:asciiTheme="minorHAnsi" w:hAnsiTheme="minorHAnsi"/>
          <w:sz w:val="22"/>
          <w:szCs w:val="22"/>
        </w:rPr>
      </w:pPr>
      <w:r w:rsidRPr="00FE629B">
        <w:rPr>
          <w:rFonts w:asciiTheme="minorHAnsi" w:hAnsiTheme="minorHAnsi"/>
          <w:color w:val="000000"/>
          <w:sz w:val="22"/>
          <w:szCs w:val="22"/>
        </w:rPr>
        <w:t xml:space="preserve">Planowana wartość wskaźnika osiągnięcia celu wynosi co najmniej </w:t>
      </w:r>
      <w:r w:rsidR="00D70C2E" w:rsidRPr="00FE629B">
        <w:rPr>
          <w:rFonts w:asciiTheme="minorHAnsi" w:hAnsiTheme="minorHAnsi"/>
          <w:b/>
          <w:color w:val="000000"/>
          <w:sz w:val="22"/>
          <w:szCs w:val="22"/>
        </w:rPr>
        <w:t>2</w:t>
      </w:r>
      <w:r w:rsidR="00D70C2E">
        <w:rPr>
          <w:rFonts w:asciiTheme="minorHAnsi" w:hAnsiTheme="minorHAnsi"/>
          <w:b/>
          <w:color w:val="000000"/>
          <w:sz w:val="22"/>
          <w:szCs w:val="22"/>
        </w:rPr>
        <w:t>2</w:t>
      </w:r>
      <w:r w:rsidR="00D70C2E" w:rsidRPr="00FE629B">
        <w:rPr>
          <w:rFonts w:asciiTheme="minorHAnsi" w:hAnsiTheme="minorHAnsi"/>
          <w:b/>
          <w:color w:val="000000"/>
          <w:sz w:val="22"/>
          <w:szCs w:val="22"/>
        </w:rPr>
        <w:t xml:space="preserve"> </w:t>
      </w:r>
      <w:r w:rsidRPr="00FE629B">
        <w:rPr>
          <w:rFonts w:asciiTheme="minorHAnsi" w:hAnsiTheme="minorHAnsi"/>
          <w:b/>
          <w:color w:val="000000"/>
          <w:sz w:val="22"/>
          <w:szCs w:val="22"/>
        </w:rPr>
        <w:t>szt.</w:t>
      </w:r>
      <w:r w:rsidRPr="00FE629B">
        <w:rPr>
          <w:rFonts w:asciiTheme="minorHAnsi" w:hAnsiTheme="minorHAnsi"/>
          <w:color w:val="000000"/>
          <w:sz w:val="22"/>
          <w:szCs w:val="22"/>
        </w:rPr>
        <w:t xml:space="preserve">, w tym </w:t>
      </w:r>
      <w:r w:rsidRPr="00FE629B">
        <w:rPr>
          <w:rFonts w:asciiTheme="minorHAnsi" w:hAnsiTheme="minorHAnsi"/>
          <w:sz w:val="22"/>
          <w:szCs w:val="22"/>
        </w:rPr>
        <w:t xml:space="preserve">dla bezzwrotnych i zwrotnych form dofinansowania – co najmniej </w:t>
      </w:r>
      <w:r w:rsidR="00D70C2E" w:rsidRPr="00FE629B">
        <w:rPr>
          <w:rFonts w:asciiTheme="minorHAnsi" w:hAnsiTheme="minorHAnsi"/>
          <w:sz w:val="22"/>
          <w:szCs w:val="22"/>
        </w:rPr>
        <w:t>2</w:t>
      </w:r>
      <w:r w:rsidR="00D70C2E">
        <w:rPr>
          <w:rFonts w:asciiTheme="minorHAnsi" w:hAnsiTheme="minorHAnsi"/>
          <w:sz w:val="22"/>
          <w:szCs w:val="22"/>
        </w:rPr>
        <w:t>2</w:t>
      </w:r>
      <w:r w:rsidR="00D70C2E" w:rsidRPr="00FE629B">
        <w:rPr>
          <w:rFonts w:asciiTheme="minorHAnsi" w:hAnsiTheme="minorHAnsi"/>
          <w:sz w:val="22"/>
          <w:szCs w:val="22"/>
        </w:rPr>
        <w:t xml:space="preserve"> </w:t>
      </w:r>
      <w:r w:rsidRPr="00FE629B">
        <w:rPr>
          <w:rFonts w:asciiTheme="minorHAnsi" w:hAnsiTheme="minorHAnsi"/>
          <w:sz w:val="22"/>
          <w:szCs w:val="22"/>
        </w:rPr>
        <w:t>szt.</w:t>
      </w:r>
    </w:p>
    <w:p w14:paraId="061D422E" w14:textId="77777777" w:rsidR="00FC5D9A" w:rsidRPr="00FE629B" w:rsidRDefault="00FC5D9A" w:rsidP="003E55BD">
      <w:pPr>
        <w:ind w:left="993"/>
        <w:jc w:val="both"/>
        <w:rPr>
          <w:rFonts w:asciiTheme="minorHAnsi" w:hAnsiTheme="minorHAnsi"/>
          <w:sz w:val="22"/>
          <w:szCs w:val="22"/>
        </w:rPr>
      </w:pPr>
    </w:p>
    <w:p w14:paraId="2B8090FD" w14:textId="77777777" w:rsidR="00FC5D9A" w:rsidRPr="00FE629B" w:rsidRDefault="00FC5D9A" w:rsidP="003E55BD">
      <w:pPr>
        <w:pStyle w:val="Akapitzlist"/>
        <w:numPr>
          <w:ilvl w:val="0"/>
          <w:numId w:val="5"/>
        </w:numPr>
        <w:autoSpaceDE w:val="0"/>
        <w:autoSpaceDN w:val="0"/>
        <w:adjustRightInd w:val="0"/>
        <w:spacing w:before="120"/>
        <w:ind w:left="567" w:hanging="578"/>
        <w:contextualSpacing w:val="0"/>
        <w:rPr>
          <w:rFonts w:asciiTheme="minorHAnsi" w:hAnsiTheme="minorHAnsi"/>
          <w:b/>
          <w:color w:val="000000"/>
          <w:sz w:val="22"/>
          <w:szCs w:val="22"/>
        </w:rPr>
      </w:pPr>
      <w:r w:rsidRPr="00FE629B">
        <w:rPr>
          <w:rFonts w:asciiTheme="minorHAnsi" w:hAnsiTheme="minorHAnsi"/>
          <w:b/>
          <w:color w:val="000000"/>
          <w:sz w:val="22"/>
          <w:szCs w:val="22"/>
        </w:rPr>
        <w:t>Budżet</w:t>
      </w:r>
    </w:p>
    <w:p w14:paraId="7E470F2D" w14:textId="296FC241" w:rsidR="00FC5D9A" w:rsidRPr="00FE629B" w:rsidRDefault="00FC5D9A" w:rsidP="00FC5D9A">
      <w:pPr>
        <w:pStyle w:val="Tekstpodstawowy"/>
        <w:spacing w:before="60"/>
        <w:rPr>
          <w:rFonts w:asciiTheme="minorHAnsi" w:hAnsiTheme="minorHAnsi"/>
          <w:szCs w:val="22"/>
        </w:rPr>
      </w:pPr>
      <w:r w:rsidRPr="00FE629B">
        <w:rPr>
          <w:rFonts w:asciiTheme="minorHAnsi" w:hAnsiTheme="minorHAnsi"/>
          <w:szCs w:val="22"/>
        </w:rPr>
        <w:t xml:space="preserve">Budżet na realizację celu programu wynosi </w:t>
      </w:r>
      <w:r w:rsidRPr="00FE629B">
        <w:rPr>
          <w:rFonts w:asciiTheme="minorHAnsi" w:hAnsiTheme="minorHAnsi"/>
          <w:b/>
          <w:szCs w:val="22"/>
        </w:rPr>
        <w:t xml:space="preserve">do </w:t>
      </w:r>
      <w:r w:rsidR="00BD4C52" w:rsidRPr="00FE629B">
        <w:rPr>
          <w:rFonts w:asciiTheme="minorHAnsi" w:hAnsiTheme="minorHAnsi"/>
          <w:b/>
          <w:color w:val="000000"/>
          <w:szCs w:val="22"/>
        </w:rPr>
        <w:t>1</w:t>
      </w:r>
      <w:r w:rsidR="00D70C2E">
        <w:rPr>
          <w:rFonts w:asciiTheme="minorHAnsi" w:hAnsiTheme="minorHAnsi"/>
          <w:b/>
          <w:color w:val="000000"/>
          <w:szCs w:val="22"/>
        </w:rPr>
        <w:t> 955,0</w:t>
      </w:r>
      <w:r w:rsidRPr="00FE629B">
        <w:rPr>
          <w:rFonts w:asciiTheme="minorHAnsi" w:hAnsiTheme="minorHAnsi"/>
          <w:b/>
          <w:color w:val="000000"/>
          <w:szCs w:val="22"/>
        </w:rPr>
        <w:t xml:space="preserve"> mln</w:t>
      </w:r>
      <w:r w:rsidRPr="00FE629B">
        <w:rPr>
          <w:rFonts w:asciiTheme="minorHAnsi" w:hAnsiTheme="minorHAnsi"/>
          <w:b/>
          <w:szCs w:val="22"/>
        </w:rPr>
        <w:t xml:space="preserve"> zł</w:t>
      </w:r>
      <w:r w:rsidRPr="00FE629B">
        <w:rPr>
          <w:rFonts w:asciiTheme="minorHAnsi" w:hAnsiTheme="minorHAnsi"/>
          <w:szCs w:val="22"/>
        </w:rPr>
        <w:t>, w tym:</w:t>
      </w:r>
    </w:p>
    <w:p w14:paraId="071E2651" w14:textId="3F7BEDF0" w:rsidR="00FC5D9A" w:rsidRPr="00FE629B" w:rsidRDefault="00FC5D9A" w:rsidP="003E55BD">
      <w:pPr>
        <w:pStyle w:val="Akapitzlist"/>
        <w:numPr>
          <w:ilvl w:val="0"/>
          <w:numId w:val="4"/>
        </w:numPr>
        <w:spacing w:before="60"/>
        <w:ind w:left="567" w:hanging="567"/>
        <w:rPr>
          <w:rFonts w:asciiTheme="minorHAnsi" w:hAnsiTheme="minorHAnsi"/>
          <w:sz w:val="22"/>
          <w:szCs w:val="22"/>
        </w:rPr>
      </w:pPr>
      <w:r w:rsidRPr="00FE629B">
        <w:rPr>
          <w:rFonts w:asciiTheme="minorHAnsi" w:hAnsiTheme="minorHAnsi"/>
          <w:sz w:val="22"/>
          <w:szCs w:val="22"/>
        </w:rPr>
        <w:t xml:space="preserve">dla bezzwrotnych form dofinansowania – do </w:t>
      </w:r>
      <w:r w:rsidR="00D70C2E">
        <w:rPr>
          <w:rFonts w:asciiTheme="minorHAnsi" w:hAnsiTheme="minorHAnsi"/>
          <w:sz w:val="22"/>
          <w:szCs w:val="22"/>
        </w:rPr>
        <w:t>1 905,0</w:t>
      </w:r>
      <w:r w:rsidRPr="00FE629B">
        <w:rPr>
          <w:rFonts w:asciiTheme="minorHAnsi" w:hAnsiTheme="minorHAnsi"/>
          <w:sz w:val="22"/>
          <w:szCs w:val="22"/>
        </w:rPr>
        <w:t xml:space="preserve"> mln zł, w tym:</w:t>
      </w:r>
    </w:p>
    <w:p w14:paraId="0340C6D5" w14:textId="3BB2FEC5" w:rsidR="00FC5D9A" w:rsidRPr="00FE629B" w:rsidRDefault="00FC5D9A" w:rsidP="003E55BD">
      <w:pPr>
        <w:pStyle w:val="Akapitzlist"/>
        <w:numPr>
          <w:ilvl w:val="0"/>
          <w:numId w:val="4"/>
        </w:numPr>
        <w:spacing w:before="60"/>
        <w:ind w:left="567" w:hanging="567"/>
        <w:contextualSpacing w:val="0"/>
        <w:rPr>
          <w:rFonts w:asciiTheme="minorHAnsi" w:hAnsiTheme="minorHAnsi"/>
          <w:sz w:val="22"/>
          <w:szCs w:val="22"/>
        </w:rPr>
      </w:pPr>
      <w:r w:rsidRPr="00FE629B">
        <w:rPr>
          <w:rFonts w:asciiTheme="minorHAnsi" w:hAnsiTheme="minorHAnsi"/>
          <w:sz w:val="22"/>
          <w:szCs w:val="22"/>
        </w:rPr>
        <w:t xml:space="preserve">dla zwrotnych form dofinansowania – do </w:t>
      </w:r>
      <w:r w:rsidR="00BD4C52" w:rsidRPr="00FE629B">
        <w:rPr>
          <w:rFonts w:asciiTheme="minorHAnsi" w:hAnsiTheme="minorHAnsi"/>
          <w:sz w:val="22"/>
          <w:szCs w:val="22"/>
        </w:rPr>
        <w:t xml:space="preserve">50,0 </w:t>
      </w:r>
      <w:r w:rsidRPr="00FE629B">
        <w:rPr>
          <w:rFonts w:asciiTheme="minorHAnsi" w:hAnsiTheme="minorHAnsi"/>
          <w:sz w:val="22"/>
          <w:szCs w:val="22"/>
        </w:rPr>
        <w:t>mln zł, w tym:</w:t>
      </w:r>
    </w:p>
    <w:p w14:paraId="75465C32" w14:textId="77777777" w:rsidR="00FC5D9A" w:rsidRPr="00FE629B" w:rsidRDefault="00FC5D9A" w:rsidP="00FC5D9A">
      <w:pPr>
        <w:pStyle w:val="Akapitzlist"/>
        <w:numPr>
          <w:ilvl w:val="0"/>
          <w:numId w:val="5"/>
        </w:numPr>
        <w:tabs>
          <w:tab w:val="left" w:pos="540"/>
        </w:tabs>
        <w:autoSpaceDE w:val="0"/>
        <w:autoSpaceDN w:val="0"/>
        <w:adjustRightInd w:val="0"/>
        <w:spacing w:before="36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14:paraId="274BDAC8" w14:textId="383FFBA5" w:rsidR="00FC5D9A" w:rsidRPr="00FE629B" w:rsidRDefault="00FC5D9A" w:rsidP="00FC5D9A">
      <w:pPr>
        <w:tabs>
          <w:tab w:val="left" w:pos="567"/>
        </w:tabs>
        <w:spacing w:before="120"/>
        <w:rPr>
          <w:rFonts w:asciiTheme="minorHAnsi" w:hAnsiTheme="minorHAnsi" w:cstheme="minorHAnsi"/>
          <w:sz w:val="22"/>
          <w:szCs w:val="22"/>
        </w:rPr>
      </w:pPr>
      <w:bookmarkStart w:id="0" w:name="_Toc248543234"/>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013D53" w:rsidRPr="00373E12">
        <w:rPr>
          <w:rFonts w:asciiTheme="minorHAnsi" w:hAnsiTheme="minorHAnsi" w:cstheme="minorHAnsi"/>
          <w:b/>
          <w:sz w:val="22"/>
          <w:szCs w:val="22"/>
        </w:rPr>
        <w:t>1</w:t>
      </w:r>
      <w:r w:rsidR="00373E12">
        <w:rPr>
          <w:rFonts w:asciiTheme="minorHAnsi" w:hAnsiTheme="minorHAnsi" w:cstheme="minorHAnsi"/>
          <w:b/>
          <w:sz w:val="22"/>
          <w:szCs w:val="22"/>
        </w:rPr>
        <w:t>9</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373E12">
        <w:rPr>
          <w:rFonts w:asciiTheme="minorHAnsi" w:hAnsiTheme="minorHAnsi" w:cstheme="minorHAnsi"/>
          <w:b/>
          <w:sz w:val="22"/>
          <w:szCs w:val="22"/>
        </w:rPr>
        <w:t>2026</w:t>
      </w:r>
      <w:r w:rsidRPr="00FE629B">
        <w:rPr>
          <w:rFonts w:asciiTheme="minorHAnsi" w:hAnsiTheme="minorHAnsi" w:cstheme="minorHAnsi"/>
          <w:sz w:val="22"/>
          <w:szCs w:val="22"/>
        </w:rPr>
        <w:t>, przy czym:</w:t>
      </w:r>
    </w:p>
    <w:bookmarkEnd w:id="0"/>
    <w:p w14:paraId="241504CC" w14:textId="4085FBA5" w:rsidR="00FC5D9A" w:rsidRPr="00026BD0" w:rsidRDefault="00FC5D9A" w:rsidP="00530BC9">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podpisywanie umów) podejmowane </w:t>
      </w:r>
      <w:r w:rsidRPr="00026BD0">
        <w:rPr>
          <w:rFonts w:asciiTheme="minorHAnsi" w:hAnsiTheme="minorHAnsi" w:cstheme="minorHAnsi"/>
          <w:sz w:val="22"/>
          <w:szCs w:val="22"/>
        </w:rPr>
        <w:t xml:space="preserve">będą do </w:t>
      </w:r>
      <w:r w:rsidR="0036230C" w:rsidRPr="00996A36">
        <w:rPr>
          <w:rFonts w:asciiTheme="minorHAnsi" w:hAnsiTheme="minorHAnsi" w:cstheme="minorHAnsi"/>
          <w:b/>
          <w:sz w:val="22"/>
          <w:szCs w:val="22"/>
        </w:rPr>
        <w:t>202</w:t>
      </w:r>
      <w:r w:rsidR="00373E12" w:rsidRPr="00996A36">
        <w:rPr>
          <w:rFonts w:asciiTheme="minorHAnsi" w:hAnsiTheme="minorHAnsi" w:cstheme="minorHAnsi"/>
          <w:b/>
          <w:sz w:val="22"/>
          <w:szCs w:val="22"/>
        </w:rPr>
        <w:t>3</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14:paraId="5565CD4A" w14:textId="7BD794A8" w:rsidR="00FC5D9A" w:rsidRPr="00026BD0" w:rsidRDefault="00FC5D9A" w:rsidP="00FC5D9A">
      <w:pPr>
        <w:pStyle w:val="Akapitzlist"/>
        <w:numPr>
          <w:ilvl w:val="0"/>
          <w:numId w:val="8"/>
        </w:numPr>
        <w:tabs>
          <w:tab w:val="left" w:pos="567"/>
        </w:tabs>
        <w:ind w:left="567" w:hanging="567"/>
        <w:rPr>
          <w:rFonts w:asciiTheme="minorHAnsi" w:hAnsiTheme="minorHAnsi" w:cstheme="minorHAnsi"/>
          <w:sz w:val="22"/>
          <w:szCs w:val="22"/>
        </w:rPr>
      </w:pPr>
      <w:bookmarkStart w:id="1" w:name="_Toc248543235"/>
      <w:r w:rsidRPr="00026BD0">
        <w:rPr>
          <w:rFonts w:asciiTheme="minorHAnsi" w:hAnsiTheme="minorHAnsi" w:cstheme="minorHAnsi"/>
          <w:sz w:val="22"/>
          <w:szCs w:val="22"/>
        </w:rPr>
        <w:t xml:space="preserve">środki wydatkowane będą do </w:t>
      </w:r>
      <w:r w:rsidR="0036230C" w:rsidRPr="00996A36">
        <w:rPr>
          <w:rFonts w:asciiTheme="minorHAnsi" w:hAnsiTheme="minorHAnsi" w:cstheme="minorHAnsi"/>
          <w:b/>
          <w:sz w:val="22"/>
          <w:szCs w:val="22"/>
        </w:rPr>
        <w:t>20</w:t>
      </w:r>
      <w:r w:rsidR="00373E12" w:rsidRPr="00996A36">
        <w:rPr>
          <w:rFonts w:asciiTheme="minorHAnsi" w:hAnsiTheme="minorHAnsi" w:cstheme="minorHAnsi"/>
          <w:b/>
          <w:sz w:val="22"/>
          <w:szCs w:val="22"/>
        </w:rPr>
        <w:t>26</w:t>
      </w:r>
      <w:r w:rsidR="0036230C"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1"/>
    </w:p>
    <w:p w14:paraId="3D817F27" w14:textId="74420BC8" w:rsidR="00FC5D9A" w:rsidRDefault="00FC5D9A" w:rsidP="00FC5D9A">
      <w:pPr>
        <w:pStyle w:val="Akapitzlist"/>
        <w:tabs>
          <w:tab w:val="left" w:pos="567"/>
        </w:tabs>
        <w:ind w:left="0"/>
        <w:rPr>
          <w:rFonts w:asciiTheme="minorHAnsi" w:hAnsiTheme="minorHAnsi" w:cstheme="minorHAnsi"/>
          <w:sz w:val="22"/>
          <w:szCs w:val="22"/>
        </w:rPr>
      </w:pPr>
    </w:p>
    <w:p w14:paraId="24CAE13B" w14:textId="77777777" w:rsidR="00996A36" w:rsidRPr="00FE629B" w:rsidRDefault="00996A36" w:rsidP="00FC5D9A">
      <w:pPr>
        <w:pStyle w:val="Akapitzlist"/>
        <w:tabs>
          <w:tab w:val="left" w:pos="567"/>
        </w:tabs>
        <w:ind w:left="0"/>
        <w:rPr>
          <w:rFonts w:asciiTheme="minorHAnsi" w:hAnsiTheme="minorHAnsi" w:cstheme="minorHAnsi"/>
          <w:sz w:val="22"/>
          <w:szCs w:val="22"/>
        </w:rPr>
      </w:pPr>
    </w:p>
    <w:p w14:paraId="2BF7CAE5" w14:textId="77777777" w:rsidR="00FC5D9A" w:rsidRPr="00FE629B" w:rsidRDefault="00FC5D9A" w:rsidP="00FC5D9A">
      <w:pPr>
        <w:pStyle w:val="Akapitzlist"/>
        <w:numPr>
          <w:ilvl w:val="0"/>
          <w:numId w:val="5"/>
        </w:numPr>
        <w:tabs>
          <w:tab w:val="left" w:pos="540"/>
        </w:tabs>
        <w:autoSpaceDE w:val="0"/>
        <w:autoSpaceDN w:val="0"/>
        <w:adjustRightInd w:val="0"/>
        <w:spacing w:before="12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lastRenderedPageBreak/>
        <w:t>Terminy i sposób składania wniosków</w:t>
      </w:r>
    </w:p>
    <w:p w14:paraId="5C2F70DB" w14:textId="77777777" w:rsidR="00FC5D9A" w:rsidRPr="00FE629B" w:rsidRDefault="00FC5D9A" w:rsidP="00FC5D9A">
      <w:pPr>
        <w:autoSpaceDE w:val="0"/>
        <w:autoSpaceDN w:val="0"/>
        <w:adjustRightInd w:val="0"/>
        <w:spacing w:before="120"/>
        <w:jc w:val="both"/>
        <w:rPr>
          <w:rFonts w:asciiTheme="minorHAnsi" w:hAnsiTheme="minorHAnsi" w:cstheme="minorHAnsi"/>
          <w:sz w:val="22"/>
          <w:szCs w:val="22"/>
        </w:rPr>
      </w:pPr>
      <w:r w:rsidRPr="00FE629B">
        <w:rPr>
          <w:rFonts w:asciiTheme="minorHAnsi" w:hAnsiTheme="minorHAnsi" w:cstheme="minorHAnsi"/>
          <w:sz w:val="22"/>
          <w:szCs w:val="22"/>
        </w:rPr>
        <w:t xml:space="preserve">Nabór wniosków odbywa się w trybie </w:t>
      </w:r>
      <w:r w:rsidRPr="00FE629B">
        <w:rPr>
          <w:rFonts w:asciiTheme="minorHAnsi" w:hAnsiTheme="minorHAnsi" w:cstheme="minorHAnsi"/>
          <w:b/>
          <w:sz w:val="22"/>
          <w:szCs w:val="22"/>
        </w:rPr>
        <w:t>ciągłym</w:t>
      </w:r>
      <w:r w:rsidRPr="00FE629B">
        <w:rPr>
          <w:rFonts w:asciiTheme="minorHAnsi" w:hAnsiTheme="minorHAnsi" w:cstheme="minorHAnsi"/>
          <w:sz w:val="22"/>
          <w:szCs w:val="22"/>
        </w:rPr>
        <w:t>.</w:t>
      </w:r>
    </w:p>
    <w:p w14:paraId="23096E35" w14:textId="77777777" w:rsidR="00FC5D9A" w:rsidRPr="00FE629B" w:rsidRDefault="00FC5D9A" w:rsidP="00FC5D9A">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ogłoszeniu o naborze lub w regulaminie naboru, które zamieszczane będą na stronie internetowej NFOŚiGW.</w:t>
      </w:r>
    </w:p>
    <w:p w14:paraId="3BD5A944" w14:textId="77777777" w:rsidR="00FC5D9A" w:rsidRPr="00FE629B" w:rsidRDefault="00FC5D9A" w:rsidP="00FC5D9A">
      <w:pPr>
        <w:autoSpaceDE w:val="0"/>
        <w:autoSpaceDN w:val="0"/>
        <w:adjustRightInd w:val="0"/>
        <w:jc w:val="both"/>
        <w:rPr>
          <w:rFonts w:asciiTheme="minorHAnsi" w:hAnsiTheme="minorHAnsi" w:cstheme="minorHAnsi"/>
          <w:sz w:val="22"/>
          <w:szCs w:val="22"/>
        </w:rPr>
      </w:pPr>
    </w:p>
    <w:p w14:paraId="0ECB7085" w14:textId="77777777"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Koszty kwalifikowane </w:t>
      </w:r>
    </w:p>
    <w:p w14:paraId="2DA8577D" w14:textId="6E9236E2" w:rsidR="00FC5D9A" w:rsidRPr="00FE629B" w:rsidRDefault="00026BD0" w:rsidP="00FC5D9A">
      <w:pPr>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o</w:t>
      </w:r>
      <w:r w:rsidRPr="00FE629B">
        <w:rPr>
          <w:rFonts w:asciiTheme="minorHAnsi" w:hAnsiTheme="minorHAnsi" w:cstheme="minorHAnsi"/>
          <w:sz w:val="22"/>
          <w:szCs w:val="22"/>
        </w:rPr>
        <w:t xml:space="preserve">kres </w:t>
      </w:r>
      <w:r w:rsidR="00FC5D9A" w:rsidRPr="00FE629B">
        <w:rPr>
          <w:rFonts w:asciiTheme="minorHAnsi" w:hAnsiTheme="minorHAnsi" w:cstheme="minorHAnsi"/>
          <w:sz w:val="22"/>
          <w:szCs w:val="22"/>
        </w:rPr>
        <w:t xml:space="preserve">kwalifikowalności kosztów </w:t>
      </w:r>
      <w:r w:rsidR="00FC5D9A" w:rsidRPr="00FE629B">
        <w:rPr>
          <w:rFonts w:asciiTheme="minorHAnsi" w:hAnsiTheme="minorHAnsi" w:cstheme="minorHAnsi"/>
          <w:b/>
          <w:sz w:val="22"/>
          <w:szCs w:val="22"/>
        </w:rPr>
        <w:t>od 01.01.</w:t>
      </w:r>
      <w:r w:rsidR="009756B8" w:rsidRPr="00FE629B">
        <w:rPr>
          <w:rFonts w:asciiTheme="minorHAnsi" w:hAnsiTheme="minorHAnsi" w:cstheme="minorHAnsi"/>
          <w:b/>
          <w:sz w:val="22"/>
          <w:szCs w:val="22"/>
        </w:rPr>
        <w:t>20</w:t>
      </w:r>
      <w:r w:rsidR="00013D53" w:rsidRPr="00FE629B">
        <w:rPr>
          <w:rFonts w:asciiTheme="minorHAnsi" w:hAnsiTheme="minorHAnsi" w:cstheme="minorHAnsi"/>
          <w:b/>
          <w:sz w:val="22"/>
          <w:szCs w:val="22"/>
        </w:rPr>
        <w:t>1</w:t>
      </w:r>
      <w:r w:rsidR="00373E12">
        <w:rPr>
          <w:rFonts w:asciiTheme="minorHAnsi" w:hAnsiTheme="minorHAnsi" w:cstheme="minorHAnsi"/>
          <w:b/>
          <w:sz w:val="22"/>
          <w:szCs w:val="22"/>
        </w:rPr>
        <w:t>5</w:t>
      </w:r>
      <w:r w:rsidR="009756B8" w:rsidRPr="00FE629B">
        <w:rPr>
          <w:rFonts w:asciiTheme="minorHAnsi" w:hAnsiTheme="minorHAnsi" w:cstheme="minorHAnsi"/>
          <w:b/>
          <w:sz w:val="22"/>
          <w:szCs w:val="22"/>
        </w:rPr>
        <w:t xml:space="preserve"> </w:t>
      </w:r>
      <w:r w:rsidR="00FC5D9A" w:rsidRPr="00FE629B">
        <w:rPr>
          <w:rFonts w:asciiTheme="minorHAnsi" w:hAnsiTheme="minorHAnsi" w:cstheme="minorHAnsi"/>
          <w:b/>
          <w:sz w:val="22"/>
          <w:szCs w:val="22"/>
        </w:rPr>
        <w:t>r. do 31.12.</w:t>
      </w:r>
      <w:r w:rsidR="009756B8" w:rsidRPr="00FE629B">
        <w:rPr>
          <w:rFonts w:asciiTheme="minorHAnsi" w:hAnsiTheme="minorHAnsi" w:cstheme="minorHAnsi"/>
          <w:b/>
          <w:sz w:val="22"/>
          <w:szCs w:val="22"/>
        </w:rPr>
        <w:t>20</w:t>
      </w:r>
      <w:r w:rsidR="00373E12">
        <w:rPr>
          <w:rFonts w:asciiTheme="minorHAnsi" w:hAnsiTheme="minorHAnsi" w:cstheme="minorHAnsi"/>
          <w:b/>
          <w:sz w:val="22"/>
          <w:szCs w:val="22"/>
        </w:rPr>
        <w:t>26</w:t>
      </w:r>
      <w:r w:rsidR="009756B8" w:rsidRPr="00FE629B">
        <w:rPr>
          <w:rFonts w:asciiTheme="minorHAnsi" w:hAnsiTheme="minorHAnsi" w:cstheme="minorHAnsi"/>
          <w:b/>
          <w:sz w:val="22"/>
          <w:szCs w:val="22"/>
        </w:rPr>
        <w:t xml:space="preserve"> </w:t>
      </w:r>
      <w:r w:rsidR="00FC5D9A" w:rsidRPr="00FE629B">
        <w:rPr>
          <w:rFonts w:asciiTheme="minorHAnsi" w:hAnsiTheme="minorHAnsi" w:cstheme="minorHAnsi"/>
          <w:b/>
          <w:sz w:val="22"/>
          <w:szCs w:val="22"/>
        </w:rPr>
        <w:t>r.</w:t>
      </w:r>
      <w:r w:rsidR="00FC5D9A" w:rsidRPr="00FE629B">
        <w:rPr>
          <w:rFonts w:asciiTheme="minorHAnsi" w:hAnsiTheme="minorHAnsi" w:cstheme="minorHAnsi"/>
          <w:sz w:val="22"/>
          <w:szCs w:val="22"/>
        </w:rPr>
        <w:t>, w którym to</w:t>
      </w:r>
      <w:r w:rsidR="00B94DF1" w:rsidRPr="00FE629B">
        <w:rPr>
          <w:rFonts w:asciiTheme="minorHAnsi" w:hAnsiTheme="minorHAnsi" w:cstheme="minorHAnsi"/>
          <w:sz w:val="22"/>
          <w:szCs w:val="22"/>
        </w:rPr>
        <w:t> </w:t>
      </w:r>
      <w:r w:rsidR="00FC5D9A" w:rsidRPr="00FE629B">
        <w:rPr>
          <w:rFonts w:asciiTheme="minorHAnsi" w:hAnsiTheme="minorHAnsi" w:cstheme="minorHAnsi"/>
          <w:sz w:val="22"/>
          <w:szCs w:val="22"/>
        </w:rPr>
        <w:t>poniesione koszty mogą być uznane za kwalifikowane</w:t>
      </w:r>
      <w:r w:rsidR="00C26A57">
        <w:rPr>
          <w:rFonts w:asciiTheme="minorHAnsi" w:hAnsiTheme="minorHAnsi" w:cstheme="minorHAnsi"/>
          <w:sz w:val="22"/>
          <w:szCs w:val="22"/>
        </w:rPr>
        <w:t>.</w:t>
      </w:r>
    </w:p>
    <w:p w14:paraId="2E312097" w14:textId="7A506752" w:rsidR="00FC5D9A" w:rsidRPr="00FE629B" w:rsidRDefault="00026BD0" w:rsidP="003A1B62">
      <w:pPr>
        <w:numPr>
          <w:ilvl w:val="0"/>
          <w:numId w:val="2"/>
        </w:numPr>
        <w:autoSpaceDE w:val="0"/>
        <w:autoSpaceDN w:val="0"/>
        <w:adjustRightInd w:val="0"/>
        <w:ind w:left="567" w:hanging="567"/>
        <w:jc w:val="both"/>
        <w:rPr>
          <w:rFonts w:asciiTheme="minorHAnsi" w:hAnsiTheme="minorHAnsi" w:cstheme="minorHAnsi"/>
          <w:b/>
          <w:sz w:val="22"/>
          <w:szCs w:val="22"/>
        </w:rPr>
      </w:pPr>
      <w:r>
        <w:rPr>
          <w:rFonts w:asciiTheme="minorHAnsi" w:hAnsiTheme="minorHAnsi" w:cstheme="minorHAnsi"/>
          <w:sz w:val="22"/>
          <w:szCs w:val="22"/>
        </w:rPr>
        <w:t>k</w:t>
      </w:r>
      <w:r w:rsidRPr="00FE629B">
        <w:rPr>
          <w:rFonts w:asciiTheme="minorHAnsi" w:hAnsiTheme="minorHAnsi" w:cstheme="minorHAnsi"/>
          <w:sz w:val="22"/>
          <w:szCs w:val="22"/>
        </w:rPr>
        <w:t xml:space="preserve">oszty </w:t>
      </w:r>
      <w:r w:rsidR="00FC5D9A" w:rsidRPr="00FE629B">
        <w:rPr>
          <w:rFonts w:asciiTheme="minorHAnsi" w:hAnsiTheme="minorHAnsi" w:cstheme="minorHAnsi"/>
          <w:sz w:val="22"/>
          <w:szCs w:val="22"/>
        </w:rPr>
        <w:t xml:space="preserve">kwalifikowane – zgodnie z „Wytycznymi w zakresie kosztów kwalifikowanych finansowanych ze środków NFOŚiGW”, z zastrzeżeniem, że w przypadku zadań państwowej służby geologicznej </w:t>
      </w:r>
      <w:r w:rsidR="00803C51" w:rsidRPr="00FE629B">
        <w:rPr>
          <w:rFonts w:asciiTheme="minorHAnsi" w:hAnsiTheme="minorHAnsi" w:cstheme="minorHAnsi"/>
          <w:sz w:val="22"/>
          <w:szCs w:val="22"/>
        </w:rPr>
        <w:t>i Krajowego Administratora Podziemnych Składowisk</w:t>
      </w:r>
      <w:r w:rsidR="00803C51" w:rsidRPr="00FE629B" w:rsidDel="00803C51">
        <w:rPr>
          <w:rFonts w:asciiTheme="minorHAnsi" w:hAnsiTheme="minorHAnsi" w:cstheme="minorHAnsi"/>
          <w:sz w:val="22"/>
          <w:szCs w:val="22"/>
        </w:rPr>
        <w:t xml:space="preserve"> </w:t>
      </w:r>
      <w:r w:rsidR="00803C51" w:rsidRPr="00FE629B">
        <w:rPr>
          <w:rFonts w:asciiTheme="minorHAnsi" w:hAnsiTheme="minorHAnsi" w:cstheme="minorHAnsi"/>
          <w:sz w:val="22"/>
          <w:szCs w:val="22"/>
        </w:rPr>
        <w:t>(</w:t>
      </w:r>
      <w:r w:rsidR="00282704" w:rsidRPr="00FE629B">
        <w:rPr>
          <w:rFonts w:asciiTheme="minorHAnsi" w:hAnsiTheme="minorHAnsi" w:cstheme="minorHAnsi"/>
          <w:sz w:val="22"/>
          <w:szCs w:val="22"/>
        </w:rPr>
        <w:t>KAPS</w:t>
      </w:r>
      <w:r w:rsidR="00803C51" w:rsidRPr="00FE629B">
        <w:rPr>
          <w:rFonts w:asciiTheme="minorHAnsi" w:hAnsiTheme="minorHAnsi" w:cstheme="minorHAnsi"/>
          <w:sz w:val="22"/>
          <w:szCs w:val="22"/>
        </w:rPr>
        <w:t>)</w:t>
      </w:r>
      <w:r w:rsidR="00FC5D9A" w:rsidRPr="00FE629B">
        <w:rPr>
          <w:rFonts w:asciiTheme="minorHAnsi" w:hAnsiTheme="minorHAnsi" w:cstheme="minorHAnsi"/>
          <w:sz w:val="22"/>
          <w:szCs w:val="22"/>
        </w:rPr>
        <w:t xml:space="preserve"> </w:t>
      </w:r>
      <w:r w:rsidR="003A1B62">
        <w:rPr>
          <w:rFonts w:asciiTheme="minorHAnsi" w:hAnsiTheme="minorHAnsi" w:cstheme="minorHAnsi"/>
          <w:sz w:val="22"/>
          <w:szCs w:val="22"/>
        </w:rPr>
        <w:t xml:space="preserve">do kosztów kwalifikowanych zalicza się </w:t>
      </w:r>
      <w:r w:rsidR="00FC5D9A" w:rsidRPr="00FE629B">
        <w:rPr>
          <w:rFonts w:asciiTheme="minorHAnsi" w:hAnsiTheme="minorHAnsi" w:cstheme="minorHAnsi"/>
          <w:sz w:val="22"/>
          <w:szCs w:val="22"/>
        </w:rPr>
        <w:t xml:space="preserve">koszty pośrednie </w:t>
      </w:r>
      <w:r w:rsidR="00FC5D9A" w:rsidRPr="00FE629B">
        <w:rPr>
          <w:rFonts w:asciiTheme="minorHAnsi" w:hAnsiTheme="minorHAnsi" w:cstheme="minorHAnsi"/>
          <w:spacing w:val="-8"/>
          <w:sz w:val="22"/>
          <w:szCs w:val="22"/>
        </w:rPr>
        <w:t>w wysokości do 30% od wynagrodzeń osobowych</w:t>
      </w:r>
      <w:r w:rsidR="00FC5D9A" w:rsidRPr="00FE629B">
        <w:rPr>
          <w:rFonts w:asciiTheme="minorHAnsi" w:hAnsiTheme="minorHAnsi" w:cstheme="minorHAnsi"/>
          <w:sz w:val="22"/>
          <w:szCs w:val="22"/>
        </w:rPr>
        <w:t>, w</w:t>
      </w:r>
      <w:r w:rsidR="003A1B62">
        <w:rPr>
          <w:rFonts w:asciiTheme="minorHAnsi" w:hAnsiTheme="minorHAnsi" w:cstheme="minorHAnsi"/>
          <w:sz w:val="22"/>
          <w:szCs w:val="22"/>
        </w:rPr>
        <w:t> </w:t>
      </w:r>
      <w:r w:rsidR="00FC5D9A" w:rsidRPr="00FE629B">
        <w:rPr>
          <w:rFonts w:asciiTheme="minorHAnsi" w:hAnsiTheme="minorHAnsi" w:cstheme="minorHAnsi"/>
          <w:sz w:val="22"/>
          <w:szCs w:val="22"/>
        </w:rPr>
        <w:t xml:space="preserve">zakresie określonym w </w:t>
      </w:r>
      <w:r w:rsidR="00FC5D9A" w:rsidRPr="00FE629B">
        <w:rPr>
          <w:rFonts w:asciiTheme="minorHAnsi" w:hAnsiTheme="minorHAnsi" w:cstheme="minorHAnsi"/>
          <w:spacing w:val="-8"/>
          <w:sz w:val="22"/>
          <w:szCs w:val="22"/>
        </w:rPr>
        <w:t>Katalogu rodzajów kosztów pośrednich możliwych do sfinansowania ze środków NFOŚiGW</w:t>
      </w:r>
      <w:r w:rsidR="008E3B99" w:rsidRPr="00FE629B">
        <w:rPr>
          <w:rFonts w:asciiTheme="minorHAnsi" w:hAnsiTheme="minorHAnsi" w:cstheme="minorHAnsi"/>
          <w:spacing w:val="-8"/>
          <w:sz w:val="22"/>
          <w:szCs w:val="22"/>
        </w:rPr>
        <w:t>.</w:t>
      </w:r>
    </w:p>
    <w:p w14:paraId="2DBC13F4" w14:textId="7998B24A" w:rsidR="00FC5D9A" w:rsidRPr="00FE629B" w:rsidRDefault="00026BD0" w:rsidP="003A1B62">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s</w:t>
      </w:r>
      <w:r w:rsidRPr="00FE629B">
        <w:rPr>
          <w:rFonts w:asciiTheme="minorHAnsi" w:hAnsiTheme="minorHAnsi" w:cstheme="minorHAnsi"/>
          <w:sz w:val="22"/>
          <w:szCs w:val="22"/>
        </w:rPr>
        <w:t xml:space="preserve">zczegółowy </w:t>
      </w:r>
      <w:r w:rsidR="00FC5D9A" w:rsidRPr="00FE629B">
        <w:rPr>
          <w:rFonts w:asciiTheme="minorHAnsi" w:hAnsiTheme="minorHAnsi" w:cstheme="minorHAnsi"/>
          <w:sz w:val="22"/>
          <w:szCs w:val="22"/>
        </w:rPr>
        <w:t>katalog kosztów kwalifikowanych stanowi załącznik do niniejsz</w:t>
      </w:r>
      <w:r w:rsidR="00803C51" w:rsidRPr="00FE629B">
        <w:rPr>
          <w:rFonts w:asciiTheme="minorHAnsi" w:hAnsiTheme="minorHAnsi" w:cstheme="minorHAnsi"/>
          <w:sz w:val="22"/>
          <w:szCs w:val="22"/>
        </w:rPr>
        <w:t>ego programu</w:t>
      </w:r>
    </w:p>
    <w:p w14:paraId="23563BFA" w14:textId="71FCCAAC" w:rsidR="00FC5D9A" w:rsidRPr="00FE629B" w:rsidRDefault="00026BD0" w:rsidP="003A1B62">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Pr="00FE629B">
        <w:rPr>
          <w:rFonts w:asciiTheme="minorHAnsi" w:hAnsiTheme="minorHAnsi" w:cstheme="minorHAnsi"/>
          <w:sz w:val="22"/>
          <w:szCs w:val="22"/>
        </w:rPr>
        <w:t xml:space="preserve">atalog </w:t>
      </w:r>
      <w:r w:rsidR="00FC5D9A" w:rsidRPr="00FE629B">
        <w:rPr>
          <w:rFonts w:asciiTheme="minorHAnsi" w:hAnsiTheme="minorHAnsi" w:cstheme="minorHAnsi"/>
          <w:sz w:val="22"/>
          <w:szCs w:val="22"/>
        </w:rPr>
        <w:t xml:space="preserve">kosztów jednostkowych dla rodzajów przedsięwzięć określonych w ust. 7.5 pkt </w:t>
      </w:r>
      <w:proofErr w:type="spellStart"/>
      <w:r w:rsidR="00FC5D9A" w:rsidRPr="00FE629B">
        <w:rPr>
          <w:rFonts w:asciiTheme="minorHAnsi" w:hAnsiTheme="minorHAnsi" w:cstheme="minorHAnsi"/>
          <w:sz w:val="22"/>
          <w:szCs w:val="22"/>
        </w:rPr>
        <w:t>pkt</w:t>
      </w:r>
      <w:proofErr w:type="spellEnd"/>
      <w:r w:rsidR="00FC5D9A" w:rsidRPr="00FE629B">
        <w:rPr>
          <w:rFonts w:asciiTheme="minorHAnsi" w:hAnsiTheme="minorHAnsi" w:cstheme="minorHAnsi"/>
          <w:sz w:val="22"/>
          <w:szCs w:val="22"/>
        </w:rPr>
        <w:t xml:space="preserve"> 2 stanowi załącznik do </w:t>
      </w:r>
      <w:r w:rsidR="00803C51" w:rsidRPr="00FE629B">
        <w:rPr>
          <w:rFonts w:asciiTheme="minorHAnsi" w:hAnsiTheme="minorHAnsi" w:cstheme="minorHAnsi"/>
          <w:sz w:val="22"/>
          <w:szCs w:val="22"/>
        </w:rPr>
        <w:t xml:space="preserve">niniejszego </w:t>
      </w:r>
      <w:r w:rsidR="00FC5D9A" w:rsidRPr="00FE629B">
        <w:rPr>
          <w:rFonts w:asciiTheme="minorHAnsi" w:hAnsiTheme="minorHAnsi" w:cstheme="minorHAnsi"/>
          <w:sz w:val="22"/>
          <w:szCs w:val="22"/>
        </w:rPr>
        <w:t>programu.</w:t>
      </w:r>
    </w:p>
    <w:p w14:paraId="3E47B279" w14:textId="09F82A30" w:rsidR="00FC5D9A" w:rsidRPr="00FE629B" w:rsidRDefault="00026BD0"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w</w:t>
      </w:r>
      <w:r w:rsidRPr="00FE629B">
        <w:rPr>
          <w:rFonts w:asciiTheme="minorHAnsi" w:hAnsiTheme="minorHAnsi" w:cstheme="minorHAnsi"/>
          <w:sz w:val="22"/>
          <w:szCs w:val="22"/>
        </w:rPr>
        <w:t xml:space="preserve"> </w:t>
      </w:r>
      <w:r w:rsidR="00FC5D9A" w:rsidRPr="00FE629B">
        <w:rPr>
          <w:rFonts w:asciiTheme="minorHAnsi" w:hAnsiTheme="minorHAnsi" w:cstheme="minorHAnsi"/>
          <w:sz w:val="22"/>
          <w:szCs w:val="22"/>
        </w:rPr>
        <w:t xml:space="preserve">przypadku, gdy koszty jednostkowe przekraczają koszty określone w załączniku </w:t>
      </w:r>
      <w:r w:rsidR="00CE71BE" w:rsidRPr="00FE629B">
        <w:rPr>
          <w:rFonts w:asciiTheme="minorHAnsi" w:hAnsiTheme="minorHAnsi" w:cstheme="minorHAnsi"/>
          <w:sz w:val="22"/>
          <w:szCs w:val="22"/>
        </w:rPr>
        <w:t xml:space="preserve">wskazanym w pkt 4 </w:t>
      </w:r>
      <w:r w:rsidR="00FC5D9A" w:rsidRPr="00FE629B">
        <w:rPr>
          <w:rFonts w:asciiTheme="minorHAnsi" w:hAnsiTheme="minorHAnsi" w:cstheme="minorHAnsi"/>
          <w:sz w:val="22"/>
          <w:szCs w:val="22"/>
        </w:rPr>
        <w:t>Wnioskodawca musi przedstawić oświadczenie o możliwości pokrycia tego przekroczenia ze środków własnych; w przypadku braku takiego oświadczenia wniosek zostanie odrzucony.</w:t>
      </w:r>
    </w:p>
    <w:p w14:paraId="5F969ED3" w14:textId="1077371A" w:rsidR="00FC5D9A" w:rsidRPr="00FE629B" w:rsidRDefault="00026BD0"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w</w:t>
      </w:r>
      <w:r w:rsidRPr="00FE629B">
        <w:rPr>
          <w:rFonts w:asciiTheme="minorHAnsi" w:hAnsiTheme="minorHAnsi" w:cstheme="minorHAnsi"/>
          <w:sz w:val="22"/>
          <w:szCs w:val="22"/>
        </w:rPr>
        <w:t xml:space="preserve">nioskodawca </w:t>
      </w:r>
      <w:r w:rsidR="00FC5D9A" w:rsidRPr="00FE629B">
        <w:rPr>
          <w:rFonts w:asciiTheme="minorHAnsi" w:hAnsiTheme="minorHAnsi" w:cstheme="minorHAnsi"/>
          <w:sz w:val="22"/>
          <w:szCs w:val="22"/>
        </w:rPr>
        <w:t xml:space="preserve">dla </w:t>
      </w:r>
      <w:r w:rsidR="00CE71BE" w:rsidRPr="00FE629B">
        <w:rPr>
          <w:rFonts w:asciiTheme="minorHAnsi" w:hAnsiTheme="minorHAnsi" w:cstheme="minorHAnsi"/>
          <w:sz w:val="22"/>
          <w:szCs w:val="22"/>
        </w:rPr>
        <w:t xml:space="preserve">pozostałych </w:t>
      </w:r>
      <w:r w:rsidR="00FC5D9A" w:rsidRPr="00FE629B">
        <w:rPr>
          <w:rFonts w:asciiTheme="minorHAnsi" w:hAnsiTheme="minorHAnsi" w:cstheme="minorHAnsi"/>
          <w:sz w:val="22"/>
          <w:szCs w:val="22"/>
        </w:rPr>
        <w:t>rodzajów przedsięwzięć</w:t>
      </w:r>
      <w:r w:rsidR="00CE71BE" w:rsidRPr="00FE629B">
        <w:rPr>
          <w:rFonts w:asciiTheme="minorHAnsi" w:hAnsiTheme="minorHAnsi" w:cstheme="minorHAnsi"/>
          <w:sz w:val="22"/>
          <w:szCs w:val="22"/>
        </w:rPr>
        <w:t>, z wyłączeniem prac własnych PIG-PIB,</w:t>
      </w:r>
      <w:r w:rsidR="00FC5D9A" w:rsidRPr="00FE629B">
        <w:rPr>
          <w:rFonts w:asciiTheme="minorHAnsi" w:hAnsiTheme="minorHAnsi" w:cstheme="minorHAnsi"/>
          <w:sz w:val="22"/>
          <w:szCs w:val="22"/>
        </w:rPr>
        <w:t xml:space="preserve"> przedstawi na</w:t>
      </w:r>
      <w:r w:rsidR="00CE71BE" w:rsidRPr="00FE629B">
        <w:rPr>
          <w:rFonts w:asciiTheme="minorHAnsi" w:hAnsiTheme="minorHAnsi" w:cstheme="minorHAnsi"/>
          <w:sz w:val="22"/>
          <w:szCs w:val="22"/>
        </w:rPr>
        <w:t xml:space="preserve"> </w:t>
      </w:r>
      <w:r w:rsidR="00FC5D9A" w:rsidRPr="00FE629B">
        <w:rPr>
          <w:rFonts w:asciiTheme="minorHAnsi" w:hAnsiTheme="minorHAnsi" w:cstheme="minorHAnsi"/>
          <w:sz w:val="22"/>
          <w:szCs w:val="22"/>
        </w:rPr>
        <w:t>cały zakres prac określony we wniosku</w:t>
      </w:r>
      <w:r w:rsidR="00FC5D9A" w:rsidRPr="00FE629B" w:rsidDel="005571D1">
        <w:rPr>
          <w:rFonts w:asciiTheme="minorHAnsi" w:hAnsiTheme="minorHAnsi" w:cstheme="minorHAnsi"/>
          <w:sz w:val="22"/>
          <w:szCs w:val="22"/>
        </w:rPr>
        <w:t xml:space="preserve"> </w:t>
      </w:r>
      <w:r w:rsidR="00FC5D9A" w:rsidRPr="00FE629B">
        <w:rPr>
          <w:rFonts w:asciiTheme="minorHAnsi" w:hAnsiTheme="minorHAnsi" w:cstheme="minorHAnsi"/>
          <w:sz w:val="22"/>
          <w:szCs w:val="22"/>
        </w:rPr>
        <w:t>o dofinansowanie 3 oferty z badania rynku lub min. 1 w przypadku braku większej ilości potencjalnych wykonawców; badanie rynku powinno być przeprowadzone z podaniem kryteriów wyboru.</w:t>
      </w:r>
    </w:p>
    <w:p w14:paraId="3B23DE37" w14:textId="77777777" w:rsidR="00FC5D9A" w:rsidRPr="00FE629B" w:rsidRDefault="00FC5D9A" w:rsidP="00FC5D9A">
      <w:pPr>
        <w:pStyle w:val="Akapitzlist"/>
        <w:numPr>
          <w:ilvl w:val="0"/>
          <w:numId w:val="5"/>
        </w:numPr>
        <w:tabs>
          <w:tab w:val="left" w:pos="540"/>
        </w:tabs>
        <w:autoSpaceDE w:val="0"/>
        <w:autoSpaceDN w:val="0"/>
        <w:adjustRightInd w:val="0"/>
        <w:spacing w:before="360" w:after="12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Formy i warunki udzielania dofinansowania</w:t>
      </w:r>
    </w:p>
    <w:p w14:paraId="6A10B5BA" w14:textId="77777777" w:rsidR="00FC5D9A" w:rsidRPr="00FE629B" w:rsidRDefault="00FC5D9A" w:rsidP="005B09EA">
      <w:pPr>
        <w:spacing w:before="6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7.1 </w:t>
      </w:r>
      <w:r w:rsidRPr="00FE629B">
        <w:rPr>
          <w:rFonts w:asciiTheme="minorHAnsi" w:hAnsiTheme="minorHAnsi" w:cstheme="minorHAnsi"/>
          <w:b/>
          <w:color w:val="000000"/>
          <w:sz w:val="22"/>
          <w:szCs w:val="22"/>
        </w:rPr>
        <w:tab/>
        <w:t>Formy dofinansowania</w:t>
      </w:r>
    </w:p>
    <w:p w14:paraId="1E1880EE" w14:textId="77777777" w:rsidR="00FC5D9A" w:rsidRPr="00FE629B" w:rsidRDefault="00FC5D9A" w:rsidP="00C72594">
      <w:pPr>
        <w:pStyle w:val="Akapitzlist"/>
        <w:numPr>
          <w:ilvl w:val="1"/>
          <w:numId w:val="34"/>
        </w:numPr>
        <w:autoSpaceDE w:val="0"/>
        <w:autoSpaceDN w:val="0"/>
        <w:adjustRightInd w:val="0"/>
        <w:spacing w:before="60"/>
        <w:ind w:left="567" w:hanging="567"/>
        <w:jc w:val="both"/>
        <w:rPr>
          <w:rFonts w:asciiTheme="minorHAnsi" w:hAnsiTheme="minorHAnsi" w:cstheme="minorHAnsi"/>
          <w:sz w:val="22"/>
          <w:szCs w:val="22"/>
        </w:rPr>
      </w:pPr>
      <w:r w:rsidRPr="00FE629B">
        <w:rPr>
          <w:rFonts w:asciiTheme="minorHAnsi" w:hAnsiTheme="minorHAnsi" w:cstheme="minorHAnsi"/>
          <w:sz w:val="22"/>
          <w:szCs w:val="22"/>
        </w:rPr>
        <w:t>dotacja</w:t>
      </w:r>
    </w:p>
    <w:p w14:paraId="2D16F491" w14:textId="4DB0C4D4" w:rsidR="00FC5D9A" w:rsidRPr="00FE629B" w:rsidRDefault="00FC5D9A" w:rsidP="00C72594">
      <w:pPr>
        <w:pStyle w:val="Akapitzlist"/>
        <w:numPr>
          <w:ilvl w:val="1"/>
          <w:numId w:val="34"/>
        </w:numPr>
        <w:autoSpaceDE w:val="0"/>
        <w:autoSpaceDN w:val="0"/>
        <w:adjustRightInd w:val="0"/>
        <w:spacing w:before="60"/>
        <w:ind w:left="567" w:hanging="567"/>
        <w:jc w:val="both"/>
        <w:rPr>
          <w:rFonts w:asciiTheme="minorHAnsi" w:hAnsiTheme="minorHAnsi" w:cstheme="minorHAnsi"/>
          <w:sz w:val="22"/>
          <w:szCs w:val="22"/>
        </w:rPr>
      </w:pPr>
      <w:r w:rsidRPr="00FE629B">
        <w:rPr>
          <w:rFonts w:asciiTheme="minorHAnsi" w:hAnsiTheme="minorHAnsi" w:cstheme="minorHAnsi"/>
          <w:sz w:val="22"/>
          <w:szCs w:val="22"/>
        </w:rPr>
        <w:t>pożyczka</w:t>
      </w:r>
    </w:p>
    <w:p w14:paraId="64B12ACD" w14:textId="77777777" w:rsidR="00FC5D9A" w:rsidRPr="00FE629B" w:rsidRDefault="00FC5D9A" w:rsidP="00C72594">
      <w:pPr>
        <w:pStyle w:val="Akapitzlist"/>
        <w:numPr>
          <w:ilvl w:val="1"/>
          <w:numId w:val="34"/>
        </w:numPr>
        <w:autoSpaceDE w:val="0"/>
        <w:autoSpaceDN w:val="0"/>
        <w:adjustRightInd w:val="0"/>
        <w:spacing w:before="60"/>
        <w:ind w:left="567" w:hanging="567"/>
        <w:jc w:val="both"/>
        <w:rPr>
          <w:rFonts w:asciiTheme="minorHAnsi" w:hAnsiTheme="minorHAnsi" w:cstheme="minorHAnsi"/>
          <w:color w:val="000000"/>
          <w:sz w:val="22"/>
          <w:szCs w:val="22"/>
        </w:rPr>
      </w:pPr>
      <w:r w:rsidRPr="00FE629B">
        <w:rPr>
          <w:rFonts w:asciiTheme="minorHAnsi" w:hAnsiTheme="minorHAnsi" w:cstheme="minorHAnsi"/>
          <w:sz w:val="22"/>
          <w:szCs w:val="22"/>
        </w:rPr>
        <w:t>przekazanie środków</w:t>
      </w:r>
    </w:p>
    <w:p w14:paraId="7BC3E94A" w14:textId="77777777" w:rsidR="00FC5D9A" w:rsidRPr="00FE629B" w:rsidRDefault="00FC5D9A" w:rsidP="005B09EA">
      <w:pPr>
        <w:autoSpaceDE w:val="0"/>
        <w:autoSpaceDN w:val="0"/>
        <w:adjustRightInd w:val="0"/>
        <w:spacing w:before="120" w:after="120"/>
        <w:ind w:left="709" w:hanging="709"/>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7.2 </w:t>
      </w:r>
      <w:r w:rsidRPr="00FE629B">
        <w:rPr>
          <w:rFonts w:asciiTheme="minorHAnsi" w:hAnsiTheme="minorHAnsi" w:cstheme="minorHAnsi"/>
          <w:b/>
          <w:color w:val="000000"/>
          <w:sz w:val="22"/>
          <w:szCs w:val="22"/>
        </w:rPr>
        <w:tab/>
        <w:t>Intensywność dofinansowania</w:t>
      </w:r>
    </w:p>
    <w:p w14:paraId="25D9AE86" w14:textId="488994BF" w:rsidR="00FC5D9A" w:rsidRPr="00FE629B" w:rsidRDefault="00026BD0" w:rsidP="00C72594">
      <w:pPr>
        <w:pStyle w:val="Akapitzlist"/>
        <w:numPr>
          <w:ilvl w:val="1"/>
          <w:numId w:val="35"/>
        </w:numPr>
        <w:ind w:left="709" w:hanging="709"/>
        <w:jc w:val="both"/>
        <w:rPr>
          <w:rFonts w:asciiTheme="minorHAnsi" w:hAnsiTheme="minorHAnsi" w:cstheme="minorHAnsi"/>
          <w:sz w:val="22"/>
          <w:szCs w:val="22"/>
        </w:rPr>
      </w:pPr>
      <w:r>
        <w:rPr>
          <w:rFonts w:asciiTheme="minorHAnsi" w:hAnsiTheme="minorHAnsi" w:cstheme="minorHAnsi"/>
          <w:sz w:val="22"/>
          <w:szCs w:val="22"/>
        </w:rPr>
        <w:t>d</w:t>
      </w:r>
      <w:r w:rsidRPr="00FE629B">
        <w:rPr>
          <w:rFonts w:asciiTheme="minorHAnsi" w:hAnsiTheme="minorHAnsi" w:cstheme="minorHAnsi"/>
          <w:sz w:val="22"/>
          <w:szCs w:val="22"/>
        </w:rPr>
        <w:t xml:space="preserve">ofinansowanie </w:t>
      </w:r>
      <w:r w:rsidR="00FC5D9A" w:rsidRPr="00FE629B">
        <w:rPr>
          <w:rFonts w:asciiTheme="minorHAnsi" w:hAnsiTheme="minorHAnsi" w:cstheme="minorHAnsi"/>
          <w:sz w:val="22"/>
          <w:szCs w:val="22"/>
        </w:rPr>
        <w:t>w formie dotacji:</w:t>
      </w:r>
    </w:p>
    <w:p w14:paraId="2B092139" w14:textId="77777777" w:rsidR="00FC5D9A" w:rsidRPr="00FE629B" w:rsidRDefault="00FC5D9A" w:rsidP="00C72594">
      <w:pPr>
        <w:pStyle w:val="Akapitzlist"/>
        <w:numPr>
          <w:ilvl w:val="0"/>
          <w:numId w:val="36"/>
        </w:numPr>
        <w:ind w:left="1134" w:hanging="425"/>
        <w:jc w:val="both"/>
        <w:rPr>
          <w:rFonts w:asciiTheme="minorHAnsi" w:hAnsiTheme="minorHAnsi" w:cstheme="minorHAnsi"/>
          <w:sz w:val="22"/>
          <w:szCs w:val="22"/>
        </w:rPr>
      </w:pPr>
      <w:r w:rsidRPr="00FE629B">
        <w:rPr>
          <w:rFonts w:asciiTheme="minorHAnsi" w:hAnsiTheme="minorHAnsi" w:cstheme="minorHAnsi"/>
          <w:sz w:val="22"/>
          <w:szCs w:val="22"/>
        </w:rPr>
        <w:t>do 100% kosztów kwalifikowanych dla przedsięwzięć określonych w ust. 7.5 pkt 1),</w:t>
      </w:r>
    </w:p>
    <w:p w14:paraId="184C59AE" w14:textId="77777777" w:rsidR="00FC5D9A" w:rsidRPr="00FE629B" w:rsidRDefault="00FC5D9A" w:rsidP="00784A0E">
      <w:pPr>
        <w:pStyle w:val="Akapitzlist"/>
        <w:numPr>
          <w:ilvl w:val="0"/>
          <w:numId w:val="36"/>
        </w:numPr>
        <w:ind w:left="1134" w:hanging="425"/>
        <w:jc w:val="both"/>
        <w:rPr>
          <w:rFonts w:asciiTheme="minorHAnsi" w:hAnsiTheme="minorHAnsi" w:cstheme="minorHAnsi"/>
          <w:sz w:val="22"/>
          <w:szCs w:val="22"/>
        </w:rPr>
      </w:pPr>
      <w:r w:rsidRPr="00FE629B">
        <w:rPr>
          <w:rFonts w:asciiTheme="minorHAnsi" w:hAnsiTheme="minorHAnsi" w:cstheme="minorHAnsi"/>
          <w:sz w:val="22"/>
          <w:szCs w:val="22"/>
        </w:rPr>
        <w:t xml:space="preserve">do 100% kosztów kwalifikowanych dla przedsięwzięć określonych w ust. 7.5 pkt 2), realizowanych przez jednostki samorządu terytorialnego, </w:t>
      </w:r>
    </w:p>
    <w:p w14:paraId="4419371C" w14:textId="29EBE5D8" w:rsidR="00FC5D9A" w:rsidRPr="00FE629B" w:rsidRDefault="00FC5D9A" w:rsidP="00784A0E">
      <w:pPr>
        <w:pStyle w:val="Akapitzlist"/>
        <w:numPr>
          <w:ilvl w:val="0"/>
          <w:numId w:val="36"/>
        </w:numPr>
        <w:ind w:left="1134" w:hanging="425"/>
        <w:jc w:val="both"/>
        <w:rPr>
          <w:rFonts w:asciiTheme="minorHAnsi" w:hAnsiTheme="minorHAnsi" w:cstheme="minorHAnsi"/>
          <w:sz w:val="22"/>
          <w:szCs w:val="22"/>
        </w:rPr>
      </w:pPr>
      <w:r w:rsidRPr="00FE629B">
        <w:rPr>
          <w:rFonts w:asciiTheme="minorHAnsi" w:hAnsiTheme="minorHAnsi" w:cstheme="minorHAnsi"/>
          <w:sz w:val="22"/>
          <w:szCs w:val="22"/>
        </w:rPr>
        <w:t>do 50 % kosztów kwalifikowanych dla przedsięwzięć określonych w ust. 7.5 pkt 2) realizowanych przez podmioty inne niż jednostki samorządu terytorialnego. Intensywność może być podwyższona o:</w:t>
      </w:r>
    </w:p>
    <w:p w14:paraId="16641147" w14:textId="77777777" w:rsidR="00FC5D9A" w:rsidRPr="00FE629B" w:rsidRDefault="00FC5D9A" w:rsidP="00784A0E">
      <w:pPr>
        <w:pStyle w:val="Akapitzlist"/>
        <w:numPr>
          <w:ilvl w:val="0"/>
          <w:numId w:val="27"/>
        </w:numPr>
        <w:ind w:left="1134" w:firstLine="0"/>
        <w:jc w:val="both"/>
        <w:rPr>
          <w:rFonts w:asciiTheme="minorHAnsi" w:hAnsiTheme="minorHAnsi" w:cstheme="minorHAnsi"/>
          <w:sz w:val="22"/>
          <w:szCs w:val="22"/>
        </w:rPr>
      </w:pPr>
      <w:r w:rsidRPr="00FE629B">
        <w:rPr>
          <w:rFonts w:asciiTheme="minorHAnsi" w:hAnsiTheme="minorHAnsi" w:cstheme="minorHAnsi"/>
          <w:sz w:val="22"/>
          <w:szCs w:val="22"/>
        </w:rPr>
        <w:t>10 pkt procentowych dla średnich przedsiębiorstw,</w:t>
      </w:r>
    </w:p>
    <w:p w14:paraId="17F79E0C" w14:textId="30F588CB" w:rsidR="00FC5D9A" w:rsidRPr="00FE629B" w:rsidRDefault="00FC5D9A" w:rsidP="00784A0E">
      <w:pPr>
        <w:pStyle w:val="Akapitzlist"/>
        <w:numPr>
          <w:ilvl w:val="0"/>
          <w:numId w:val="27"/>
        </w:numPr>
        <w:ind w:left="1134" w:firstLine="0"/>
        <w:jc w:val="both"/>
        <w:rPr>
          <w:rFonts w:asciiTheme="minorHAnsi" w:hAnsiTheme="minorHAnsi" w:cstheme="minorHAnsi"/>
          <w:sz w:val="22"/>
          <w:szCs w:val="22"/>
        </w:rPr>
      </w:pPr>
      <w:r w:rsidRPr="00FE629B">
        <w:rPr>
          <w:rFonts w:asciiTheme="minorHAnsi" w:hAnsiTheme="minorHAnsi" w:cstheme="minorHAnsi"/>
          <w:sz w:val="22"/>
          <w:szCs w:val="22"/>
        </w:rPr>
        <w:t>20 pkt procentowych dla małych i mikroprzedsiębiorstw.</w:t>
      </w:r>
    </w:p>
    <w:p w14:paraId="1176F041" w14:textId="77777777" w:rsidR="00FC5D9A" w:rsidRPr="00FE629B" w:rsidRDefault="00FC5D9A" w:rsidP="005B09EA">
      <w:pPr>
        <w:ind w:left="709"/>
        <w:jc w:val="both"/>
        <w:rPr>
          <w:rFonts w:asciiTheme="minorHAnsi" w:hAnsiTheme="minorHAnsi" w:cstheme="minorHAnsi"/>
          <w:sz w:val="22"/>
          <w:szCs w:val="22"/>
        </w:rPr>
      </w:pPr>
      <w:r w:rsidRPr="00FE629B">
        <w:rPr>
          <w:rFonts w:asciiTheme="minorHAnsi" w:hAnsiTheme="minorHAnsi" w:cstheme="minorHAnsi"/>
          <w:sz w:val="22"/>
          <w:szCs w:val="22"/>
        </w:rPr>
        <w:t>Definicja średnich, małych i mikroprzedsiębiorstw określona jest w załączniku I do</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 xml:space="preserve">rozporządzenia Komisji (UE) nr 651/2014 z dnia 17 czerwca 2014 r. uznającego niektóre rodzaje pomocy za zgodne z rynkiem wewnętrznym w zastosowaniu art. 107 i 108 Traktatu (Dz. Urz. UE L 187 z dnia 26.6.2014, str. 1, z </w:t>
      </w:r>
      <w:proofErr w:type="spellStart"/>
      <w:r w:rsidRPr="00FE629B">
        <w:rPr>
          <w:rFonts w:asciiTheme="minorHAnsi" w:hAnsiTheme="minorHAnsi" w:cstheme="minorHAnsi"/>
          <w:sz w:val="22"/>
          <w:szCs w:val="22"/>
        </w:rPr>
        <w:t>późn</w:t>
      </w:r>
      <w:proofErr w:type="spellEnd"/>
      <w:r w:rsidRPr="00FE629B">
        <w:rPr>
          <w:rFonts w:asciiTheme="minorHAnsi" w:hAnsiTheme="minorHAnsi" w:cstheme="minorHAnsi"/>
          <w:sz w:val="22"/>
          <w:szCs w:val="22"/>
        </w:rPr>
        <w:t>. zm.)</w:t>
      </w:r>
    </w:p>
    <w:p w14:paraId="1AEBA271" w14:textId="0CF3B36F" w:rsidR="00FC5D9A" w:rsidRPr="00F10407" w:rsidRDefault="00C26A57" w:rsidP="00F10407">
      <w:pPr>
        <w:pStyle w:val="Akapitzlist"/>
        <w:numPr>
          <w:ilvl w:val="0"/>
          <w:numId w:val="36"/>
        </w:numPr>
        <w:tabs>
          <w:tab w:val="left" w:pos="0"/>
        </w:tabs>
        <w:ind w:left="1134" w:hanging="425"/>
        <w:jc w:val="both"/>
        <w:rPr>
          <w:rFonts w:asciiTheme="minorHAnsi" w:hAnsiTheme="minorHAnsi" w:cstheme="minorHAnsi"/>
          <w:sz w:val="22"/>
          <w:szCs w:val="22"/>
        </w:rPr>
      </w:pPr>
      <w:r w:rsidRPr="00FE629B">
        <w:rPr>
          <w:rFonts w:asciiTheme="minorHAnsi" w:hAnsiTheme="minorHAnsi" w:cstheme="minorHAnsi"/>
          <w:sz w:val="22"/>
          <w:szCs w:val="22"/>
        </w:rPr>
        <w:t xml:space="preserve">do 50% kosztów kwalifikowanych dla przedsięwzięć określonych w ust. </w:t>
      </w:r>
      <w:r w:rsidRPr="00F10407">
        <w:rPr>
          <w:rFonts w:asciiTheme="minorHAnsi" w:hAnsiTheme="minorHAnsi" w:cstheme="minorHAnsi"/>
          <w:sz w:val="22"/>
          <w:szCs w:val="22"/>
        </w:rPr>
        <w:t>7.5 pkt 3),</w:t>
      </w:r>
    </w:p>
    <w:p w14:paraId="5CC37EB3" w14:textId="611C34FB" w:rsidR="00FC5D9A" w:rsidRPr="00FE629B" w:rsidRDefault="00026BD0" w:rsidP="00C72594">
      <w:pPr>
        <w:pStyle w:val="Akapitzlist"/>
        <w:numPr>
          <w:ilvl w:val="0"/>
          <w:numId w:val="38"/>
        </w:numPr>
        <w:ind w:left="709" w:hanging="709"/>
        <w:jc w:val="both"/>
        <w:rPr>
          <w:rFonts w:asciiTheme="minorHAnsi" w:hAnsiTheme="minorHAnsi" w:cstheme="minorHAnsi"/>
          <w:sz w:val="22"/>
          <w:szCs w:val="22"/>
        </w:rPr>
      </w:pPr>
      <w:r>
        <w:rPr>
          <w:rFonts w:asciiTheme="minorHAnsi" w:hAnsiTheme="minorHAnsi" w:cstheme="minorHAnsi"/>
          <w:sz w:val="22"/>
          <w:szCs w:val="22"/>
        </w:rPr>
        <w:t>d</w:t>
      </w:r>
      <w:r w:rsidRPr="00FE629B">
        <w:rPr>
          <w:rFonts w:asciiTheme="minorHAnsi" w:hAnsiTheme="minorHAnsi" w:cstheme="minorHAnsi"/>
          <w:sz w:val="22"/>
          <w:szCs w:val="22"/>
        </w:rPr>
        <w:t xml:space="preserve">ofinansowanie </w:t>
      </w:r>
      <w:r w:rsidR="00FC5D9A" w:rsidRPr="00FE629B">
        <w:rPr>
          <w:rFonts w:asciiTheme="minorHAnsi" w:hAnsiTheme="minorHAnsi" w:cstheme="minorHAnsi"/>
          <w:sz w:val="22"/>
          <w:szCs w:val="22"/>
        </w:rPr>
        <w:t>w formie pożyczki:</w:t>
      </w:r>
    </w:p>
    <w:p w14:paraId="07F3FCB4" w14:textId="77777777" w:rsidR="00784A0E" w:rsidRPr="00FE629B" w:rsidRDefault="00784A0E" w:rsidP="00F10407">
      <w:pPr>
        <w:pStyle w:val="Akapitzlist"/>
        <w:ind w:left="709"/>
        <w:jc w:val="both"/>
        <w:rPr>
          <w:rFonts w:asciiTheme="minorHAnsi" w:hAnsiTheme="minorHAnsi" w:cstheme="minorHAnsi"/>
          <w:sz w:val="22"/>
          <w:szCs w:val="22"/>
        </w:rPr>
      </w:pPr>
      <w:r w:rsidRPr="00FE629B">
        <w:rPr>
          <w:rFonts w:asciiTheme="minorHAnsi" w:hAnsiTheme="minorHAnsi" w:cstheme="minorHAnsi"/>
          <w:sz w:val="22"/>
          <w:szCs w:val="22"/>
        </w:rPr>
        <w:t xml:space="preserve">do 100 % kosztów kwalifikowanych, dla przedsięwzięć określonych w ust. 7.5 pkt </w:t>
      </w:r>
      <w:r w:rsidR="00A4798A" w:rsidRPr="00FE629B">
        <w:rPr>
          <w:rFonts w:asciiTheme="minorHAnsi" w:hAnsiTheme="minorHAnsi" w:cstheme="minorHAnsi"/>
          <w:sz w:val="22"/>
          <w:szCs w:val="22"/>
        </w:rPr>
        <w:t xml:space="preserve">2), pkt </w:t>
      </w:r>
      <w:r w:rsidRPr="00FE629B">
        <w:rPr>
          <w:rFonts w:asciiTheme="minorHAnsi" w:hAnsiTheme="minorHAnsi" w:cstheme="minorHAnsi"/>
          <w:sz w:val="22"/>
          <w:szCs w:val="22"/>
        </w:rPr>
        <w:t>3)</w:t>
      </w:r>
      <w:r w:rsidR="00EA434B" w:rsidRPr="00FE629B">
        <w:rPr>
          <w:rFonts w:asciiTheme="minorHAnsi" w:hAnsiTheme="minorHAnsi" w:cstheme="minorHAnsi"/>
          <w:sz w:val="22"/>
          <w:szCs w:val="22"/>
        </w:rPr>
        <w:t xml:space="preserve"> i </w:t>
      </w:r>
      <w:r w:rsidR="00A4798A" w:rsidRPr="00FE629B">
        <w:rPr>
          <w:rFonts w:asciiTheme="minorHAnsi" w:hAnsiTheme="minorHAnsi" w:cstheme="minorHAnsi"/>
          <w:sz w:val="22"/>
          <w:szCs w:val="22"/>
        </w:rPr>
        <w:t xml:space="preserve">pkt </w:t>
      </w:r>
      <w:r w:rsidR="00EA434B" w:rsidRPr="00FE629B">
        <w:rPr>
          <w:rFonts w:asciiTheme="minorHAnsi" w:hAnsiTheme="minorHAnsi" w:cstheme="minorHAnsi"/>
          <w:sz w:val="22"/>
          <w:szCs w:val="22"/>
        </w:rPr>
        <w:t>4</w:t>
      </w:r>
      <w:r w:rsidR="00A4798A" w:rsidRPr="00FE629B">
        <w:rPr>
          <w:rFonts w:asciiTheme="minorHAnsi" w:hAnsiTheme="minorHAnsi" w:cstheme="minorHAnsi"/>
          <w:sz w:val="22"/>
          <w:szCs w:val="22"/>
        </w:rPr>
        <w:t>)</w:t>
      </w:r>
      <w:r w:rsidRPr="00FE629B">
        <w:rPr>
          <w:rFonts w:asciiTheme="minorHAnsi" w:hAnsiTheme="minorHAnsi" w:cstheme="minorHAnsi"/>
          <w:sz w:val="22"/>
          <w:szCs w:val="22"/>
        </w:rPr>
        <w:t>,</w:t>
      </w:r>
    </w:p>
    <w:p w14:paraId="3F9FAF9D" w14:textId="122979F9" w:rsidR="00FC5D9A" w:rsidRPr="00FE629B" w:rsidRDefault="00026BD0" w:rsidP="00C72594">
      <w:pPr>
        <w:pStyle w:val="Akapitzlist"/>
        <w:numPr>
          <w:ilvl w:val="0"/>
          <w:numId w:val="40"/>
        </w:numPr>
        <w:ind w:left="709" w:hanging="709"/>
        <w:jc w:val="both"/>
        <w:rPr>
          <w:rFonts w:asciiTheme="minorHAnsi" w:hAnsiTheme="minorHAnsi" w:cstheme="minorHAnsi"/>
          <w:sz w:val="22"/>
          <w:szCs w:val="22"/>
        </w:rPr>
      </w:pPr>
      <w:r>
        <w:rPr>
          <w:rFonts w:asciiTheme="minorHAnsi" w:hAnsiTheme="minorHAnsi" w:cstheme="minorHAnsi"/>
          <w:sz w:val="22"/>
          <w:szCs w:val="22"/>
        </w:rPr>
        <w:t>d</w:t>
      </w:r>
      <w:r w:rsidRPr="00FE629B">
        <w:rPr>
          <w:rFonts w:asciiTheme="minorHAnsi" w:hAnsiTheme="minorHAnsi" w:cstheme="minorHAnsi"/>
          <w:sz w:val="22"/>
          <w:szCs w:val="22"/>
        </w:rPr>
        <w:t xml:space="preserve">ofinansowanie </w:t>
      </w:r>
      <w:r w:rsidR="00FC5D9A" w:rsidRPr="00FE629B">
        <w:rPr>
          <w:rFonts w:asciiTheme="minorHAnsi" w:hAnsiTheme="minorHAnsi" w:cstheme="minorHAnsi"/>
          <w:sz w:val="22"/>
          <w:szCs w:val="22"/>
        </w:rPr>
        <w:t>w formie przekazania środków:</w:t>
      </w:r>
    </w:p>
    <w:p w14:paraId="6C20F645" w14:textId="3F09E23F" w:rsidR="00FC5D9A" w:rsidRPr="00FE629B" w:rsidRDefault="00FC5D9A" w:rsidP="005B09EA">
      <w:pPr>
        <w:ind w:left="709"/>
        <w:jc w:val="both"/>
        <w:rPr>
          <w:rFonts w:asciiTheme="minorHAnsi" w:hAnsiTheme="minorHAnsi" w:cstheme="minorHAnsi"/>
          <w:sz w:val="22"/>
          <w:szCs w:val="22"/>
        </w:rPr>
      </w:pPr>
      <w:r w:rsidRPr="00FE629B">
        <w:rPr>
          <w:rFonts w:asciiTheme="minorHAnsi" w:hAnsiTheme="minorHAnsi" w:cstheme="minorHAnsi"/>
          <w:sz w:val="22"/>
          <w:szCs w:val="22"/>
        </w:rPr>
        <w:t xml:space="preserve">do 100% kosztów kwalifikowanych dla przedsięwzięć określonych w ust. 7.5 pkt </w:t>
      </w:r>
      <w:r w:rsidR="00EA434B" w:rsidRPr="00FE629B">
        <w:rPr>
          <w:rFonts w:asciiTheme="minorHAnsi" w:hAnsiTheme="minorHAnsi" w:cstheme="minorHAnsi"/>
          <w:sz w:val="22"/>
          <w:szCs w:val="22"/>
        </w:rPr>
        <w:t>5</w:t>
      </w:r>
      <w:r w:rsidRPr="00FE629B">
        <w:rPr>
          <w:rFonts w:asciiTheme="minorHAnsi" w:hAnsiTheme="minorHAnsi" w:cstheme="minorHAnsi"/>
          <w:sz w:val="22"/>
          <w:szCs w:val="22"/>
        </w:rPr>
        <w:t>).</w:t>
      </w:r>
    </w:p>
    <w:p w14:paraId="2CADA467" w14:textId="77777777" w:rsidR="00FC5D9A" w:rsidRPr="00FE629B" w:rsidRDefault="00FC5D9A" w:rsidP="005B09EA">
      <w:pPr>
        <w:autoSpaceDE w:val="0"/>
        <w:autoSpaceDN w:val="0"/>
        <w:adjustRightInd w:val="0"/>
        <w:spacing w:before="120" w:after="12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lastRenderedPageBreak/>
        <w:t xml:space="preserve">7.3 </w:t>
      </w:r>
      <w:r w:rsidRPr="00FE629B">
        <w:rPr>
          <w:rFonts w:asciiTheme="minorHAnsi" w:hAnsiTheme="minorHAnsi" w:cstheme="minorHAnsi"/>
          <w:b/>
          <w:color w:val="000000"/>
          <w:sz w:val="22"/>
          <w:szCs w:val="22"/>
        </w:rPr>
        <w:tab/>
        <w:t>Warunki dofinansowania</w:t>
      </w:r>
    </w:p>
    <w:p w14:paraId="1C88C535" w14:textId="77777777" w:rsidR="00FC5D9A" w:rsidRPr="00FE629B" w:rsidRDefault="00FC5D9A" w:rsidP="005B09EA">
      <w:pPr>
        <w:numPr>
          <w:ilvl w:val="0"/>
          <w:numId w:val="3"/>
        </w:numPr>
        <w:tabs>
          <w:tab w:val="clear" w:pos="750"/>
        </w:tabs>
        <w:ind w:left="709" w:hanging="709"/>
        <w:jc w:val="both"/>
        <w:rPr>
          <w:rFonts w:asciiTheme="minorHAnsi" w:hAnsiTheme="minorHAnsi" w:cstheme="minorHAnsi"/>
          <w:sz w:val="22"/>
          <w:szCs w:val="22"/>
        </w:rPr>
      </w:pPr>
      <w:r w:rsidRPr="00FE629B">
        <w:rPr>
          <w:rFonts w:asciiTheme="minorHAnsi" w:hAnsiTheme="minorHAnsi" w:cstheme="minorHAnsi"/>
          <w:sz w:val="22"/>
          <w:szCs w:val="22"/>
        </w:rPr>
        <w:t>w przypadku, gdy dofinansowanie stanowi pomoc publiczną, będzie ono udzielane zgodnie z regulacjami dotyczącymi pomocy publicznej, w szczególności z warunkami przewidzianymi dla pomocy na badania środowiska w rozporządzeniu Ministra Środowiska z dnia 21 grudnia 2015 r. w sprawie szczegółowych warunków udzielania horyzontalnej pomocy publicznej na cele z zakresu ochrony środowiska (Dz. U. z 2015 r., poz. 2250),</w:t>
      </w:r>
    </w:p>
    <w:p w14:paraId="46024829" w14:textId="77777777" w:rsidR="00FC5D9A" w:rsidRPr="00FE629B" w:rsidRDefault="00FC5D9A" w:rsidP="005B09EA">
      <w:pPr>
        <w:numPr>
          <w:ilvl w:val="0"/>
          <w:numId w:val="3"/>
        </w:numPr>
        <w:tabs>
          <w:tab w:val="clear" w:pos="750"/>
        </w:tabs>
        <w:ind w:left="709" w:hanging="709"/>
        <w:jc w:val="both"/>
        <w:rPr>
          <w:rFonts w:asciiTheme="minorHAnsi" w:hAnsiTheme="minorHAnsi" w:cstheme="minorHAnsi"/>
          <w:sz w:val="22"/>
          <w:szCs w:val="22"/>
        </w:rPr>
      </w:pPr>
      <w:r w:rsidRPr="00FE629B">
        <w:rPr>
          <w:rFonts w:asciiTheme="minorHAnsi" w:hAnsiTheme="minorHAnsi" w:cstheme="minorHAnsi"/>
          <w:sz w:val="22"/>
          <w:szCs w:val="22"/>
        </w:rPr>
        <w:t xml:space="preserve">w przypadku przedsięwzięć </w:t>
      </w:r>
      <w:r w:rsidRPr="00FE629B">
        <w:rPr>
          <w:rFonts w:asciiTheme="minorHAnsi" w:hAnsiTheme="minorHAnsi" w:cstheme="minorHAnsi"/>
          <w:color w:val="000000"/>
          <w:sz w:val="22"/>
          <w:szCs w:val="22"/>
        </w:rPr>
        <w:t>określonych w ust. 7.5 pkt 1)</w:t>
      </w:r>
      <w:r w:rsidRPr="00FE629B">
        <w:rPr>
          <w:rFonts w:asciiTheme="minorHAnsi" w:hAnsiTheme="minorHAnsi" w:cstheme="minorHAnsi"/>
          <w:sz w:val="22"/>
          <w:szCs w:val="22"/>
        </w:rPr>
        <w:t>, zadań państwowej służby geologicznej określonych w ustawie z dnia 9 czerwca 2011 r. Prawo geologiczne i</w:t>
      </w:r>
      <w:r w:rsidR="005B09EA" w:rsidRPr="00FE629B">
        <w:rPr>
          <w:rFonts w:asciiTheme="minorHAnsi" w:hAnsiTheme="minorHAnsi" w:cstheme="minorHAnsi"/>
          <w:sz w:val="22"/>
          <w:szCs w:val="22"/>
        </w:rPr>
        <w:t> </w:t>
      </w:r>
      <w:r w:rsidRPr="00FE629B">
        <w:rPr>
          <w:rFonts w:asciiTheme="minorHAnsi" w:hAnsiTheme="minorHAnsi" w:cstheme="minorHAnsi"/>
          <w:sz w:val="22"/>
          <w:szCs w:val="22"/>
        </w:rPr>
        <w:t>górnicze, zwanej dalej „ustawą Pgg”, przedsięwzięcie znajduje się w corocznie akceptowanym przez ministra właściwego ds. środowiska planie prac państwowej służby geologicznej lub minister właściwy ds. środowiska powierzył wykonanie dodatkowego zadania państwa w zakresie geologii, zgodnie z ustawą Pgg,</w:t>
      </w:r>
    </w:p>
    <w:p w14:paraId="609738CA" w14:textId="77777777" w:rsidR="00FC5D9A" w:rsidRPr="00FE629B" w:rsidRDefault="00FC5D9A" w:rsidP="005B09EA">
      <w:pPr>
        <w:numPr>
          <w:ilvl w:val="0"/>
          <w:numId w:val="3"/>
        </w:numPr>
        <w:tabs>
          <w:tab w:val="clear" w:pos="750"/>
        </w:tabs>
        <w:ind w:left="709" w:hanging="709"/>
        <w:jc w:val="both"/>
        <w:rPr>
          <w:rFonts w:asciiTheme="minorHAnsi" w:hAnsiTheme="minorHAnsi" w:cstheme="minorHAnsi"/>
          <w:sz w:val="22"/>
          <w:szCs w:val="22"/>
        </w:rPr>
      </w:pPr>
      <w:r w:rsidRPr="00FE629B">
        <w:rPr>
          <w:rFonts w:asciiTheme="minorHAnsi" w:hAnsiTheme="minorHAnsi" w:cstheme="minorHAnsi"/>
          <w:sz w:val="22"/>
          <w:szCs w:val="22"/>
        </w:rPr>
        <w:t xml:space="preserve">w przypadku przedsięwzięć </w:t>
      </w:r>
      <w:r w:rsidRPr="00FE629B">
        <w:rPr>
          <w:rFonts w:asciiTheme="minorHAnsi" w:hAnsiTheme="minorHAnsi" w:cstheme="minorHAnsi"/>
          <w:color w:val="000000"/>
          <w:sz w:val="22"/>
          <w:szCs w:val="22"/>
        </w:rPr>
        <w:t>określonych w ust. 7.5 pkt 1)</w:t>
      </w:r>
      <w:r w:rsidRPr="00FE629B">
        <w:rPr>
          <w:rFonts w:asciiTheme="minorHAnsi" w:hAnsiTheme="minorHAnsi" w:cstheme="minorHAnsi"/>
          <w:sz w:val="22"/>
          <w:szCs w:val="22"/>
        </w:rPr>
        <w:t>, zadań Krajowego Administratora Podziemnych Składowisk (KAPS) określonych w ustawie z dnia 9</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czerwca 2011 r. Pgg, przedsięwzięcie obejmuje zadania wskazane w ustawie pgg lub minister właściwy ds. środowiska powierzył wykonanie dodatkowego zadania w</w:t>
      </w:r>
      <w:r w:rsidR="005B09EA" w:rsidRPr="00FE629B">
        <w:rPr>
          <w:rFonts w:asciiTheme="minorHAnsi" w:hAnsiTheme="minorHAnsi" w:cstheme="minorHAnsi"/>
          <w:sz w:val="22"/>
          <w:szCs w:val="22"/>
        </w:rPr>
        <w:t> </w:t>
      </w:r>
      <w:r w:rsidRPr="00FE629B">
        <w:rPr>
          <w:rFonts w:asciiTheme="minorHAnsi" w:hAnsiTheme="minorHAnsi" w:cstheme="minorHAnsi"/>
          <w:sz w:val="22"/>
          <w:szCs w:val="22"/>
        </w:rPr>
        <w:t>zakresie KAPS, zgodnie z ustawą Pgg,</w:t>
      </w:r>
    </w:p>
    <w:p w14:paraId="26A87223" w14:textId="77777777" w:rsidR="00FC5D9A" w:rsidRPr="00FE629B" w:rsidRDefault="00FC5D9A" w:rsidP="005B09EA">
      <w:pPr>
        <w:numPr>
          <w:ilvl w:val="0"/>
          <w:numId w:val="3"/>
        </w:numPr>
        <w:tabs>
          <w:tab w:val="clear" w:pos="750"/>
        </w:tabs>
        <w:ind w:left="709" w:hanging="709"/>
        <w:jc w:val="both"/>
        <w:rPr>
          <w:rFonts w:asciiTheme="minorHAnsi" w:hAnsiTheme="minorHAnsi" w:cstheme="minorHAnsi"/>
          <w:sz w:val="22"/>
          <w:szCs w:val="22"/>
        </w:rPr>
      </w:pPr>
      <w:r w:rsidRPr="00FE629B">
        <w:rPr>
          <w:rFonts w:asciiTheme="minorHAnsi" w:hAnsiTheme="minorHAnsi" w:cstheme="minorHAnsi"/>
          <w:sz w:val="22"/>
          <w:szCs w:val="22"/>
        </w:rPr>
        <w:t>w przypadku przedsięwzięć, o których mowa w ust. 7.5 pkt 2</w:t>
      </w:r>
      <w:r w:rsidR="00EA434B" w:rsidRPr="00FE629B">
        <w:rPr>
          <w:rFonts w:asciiTheme="minorHAnsi" w:hAnsiTheme="minorHAnsi" w:cstheme="minorHAnsi"/>
          <w:sz w:val="22"/>
          <w:szCs w:val="22"/>
        </w:rPr>
        <w:t xml:space="preserve"> </w:t>
      </w:r>
      <w:r w:rsidRPr="00FE629B">
        <w:rPr>
          <w:rFonts w:asciiTheme="minorHAnsi" w:hAnsiTheme="minorHAnsi" w:cstheme="minorHAnsi"/>
          <w:sz w:val="22"/>
          <w:szCs w:val="22"/>
        </w:rPr>
        <w:t>):</w:t>
      </w:r>
    </w:p>
    <w:p w14:paraId="272F5E24" w14:textId="77777777" w:rsidR="00FC5D9A" w:rsidRPr="00FE629B" w:rsidRDefault="00FC5D9A" w:rsidP="00C72594">
      <w:pPr>
        <w:pStyle w:val="Akapitzlist"/>
        <w:numPr>
          <w:ilvl w:val="0"/>
          <w:numId w:val="41"/>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przedsięwzięcie posiada projekt robót geologicznych, zatwierdzony decyzją Marszałka (w zakresie wód termalnych) albo projekt robót geologicznych, zgłoszony zgodnie z ustawą Prawo geologiczne i górnicze staroście (w zakresie wierceń w celu wykorzystania ciepła ziemi),</w:t>
      </w:r>
    </w:p>
    <w:p w14:paraId="5F3B521C" w14:textId="77777777" w:rsidR="00FC5D9A" w:rsidRPr="00FE629B" w:rsidRDefault="00FC5D9A" w:rsidP="00C72594">
      <w:pPr>
        <w:pStyle w:val="Akapitzlist"/>
        <w:numPr>
          <w:ilvl w:val="0"/>
          <w:numId w:val="41"/>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przedsięwzięcie posiada Analizę uwarunkowań wykorzystania zasobów geotermalnych, zawierającą istotne elementy pozwalające na ocenę wniosku, zgodnie z kryteriami ustalonymi w załączniku do niniejszej części programu pn. Ocena analizy uwarunkowań wykorzystania zasobów geotermalnych, będącym listą sprawdzającą wykonanej Analizy. Ocena dokonywana jest na etapie oceny formalnej, w oparciu o kryteria dostępu i jeśli jej ostateczny wynik jest negatywny wniosek zostaje odrzucony,</w:t>
      </w:r>
    </w:p>
    <w:p w14:paraId="01C9DD82" w14:textId="1063DE1E" w:rsidR="00FC5D9A" w:rsidRPr="00FE629B" w:rsidRDefault="00FC5D9A" w:rsidP="00C72594">
      <w:pPr>
        <w:pStyle w:val="Akapitzlist"/>
        <w:numPr>
          <w:ilvl w:val="0"/>
          <w:numId w:val="41"/>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Wnioskodawca posiada tytuł prawny do gruntu</w:t>
      </w:r>
      <w:r w:rsidR="00784A0E" w:rsidRPr="00FE629B">
        <w:rPr>
          <w:rFonts w:asciiTheme="minorHAnsi" w:hAnsiTheme="minorHAnsi" w:cstheme="minorHAnsi"/>
          <w:sz w:val="22"/>
          <w:szCs w:val="22"/>
        </w:rPr>
        <w:t xml:space="preserve"> na okres realizacji przedsięwzięcia oraz okres jego trwałości</w:t>
      </w:r>
      <w:r w:rsidR="003A1B62">
        <w:rPr>
          <w:rFonts w:asciiTheme="minorHAnsi" w:hAnsiTheme="minorHAnsi" w:cstheme="minorHAnsi"/>
          <w:sz w:val="22"/>
          <w:szCs w:val="22"/>
        </w:rPr>
        <w:t>.</w:t>
      </w:r>
    </w:p>
    <w:p w14:paraId="0F0C294D" w14:textId="5BEDF813" w:rsidR="00784A0E" w:rsidRPr="00FE629B" w:rsidRDefault="00784A0E" w:rsidP="00784A0E">
      <w:pPr>
        <w:pStyle w:val="Akapitzlist"/>
        <w:numPr>
          <w:ilvl w:val="0"/>
          <w:numId w:val="3"/>
        </w:numPr>
        <w:tabs>
          <w:tab w:val="clear" w:pos="750"/>
          <w:tab w:val="num" w:pos="709"/>
        </w:tabs>
        <w:ind w:hanging="750"/>
        <w:rPr>
          <w:rFonts w:asciiTheme="minorHAnsi" w:hAnsiTheme="minorHAnsi" w:cstheme="minorHAnsi"/>
          <w:spacing w:val="-2"/>
          <w:sz w:val="22"/>
          <w:szCs w:val="22"/>
        </w:rPr>
      </w:pPr>
      <w:r w:rsidRPr="00FE629B">
        <w:rPr>
          <w:rFonts w:asciiTheme="minorHAnsi" w:hAnsiTheme="minorHAnsi" w:cstheme="minorHAnsi"/>
          <w:spacing w:val="-2"/>
          <w:sz w:val="22"/>
          <w:szCs w:val="22"/>
        </w:rPr>
        <w:t>w przypadku przedsięwzięć, o których mowa w ust. 7.5 pkt 3):</w:t>
      </w:r>
    </w:p>
    <w:p w14:paraId="60992CF0" w14:textId="77777777" w:rsidR="00784A0E" w:rsidRPr="00FE629B" w:rsidRDefault="00784A0E" w:rsidP="00FE629B">
      <w:pPr>
        <w:pStyle w:val="Akapitzlist"/>
        <w:numPr>
          <w:ilvl w:val="2"/>
          <w:numId w:val="35"/>
        </w:numPr>
        <w:ind w:left="1134" w:hanging="425"/>
        <w:jc w:val="both"/>
        <w:rPr>
          <w:rFonts w:asciiTheme="minorHAnsi" w:hAnsiTheme="minorHAnsi" w:cstheme="minorHAnsi"/>
          <w:sz w:val="22"/>
          <w:szCs w:val="22"/>
        </w:rPr>
      </w:pPr>
      <w:r w:rsidRPr="00FE629B">
        <w:rPr>
          <w:rFonts w:asciiTheme="minorHAnsi" w:hAnsiTheme="minorHAnsi" w:cstheme="minorHAnsi"/>
          <w:sz w:val="22"/>
          <w:szCs w:val="22"/>
        </w:rPr>
        <w:t>przedsięwzięcie posiada projekt robót geologicznych, zatwierdzony decyzją Marszałka,</w:t>
      </w:r>
    </w:p>
    <w:p w14:paraId="6F5DD557" w14:textId="5D44CF5D" w:rsidR="00784A0E" w:rsidRDefault="00AA7F03" w:rsidP="00FE629B">
      <w:pPr>
        <w:pStyle w:val="Akapitzlist"/>
        <w:ind w:left="1134" w:hanging="425"/>
        <w:jc w:val="both"/>
        <w:rPr>
          <w:rFonts w:asciiTheme="minorHAnsi" w:hAnsiTheme="minorHAnsi" w:cstheme="minorHAnsi"/>
          <w:sz w:val="22"/>
          <w:szCs w:val="22"/>
        </w:rPr>
      </w:pPr>
      <w:r w:rsidRPr="00FE629B">
        <w:rPr>
          <w:rFonts w:asciiTheme="minorHAnsi" w:hAnsiTheme="minorHAnsi" w:cstheme="minorHAnsi"/>
          <w:sz w:val="22"/>
          <w:szCs w:val="22"/>
        </w:rPr>
        <w:t>b</w:t>
      </w:r>
      <w:r w:rsidR="00784A0E" w:rsidRPr="00FE629B">
        <w:rPr>
          <w:rFonts w:asciiTheme="minorHAnsi" w:hAnsiTheme="minorHAnsi" w:cstheme="minorHAnsi"/>
          <w:sz w:val="22"/>
          <w:szCs w:val="22"/>
        </w:rPr>
        <w:t>)</w:t>
      </w:r>
      <w:r w:rsidR="00784A0E" w:rsidRPr="00FE629B">
        <w:rPr>
          <w:rFonts w:asciiTheme="minorHAnsi" w:hAnsiTheme="minorHAnsi" w:cstheme="minorHAnsi"/>
          <w:sz w:val="22"/>
          <w:szCs w:val="22"/>
        </w:rPr>
        <w:tab/>
        <w:t>Wnioskodawca posiada tytuł prawny do gruntu na okres realizacji przedsięwzięcia oraz okres jego trwałości,</w:t>
      </w:r>
    </w:p>
    <w:p w14:paraId="7CF2D5D8" w14:textId="5664E380" w:rsidR="00996A36" w:rsidRPr="00FE629B" w:rsidRDefault="00996A36" w:rsidP="00996A36">
      <w:pPr>
        <w:pStyle w:val="Akapitzlist"/>
        <w:numPr>
          <w:ilvl w:val="0"/>
          <w:numId w:val="3"/>
        </w:numPr>
        <w:ind w:hanging="750"/>
        <w:rPr>
          <w:rFonts w:asciiTheme="minorHAnsi" w:hAnsiTheme="minorHAnsi" w:cstheme="minorHAnsi"/>
          <w:spacing w:val="-2"/>
          <w:sz w:val="22"/>
          <w:szCs w:val="22"/>
        </w:rPr>
      </w:pPr>
      <w:r w:rsidRPr="00FE629B">
        <w:rPr>
          <w:rFonts w:asciiTheme="minorHAnsi" w:hAnsiTheme="minorHAnsi" w:cstheme="minorHAnsi"/>
          <w:spacing w:val="-2"/>
          <w:sz w:val="22"/>
          <w:szCs w:val="22"/>
        </w:rPr>
        <w:t xml:space="preserve">w przypadku przedsięwzięć, </w:t>
      </w:r>
      <w:r>
        <w:rPr>
          <w:rFonts w:asciiTheme="minorHAnsi" w:hAnsiTheme="minorHAnsi" w:cstheme="minorHAnsi"/>
          <w:spacing w:val="-2"/>
          <w:sz w:val="22"/>
          <w:szCs w:val="22"/>
        </w:rPr>
        <w:t xml:space="preserve">o których mowa w ust. 7.5 pkt </w:t>
      </w:r>
      <w:r w:rsidRPr="00FE629B">
        <w:rPr>
          <w:rFonts w:asciiTheme="minorHAnsi" w:hAnsiTheme="minorHAnsi" w:cstheme="minorHAnsi"/>
          <w:spacing w:val="-2"/>
          <w:sz w:val="22"/>
          <w:szCs w:val="22"/>
        </w:rPr>
        <w:t>4):</w:t>
      </w:r>
    </w:p>
    <w:p w14:paraId="06C8A2A2" w14:textId="6D35A1FA" w:rsidR="00996A36" w:rsidRDefault="004F6AB2" w:rsidP="00996A36">
      <w:pPr>
        <w:pStyle w:val="Tekstpodstawowy"/>
        <w:keepLines w:val="0"/>
        <w:numPr>
          <w:ilvl w:val="1"/>
          <w:numId w:val="5"/>
        </w:numPr>
        <w:ind w:left="1134" w:hanging="425"/>
        <w:rPr>
          <w:rFonts w:asciiTheme="minorHAnsi" w:hAnsiTheme="minorHAnsi" w:cstheme="minorHAnsi"/>
          <w:szCs w:val="22"/>
        </w:rPr>
      </w:pPr>
      <w:r w:rsidRPr="00FE629B">
        <w:rPr>
          <w:rFonts w:asciiTheme="minorHAnsi" w:hAnsiTheme="minorHAnsi" w:cstheme="minorHAnsi"/>
          <w:szCs w:val="22"/>
        </w:rPr>
        <w:t xml:space="preserve">przedsięwzięcie posiada projekt robót geologicznych, zatwierdzony </w:t>
      </w:r>
      <w:r>
        <w:rPr>
          <w:rFonts w:asciiTheme="minorHAnsi" w:hAnsiTheme="minorHAnsi" w:cstheme="minorHAnsi"/>
          <w:szCs w:val="22"/>
        </w:rPr>
        <w:t>stosowną decyzją,</w:t>
      </w:r>
    </w:p>
    <w:p w14:paraId="09F33045" w14:textId="49421266" w:rsidR="00996A36" w:rsidRDefault="00996A36" w:rsidP="00996A36">
      <w:pPr>
        <w:pStyle w:val="Tekstpodstawowy"/>
        <w:keepLines w:val="0"/>
        <w:numPr>
          <w:ilvl w:val="1"/>
          <w:numId w:val="5"/>
        </w:numPr>
        <w:ind w:left="1134" w:hanging="425"/>
        <w:rPr>
          <w:rFonts w:asciiTheme="minorHAnsi" w:hAnsiTheme="minorHAnsi" w:cstheme="minorHAnsi"/>
          <w:szCs w:val="22"/>
        </w:rPr>
      </w:pPr>
      <w:r w:rsidRPr="00FE629B">
        <w:rPr>
          <w:rFonts w:asciiTheme="minorHAnsi" w:hAnsiTheme="minorHAnsi" w:cstheme="minorHAnsi"/>
          <w:szCs w:val="22"/>
        </w:rPr>
        <w:t>Wnioskodawca posiada tytuł prawny do gruntu na okres realizacji przedsięwzięcia oraz okres jego trwałości,</w:t>
      </w:r>
    </w:p>
    <w:p w14:paraId="51728510" w14:textId="4A05B7CB" w:rsidR="00095BB9" w:rsidRPr="00095BB9" w:rsidRDefault="00095BB9" w:rsidP="00996A36">
      <w:pPr>
        <w:pStyle w:val="Tekstpodstawowy"/>
        <w:keepLines w:val="0"/>
        <w:numPr>
          <w:ilvl w:val="0"/>
          <w:numId w:val="3"/>
        </w:numPr>
        <w:tabs>
          <w:tab w:val="clear" w:pos="750"/>
          <w:tab w:val="num" w:pos="709"/>
        </w:tabs>
        <w:ind w:hanging="750"/>
        <w:rPr>
          <w:rFonts w:asciiTheme="minorHAnsi" w:hAnsiTheme="minorHAnsi" w:cstheme="minorHAnsi"/>
          <w:szCs w:val="22"/>
        </w:rPr>
      </w:pPr>
      <w:r w:rsidRPr="00095BB9">
        <w:rPr>
          <w:rFonts w:asciiTheme="minorHAnsi" w:hAnsiTheme="minorHAnsi" w:cstheme="minorHAnsi"/>
          <w:szCs w:val="22"/>
        </w:rPr>
        <w:t>dofinansowanie w formie dotacji:</w:t>
      </w:r>
    </w:p>
    <w:p w14:paraId="3167A08A" w14:textId="0F032F8B" w:rsidR="00095BB9" w:rsidRDefault="00095BB9" w:rsidP="00996A36">
      <w:pPr>
        <w:pStyle w:val="Akapitzlist"/>
        <w:numPr>
          <w:ilvl w:val="0"/>
          <w:numId w:val="44"/>
        </w:numPr>
        <w:autoSpaceDE w:val="0"/>
        <w:autoSpaceDN w:val="0"/>
        <w:adjustRightInd w:val="0"/>
        <w:ind w:left="1134" w:hanging="425"/>
        <w:contextualSpacing w:val="0"/>
        <w:jc w:val="both"/>
        <w:rPr>
          <w:rFonts w:asciiTheme="minorHAnsi" w:hAnsiTheme="minorHAnsi"/>
          <w:sz w:val="22"/>
          <w:szCs w:val="22"/>
        </w:rPr>
      </w:pPr>
      <w:r>
        <w:rPr>
          <w:rFonts w:asciiTheme="minorHAnsi" w:hAnsiTheme="minorHAnsi"/>
          <w:sz w:val="22"/>
          <w:szCs w:val="22"/>
        </w:rPr>
        <w:t xml:space="preserve">w przypadku, gdy jedno przedsięwzięcie jest realizowane zarówno w ramach umowy </w:t>
      </w:r>
      <w:r w:rsidR="009F45F2">
        <w:rPr>
          <w:rFonts w:asciiTheme="minorHAnsi" w:hAnsiTheme="minorHAnsi"/>
          <w:sz w:val="22"/>
          <w:szCs w:val="22"/>
        </w:rPr>
        <w:t xml:space="preserve">dotacji </w:t>
      </w:r>
      <w:r>
        <w:rPr>
          <w:rFonts w:asciiTheme="minorHAnsi" w:hAnsiTheme="minorHAnsi"/>
          <w:sz w:val="22"/>
          <w:szCs w:val="22"/>
        </w:rPr>
        <w:t xml:space="preserve">jak i </w:t>
      </w:r>
      <w:r w:rsidR="009F45F2">
        <w:rPr>
          <w:rFonts w:asciiTheme="minorHAnsi" w:hAnsiTheme="minorHAnsi"/>
          <w:sz w:val="22"/>
          <w:szCs w:val="22"/>
        </w:rPr>
        <w:t xml:space="preserve">pożyczki </w:t>
      </w:r>
      <w:r>
        <w:rPr>
          <w:rFonts w:asciiTheme="minorHAnsi" w:hAnsiTheme="minorHAnsi"/>
          <w:sz w:val="22"/>
          <w:szCs w:val="22"/>
        </w:rPr>
        <w:t xml:space="preserve">– dotacja może zostać wypłacona po wypłacie </w:t>
      </w:r>
      <w:r w:rsidR="009F45F2">
        <w:rPr>
          <w:rFonts w:asciiTheme="minorHAnsi" w:hAnsiTheme="minorHAnsi"/>
          <w:sz w:val="22"/>
          <w:szCs w:val="22"/>
        </w:rPr>
        <w:t xml:space="preserve">wszystkich </w:t>
      </w:r>
      <w:r>
        <w:rPr>
          <w:rFonts w:asciiTheme="minorHAnsi" w:hAnsiTheme="minorHAnsi"/>
          <w:sz w:val="22"/>
          <w:szCs w:val="22"/>
        </w:rPr>
        <w:t xml:space="preserve">transz </w:t>
      </w:r>
      <w:r w:rsidR="00365693">
        <w:rPr>
          <w:rFonts w:asciiTheme="minorHAnsi" w:hAnsiTheme="minorHAnsi"/>
          <w:sz w:val="22"/>
          <w:szCs w:val="22"/>
        </w:rPr>
        <w:t>pożyczki. Płatność końcowa, stanowiąca 5% kwoty udzielonego dofinansowania (w formie dotacji i pożyczki) jest dokonywana wyłącznie z dotacji</w:t>
      </w:r>
      <w:r>
        <w:rPr>
          <w:rFonts w:asciiTheme="minorHAnsi" w:hAnsiTheme="minorHAnsi"/>
          <w:sz w:val="22"/>
          <w:szCs w:val="22"/>
        </w:rPr>
        <w:t>,</w:t>
      </w:r>
    </w:p>
    <w:p w14:paraId="17D91BD1" w14:textId="6B6CCDDD" w:rsidR="00095BB9" w:rsidRPr="00FE629B" w:rsidRDefault="00095BB9" w:rsidP="00F10407">
      <w:pPr>
        <w:pStyle w:val="Akapitzlist"/>
        <w:numPr>
          <w:ilvl w:val="0"/>
          <w:numId w:val="44"/>
        </w:numPr>
        <w:tabs>
          <w:tab w:val="left" w:pos="1134"/>
        </w:tabs>
        <w:autoSpaceDE w:val="0"/>
        <w:autoSpaceDN w:val="0"/>
        <w:adjustRightInd w:val="0"/>
        <w:ind w:left="1134" w:hanging="425"/>
        <w:contextualSpacing w:val="0"/>
        <w:jc w:val="both"/>
        <w:rPr>
          <w:rFonts w:asciiTheme="minorHAnsi" w:hAnsiTheme="minorHAnsi" w:cstheme="minorHAnsi"/>
          <w:sz w:val="22"/>
          <w:szCs w:val="22"/>
        </w:rPr>
      </w:pPr>
      <w:r w:rsidRPr="00FE629B">
        <w:rPr>
          <w:rFonts w:asciiTheme="minorHAnsi" w:hAnsiTheme="minorHAnsi"/>
          <w:sz w:val="22"/>
          <w:szCs w:val="22"/>
        </w:rPr>
        <w:t>dotacja, o której mowa w ust. 7.2.</w:t>
      </w:r>
      <w:r w:rsidR="00365693">
        <w:rPr>
          <w:rFonts w:asciiTheme="minorHAnsi" w:hAnsiTheme="minorHAnsi"/>
          <w:sz w:val="22"/>
          <w:szCs w:val="22"/>
        </w:rPr>
        <w:t xml:space="preserve"> pkt </w:t>
      </w:r>
      <w:r w:rsidR="00365693" w:rsidRPr="00365693">
        <w:rPr>
          <w:rFonts w:asciiTheme="minorHAnsi" w:hAnsiTheme="minorHAnsi"/>
          <w:sz w:val="22"/>
          <w:szCs w:val="22"/>
        </w:rPr>
        <w:t>1</w:t>
      </w:r>
      <w:r w:rsidR="00365693">
        <w:rPr>
          <w:rFonts w:asciiTheme="minorHAnsi" w:hAnsiTheme="minorHAnsi"/>
          <w:sz w:val="22"/>
          <w:szCs w:val="22"/>
        </w:rPr>
        <w:t>)</w:t>
      </w:r>
      <w:r w:rsidRPr="00FE629B">
        <w:rPr>
          <w:rFonts w:asciiTheme="minorHAnsi" w:hAnsiTheme="minorHAnsi"/>
          <w:sz w:val="22"/>
          <w:szCs w:val="22"/>
        </w:rPr>
        <w:t xml:space="preserve"> </w:t>
      </w:r>
      <w:r w:rsidR="00365693">
        <w:rPr>
          <w:rFonts w:asciiTheme="minorHAnsi" w:hAnsiTheme="minorHAnsi"/>
          <w:sz w:val="22"/>
          <w:szCs w:val="22"/>
        </w:rPr>
        <w:t xml:space="preserve">lit. c i d </w:t>
      </w:r>
      <w:r w:rsidRPr="00FE629B">
        <w:rPr>
          <w:rFonts w:asciiTheme="minorHAnsi" w:hAnsiTheme="minorHAnsi"/>
          <w:sz w:val="22"/>
          <w:szCs w:val="22"/>
        </w:rPr>
        <w:t>jest udzielana łącznie z pożycz</w:t>
      </w:r>
      <w:r w:rsidR="00373E12">
        <w:rPr>
          <w:rFonts w:asciiTheme="minorHAnsi" w:hAnsiTheme="minorHAnsi"/>
          <w:sz w:val="22"/>
          <w:szCs w:val="22"/>
        </w:rPr>
        <w:t>k</w:t>
      </w:r>
      <w:r w:rsidRPr="00FE629B">
        <w:rPr>
          <w:rFonts w:asciiTheme="minorHAnsi" w:hAnsiTheme="minorHAnsi"/>
          <w:sz w:val="22"/>
          <w:szCs w:val="22"/>
        </w:rPr>
        <w:t xml:space="preserve">ą. Kwota </w:t>
      </w:r>
      <w:r w:rsidR="00365693">
        <w:rPr>
          <w:rFonts w:asciiTheme="minorHAnsi" w:hAnsiTheme="minorHAnsi"/>
          <w:sz w:val="22"/>
          <w:szCs w:val="22"/>
        </w:rPr>
        <w:t>pożyczki stanowi uzupełnienie kosztów kwali</w:t>
      </w:r>
      <w:r w:rsidR="00373E12">
        <w:rPr>
          <w:rFonts w:asciiTheme="minorHAnsi" w:hAnsiTheme="minorHAnsi"/>
          <w:sz w:val="22"/>
          <w:szCs w:val="22"/>
        </w:rPr>
        <w:t>fikowanych w montażu finansowym</w:t>
      </w:r>
      <w:r w:rsidR="00365693">
        <w:rPr>
          <w:rFonts w:asciiTheme="minorHAnsi" w:hAnsiTheme="minorHAnsi"/>
          <w:sz w:val="22"/>
          <w:szCs w:val="22"/>
        </w:rPr>
        <w:t>, nie mniejsze niż 30 % kosztów kwalifikowanych.</w:t>
      </w:r>
    </w:p>
    <w:p w14:paraId="7F0CF1EB" w14:textId="77777777" w:rsidR="00FC5D9A" w:rsidRPr="00FE629B" w:rsidRDefault="00FC5D9A" w:rsidP="00996A36">
      <w:pPr>
        <w:numPr>
          <w:ilvl w:val="0"/>
          <w:numId w:val="3"/>
        </w:numPr>
        <w:ind w:left="709" w:hanging="750"/>
        <w:jc w:val="both"/>
        <w:rPr>
          <w:rFonts w:asciiTheme="minorHAnsi" w:hAnsiTheme="minorHAnsi" w:cstheme="minorHAnsi"/>
          <w:sz w:val="22"/>
          <w:szCs w:val="22"/>
        </w:rPr>
      </w:pPr>
      <w:r w:rsidRPr="00FE629B">
        <w:rPr>
          <w:rFonts w:asciiTheme="minorHAnsi" w:hAnsiTheme="minorHAnsi" w:cstheme="minorHAnsi"/>
          <w:sz w:val="22"/>
          <w:szCs w:val="22"/>
        </w:rPr>
        <w:t>dofinansowanie w formie pożyczek:</w:t>
      </w:r>
    </w:p>
    <w:p w14:paraId="2EA9D223" w14:textId="77777777" w:rsidR="00FC5D9A" w:rsidRPr="00FE629B" w:rsidRDefault="00FC5D9A" w:rsidP="00B94DF1">
      <w:pPr>
        <w:numPr>
          <w:ilvl w:val="0"/>
          <w:numId w:val="14"/>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oprocentowanie pożyczki:</w:t>
      </w:r>
    </w:p>
    <w:p w14:paraId="43EF55AB" w14:textId="38DF839C" w:rsidR="00FC5D9A" w:rsidRDefault="00FC5D9A" w:rsidP="00B94DF1">
      <w:pPr>
        <w:pStyle w:val="Akapitzlist"/>
        <w:numPr>
          <w:ilvl w:val="1"/>
          <w:numId w:val="14"/>
        </w:numPr>
        <w:ind w:left="1418" w:hanging="425"/>
        <w:jc w:val="both"/>
        <w:rPr>
          <w:rFonts w:asciiTheme="minorHAnsi" w:hAnsiTheme="minorHAnsi" w:cstheme="minorHAnsi"/>
          <w:sz w:val="22"/>
          <w:szCs w:val="22"/>
        </w:rPr>
      </w:pPr>
      <w:r w:rsidRPr="00FE629B">
        <w:rPr>
          <w:rFonts w:asciiTheme="minorHAnsi" w:hAnsiTheme="minorHAnsi" w:cstheme="minorHAnsi"/>
          <w:sz w:val="22"/>
          <w:szCs w:val="22"/>
        </w:rPr>
        <w:t>na warunkach rynkowych (pożyczka nie stanowi pomocy publicznej): oprocentowanie na poziomie stopy referencyjnej ustalanej zgodnie z</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komunikatem Komisji Europejskiej w sprawie zmiany metody ustalania stóp referencyjnych i dyskontowych (Dz. Urz. UE C 14, 19.01.2008, str. 6)</w:t>
      </w:r>
      <w:r w:rsidR="0028764C">
        <w:rPr>
          <w:rFonts w:asciiTheme="minorHAnsi" w:hAnsiTheme="minorHAnsi" w:cstheme="minorHAnsi"/>
          <w:sz w:val="22"/>
          <w:szCs w:val="22"/>
        </w:rPr>
        <w:t>, z zastrzeżeniem:</w:t>
      </w:r>
    </w:p>
    <w:p w14:paraId="631432EE" w14:textId="77777777" w:rsidR="0028764C" w:rsidRPr="00E36D87" w:rsidRDefault="0028764C" w:rsidP="00FE629B">
      <w:pPr>
        <w:pStyle w:val="Default"/>
        <w:numPr>
          <w:ilvl w:val="0"/>
          <w:numId w:val="46"/>
        </w:numPr>
        <w:ind w:left="1843" w:hanging="425"/>
        <w:jc w:val="both"/>
        <w:rPr>
          <w:rFonts w:asciiTheme="minorHAnsi" w:hAnsiTheme="minorHAnsi" w:cstheme="minorHAnsi"/>
          <w:sz w:val="22"/>
          <w:szCs w:val="22"/>
        </w:rPr>
      </w:pPr>
      <w:r w:rsidRPr="00E36D87">
        <w:rPr>
          <w:rFonts w:asciiTheme="minorHAnsi" w:hAnsiTheme="minorHAnsi" w:cstheme="minorHAnsi"/>
          <w:sz w:val="22"/>
          <w:szCs w:val="22"/>
        </w:rPr>
        <w:lastRenderedPageBreak/>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podmiotu dominującego , o ile podmiot dominujący wobec wnioskodawcy udziela pełnej, bezwarunkowej i płatnej na pierwsze żądanie gwarancji spłaty pożyczki;</w:t>
      </w:r>
    </w:p>
    <w:p w14:paraId="18F2BABE" w14:textId="77777777" w:rsidR="0028764C" w:rsidRPr="00E36D87" w:rsidRDefault="0028764C" w:rsidP="00FE629B">
      <w:pPr>
        <w:pStyle w:val="Default"/>
        <w:numPr>
          <w:ilvl w:val="0"/>
          <w:numId w:val="46"/>
        </w:numPr>
        <w:ind w:left="1843" w:hanging="425"/>
        <w:jc w:val="both"/>
        <w:rPr>
          <w:rFonts w:asciiTheme="minorHAnsi" w:hAnsiTheme="minorHAnsi" w:cstheme="minorHAnsi"/>
          <w:sz w:val="22"/>
          <w:szCs w:val="22"/>
        </w:rPr>
      </w:pPr>
      <w:r w:rsidRPr="00E36D87">
        <w:rPr>
          <w:rFonts w:asciiTheme="minorHAnsi" w:hAnsiTheme="minorHAnsi" w:cstheme="minorHAnsi"/>
          <w:sz w:val="22"/>
          <w:szCs w:val="22"/>
        </w:rPr>
        <w:t>w sytuacji gdy wnioskodawca jest spółką nowoutworzoną lub specjalnego przeznaczenia, utworzoną przez kilka podmiotów, wówczas rating dla wnioskodawcy może być ustalony na poziomie o jedną kategorię niżej od zaokrąglonej w dół średniej ważonej ratingu poszczególnych wspólników, o ile wspólnicy łącznie udzielają pełnej, bezwarunkowej i płatnej na pierwsze żądanie gwarancji spłaty pożyczki;</w:t>
      </w:r>
    </w:p>
    <w:p w14:paraId="32F2BC2D" w14:textId="7D96799A" w:rsidR="0028764C" w:rsidRPr="00BB5286" w:rsidRDefault="0028764C" w:rsidP="00FE629B">
      <w:pPr>
        <w:pStyle w:val="Default"/>
        <w:numPr>
          <w:ilvl w:val="0"/>
          <w:numId w:val="46"/>
        </w:numPr>
        <w:ind w:left="1843" w:hanging="425"/>
        <w:jc w:val="both"/>
        <w:rPr>
          <w:rFonts w:asciiTheme="minorHAnsi" w:hAnsiTheme="minorHAnsi" w:cstheme="minorHAnsi"/>
          <w:sz w:val="22"/>
          <w:szCs w:val="22"/>
        </w:rPr>
      </w:pPr>
      <w:r w:rsidRPr="00E36D87">
        <w:rPr>
          <w:rFonts w:asciiTheme="minorHAnsi" w:hAnsiTheme="minorHAnsi" w:cstheme="minorHAnsi"/>
          <w:sz w:val="22"/>
          <w:szCs w:val="22"/>
        </w:rPr>
        <w:t xml:space="preserve">w przypadku ustalenia ratingu w sposób opisany w </w:t>
      </w:r>
      <w:proofErr w:type="spellStart"/>
      <w:r w:rsidR="003A1B62">
        <w:rPr>
          <w:rFonts w:asciiTheme="minorHAnsi" w:hAnsiTheme="minorHAnsi" w:cstheme="minorHAnsi"/>
          <w:sz w:val="22"/>
          <w:szCs w:val="22"/>
        </w:rPr>
        <w:t>tiret</w:t>
      </w:r>
      <w:proofErr w:type="spellEnd"/>
      <w:r w:rsidR="003A1B62">
        <w:rPr>
          <w:rFonts w:asciiTheme="minorHAnsi" w:hAnsiTheme="minorHAnsi" w:cstheme="minorHAnsi"/>
          <w:sz w:val="22"/>
          <w:szCs w:val="22"/>
        </w:rPr>
        <w:t xml:space="preserve"> 1 i 2</w:t>
      </w:r>
      <w:r w:rsidRPr="00E36D87">
        <w:rPr>
          <w:rFonts w:asciiTheme="minorHAnsi" w:hAnsiTheme="minorHAnsi" w:cstheme="minorHAnsi"/>
          <w:sz w:val="22"/>
          <w:szCs w:val="22"/>
        </w:rPr>
        <w:t>, może być wymagane dodatkowe zabezpieczenie zwrotu pożyczki.</w:t>
      </w:r>
    </w:p>
    <w:p w14:paraId="4FB64980" w14:textId="77777777" w:rsidR="00FC5D9A" w:rsidRPr="00FE629B" w:rsidRDefault="00FC5D9A" w:rsidP="00B94DF1">
      <w:pPr>
        <w:ind w:left="1418" w:hanging="425"/>
        <w:jc w:val="both"/>
        <w:rPr>
          <w:rFonts w:asciiTheme="minorHAnsi" w:hAnsiTheme="minorHAnsi" w:cstheme="minorHAnsi"/>
          <w:sz w:val="22"/>
          <w:szCs w:val="22"/>
        </w:rPr>
      </w:pPr>
      <w:r w:rsidRPr="00FE629B">
        <w:rPr>
          <w:rFonts w:asciiTheme="minorHAnsi" w:hAnsiTheme="minorHAnsi" w:cstheme="minorHAnsi"/>
          <w:sz w:val="22"/>
          <w:szCs w:val="22"/>
        </w:rPr>
        <w:t>lub</w:t>
      </w:r>
    </w:p>
    <w:p w14:paraId="1F2E9F2D" w14:textId="56150BC8" w:rsidR="00FC5D9A" w:rsidRPr="00FE629B" w:rsidRDefault="00FC5D9A" w:rsidP="00B94DF1">
      <w:pPr>
        <w:pStyle w:val="Akapitzlist"/>
        <w:numPr>
          <w:ilvl w:val="1"/>
          <w:numId w:val="14"/>
        </w:numPr>
        <w:ind w:left="1418" w:hanging="425"/>
        <w:jc w:val="both"/>
        <w:rPr>
          <w:rFonts w:asciiTheme="minorHAnsi" w:hAnsiTheme="minorHAnsi" w:cstheme="minorHAnsi"/>
          <w:sz w:val="22"/>
          <w:szCs w:val="22"/>
        </w:rPr>
      </w:pPr>
      <w:r w:rsidRPr="00FE629B">
        <w:rPr>
          <w:rFonts w:asciiTheme="minorHAnsi" w:hAnsiTheme="minorHAnsi" w:cstheme="minorHAnsi"/>
          <w:sz w:val="22"/>
          <w:szCs w:val="22"/>
        </w:rPr>
        <w:t>na warunkach preferencyjnych: oprocentowanie WIBOR 3M</w:t>
      </w:r>
      <w:r w:rsidR="00373E12">
        <w:rPr>
          <w:rFonts w:asciiTheme="minorHAnsi" w:hAnsiTheme="minorHAnsi" w:cstheme="minorHAnsi"/>
          <w:sz w:val="22"/>
          <w:szCs w:val="22"/>
        </w:rPr>
        <w:t xml:space="preserve">, </w:t>
      </w:r>
      <w:r w:rsidR="00095BB9">
        <w:rPr>
          <w:rFonts w:asciiTheme="minorHAnsi" w:hAnsiTheme="minorHAnsi" w:cstheme="minorHAnsi"/>
          <w:sz w:val="22"/>
          <w:szCs w:val="22"/>
        </w:rPr>
        <w:t>lecz</w:t>
      </w:r>
      <w:r w:rsidRPr="00FE629B">
        <w:rPr>
          <w:rFonts w:asciiTheme="minorHAnsi" w:hAnsiTheme="minorHAnsi" w:cstheme="minorHAnsi"/>
          <w:sz w:val="22"/>
          <w:szCs w:val="22"/>
        </w:rPr>
        <w:t xml:space="preserve"> nie mniej niż 2% w skali roku.</w:t>
      </w:r>
    </w:p>
    <w:p w14:paraId="5A9D357F" w14:textId="20281676" w:rsidR="00FC5D9A" w:rsidRPr="00FE629B" w:rsidRDefault="00026BD0" w:rsidP="00B94DF1">
      <w:pPr>
        <w:numPr>
          <w:ilvl w:val="0"/>
          <w:numId w:val="14"/>
        </w:numPr>
        <w:ind w:left="1134" w:hanging="426"/>
        <w:jc w:val="both"/>
        <w:rPr>
          <w:rFonts w:asciiTheme="minorHAnsi" w:hAnsiTheme="minorHAnsi" w:cstheme="minorHAnsi"/>
          <w:sz w:val="22"/>
          <w:szCs w:val="22"/>
        </w:rPr>
      </w:pPr>
      <w:r>
        <w:rPr>
          <w:rFonts w:asciiTheme="minorHAnsi" w:hAnsiTheme="minorHAnsi" w:cstheme="minorHAnsi"/>
          <w:sz w:val="22"/>
          <w:szCs w:val="22"/>
        </w:rPr>
        <w:t>o</w:t>
      </w:r>
      <w:r w:rsidRPr="00FE629B">
        <w:rPr>
          <w:rFonts w:asciiTheme="minorHAnsi" w:hAnsiTheme="minorHAnsi" w:cstheme="minorHAnsi"/>
          <w:sz w:val="22"/>
          <w:szCs w:val="22"/>
        </w:rPr>
        <w:t xml:space="preserve">dsetki </w:t>
      </w:r>
      <w:r w:rsidR="00FC5D9A" w:rsidRPr="00FE629B">
        <w:rPr>
          <w:rFonts w:asciiTheme="minorHAnsi" w:hAnsiTheme="minorHAnsi" w:cstheme="minorHAnsi"/>
          <w:sz w:val="22"/>
          <w:szCs w:val="22"/>
        </w:rPr>
        <w:t>z tytułu oprocentowania spłacane są na bieżąco w okresach kwartalnych. Pierwsza spłata na koniec kwartału kalendarzowego, następującego po kwartale, w którym wypłacono pierwszą transzę środków,</w:t>
      </w:r>
    </w:p>
    <w:p w14:paraId="5C1A3329" w14:textId="77777777" w:rsidR="00FC5D9A" w:rsidRPr="00FE629B" w:rsidRDefault="00FC5D9A" w:rsidP="00B94DF1">
      <w:pPr>
        <w:numPr>
          <w:ilvl w:val="0"/>
          <w:numId w:val="14"/>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okres finansowania: pożyczka może być udzielona na okres nie dłuższy niż 15 lat. Okres finansowania jest liczony od daty planowanej wypłaty pierwszej transzy pożyczki do daty planowanej spłaty ostatniej raty kapitałowej,</w:t>
      </w:r>
    </w:p>
    <w:p w14:paraId="7429868E" w14:textId="77777777" w:rsidR="00FC5D9A" w:rsidRPr="00FE629B" w:rsidRDefault="00FC5D9A" w:rsidP="00B94DF1">
      <w:pPr>
        <w:numPr>
          <w:ilvl w:val="0"/>
          <w:numId w:val="14"/>
        </w:numPr>
        <w:ind w:left="1134" w:hanging="426"/>
        <w:jc w:val="both"/>
        <w:rPr>
          <w:rFonts w:asciiTheme="minorHAnsi" w:hAnsiTheme="minorHAnsi" w:cstheme="minorHAnsi"/>
          <w:sz w:val="22"/>
          <w:szCs w:val="22"/>
        </w:rPr>
      </w:pPr>
      <w:r w:rsidRPr="00FE629B">
        <w:rPr>
          <w:rFonts w:asciiTheme="minorHAnsi" w:hAnsiTheme="minorHAnsi" w:cstheme="minorHAnsi"/>
          <w:sz w:val="22"/>
          <w:szCs w:val="22"/>
        </w:rPr>
        <w:t xml:space="preserve">okres karencji: przy udzielaniu pożyczki może być stosowana karencja w spłacie rat kapitałowych liczona od daty wypłaty ostatniej transzy pożyczki do daty spłaty pierwszej raty kapitałowej, lecz nie dłuższa niż 6 miesięcy od daty zakończenia realizacji przedsięwzięcia, </w:t>
      </w:r>
    </w:p>
    <w:p w14:paraId="781BED8B" w14:textId="08DD56AE" w:rsidR="00FC5D9A" w:rsidRPr="00FE629B" w:rsidRDefault="00FC5D9A" w:rsidP="00B94DF1">
      <w:pPr>
        <w:numPr>
          <w:ilvl w:val="0"/>
          <w:numId w:val="14"/>
        </w:numPr>
        <w:ind w:left="1134" w:hanging="426"/>
        <w:jc w:val="both"/>
        <w:textAlignment w:val="top"/>
        <w:rPr>
          <w:rFonts w:asciiTheme="minorHAnsi" w:hAnsiTheme="minorHAnsi" w:cstheme="minorHAnsi"/>
          <w:sz w:val="22"/>
          <w:szCs w:val="22"/>
        </w:rPr>
      </w:pPr>
      <w:r w:rsidRPr="00FE629B">
        <w:rPr>
          <w:rFonts w:asciiTheme="minorHAnsi" w:hAnsiTheme="minorHAnsi" w:cstheme="minorHAnsi"/>
          <w:sz w:val="22"/>
          <w:szCs w:val="22"/>
        </w:rPr>
        <w:t>wypłata transz pożyczki może nastąpić wyłącznie w formie refundacji</w:t>
      </w:r>
      <w:r w:rsidR="00095BB9">
        <w:rPr>
          <w:rFonts w:asciiTheme="minorHAnsi" w:hAnsiTheme="minorHAnsi" w:cstheme="minorHAnsi"/>
          <w:sz w:val="22"/>
          <w:szCs w:val="22"/>
        </w:rPr>
        <w:t>,</w:t>
      </w:r>
    </w:p>
    <w:p w14:paraId="6274E65B" w14:textId="77777777" w:rsidR="00095BB9" w:rsidRDefault="00095BB9" w:rsidP="00095BB9">
      <w:pPr>
        <w:numPr>
          <w:ilvl w:val="0"/>
          <w:numId w:val="14"/>
        </w:numPr>
        <w:jc w:val="both"/>
        <w:rPr>
          <w:rFonts w:asciiTheme="minorHAnsi" w:hAnsiTheme="minorHAnsi" w:cstheme="minorHAnsi"/>
          <w:sz w:val="22"/>
          <w:szCs w:val="22"/>
        </w:rPr>
      </w:pPr>
      <w:r w:rsidRPr="00D36003">
        <w:rPr>
          <w:rFonts w:asciiTheme="minorHAnsi" w:hAnsiTheme="minorHAnsi" w:cstheme="minorHAnsi"/>
          <w:sz w:val="22"/>
          <w:szCs w:val="22"/>
        </w:rPr>
        <w:t>pożyczka może być częściowo umorzona na warunkach określonych w</w:t>
      </w:r>
      <w:r>
        <w:rPr>
          <w:rFonts w:asciiTheme="minorHAnsi" w:hAnsiTheme="minorHAnsi" w:cstheme="minorHAnsi"/>
          <w:sz w:val="22"/>
          <w:szCs w:val="22"/>
        </w:rPr>
        <w:t xml:space="preserve"> </w:t>
      </w:r>
      <w:r w:rsidRPr="00D36003">
        <w:rPr>
          <w:rFonts w:asciiTheme="minorHAnsi" w:hAnsiTheme="minorHAnsi" w:cstheme="minorHAnsi"/>
          <w:sz w:val="22"/>
          <w:szCs w:val="22"/>
        </w:rPr>
        <w:t>Zasadach udzielania dofinansowania ze środków Narodowego Funduszu Ochrony</w:t>
      </w:r>
      <w:r>
        <w:rPr>
          <w:rFonts w:asciiTheme="minorHAnsi" w:hAnsiTheme="minorHAnsi" w:cstheme="minorHAnsi"/>
          <w:sz w:val="22"/>
          <w:szCs w:val="22"/>
        </w:rPr>
        <w:t xml:space="preserve"> Środowiska i Gospodarki Wodnej,</w:t>
      </w:r>
    </w:p>
    <w:p w14:paraId="39B60A73" w14:textId="3CF277BB" w:rsidR="00095BB9" w:rsidRPr="00FE629B" w:rsidRDefault="00095BB9" w:rsidP="00095BB9">
      <w:pPr>
        <w:pStyle w:val="Akapitzlist"/>
        <w:numPr>
          <w:ilvl w:val="0"/>
          <w:numId w:val="14"/>
        </w:numPr>
        <w:autoSpaceDE w:val="0"/>
        <w:autoSpaceDN w:val="0"/>
        <w:adjustRightInd w:val="0"/>
        <w:contextualSpacing w:val="0"/>
        <w:jc w:val="both"/>
        <w:rPr>
          <w:rFonts w:asciiTheme="minorHAnsi" w:hAnsiTheme="minorHAnsi"/>
          <w:sz w:val="22"/>
          <w:szCs w:val="22"/>
        </w:rPr>
      </w:pPr>
      <w:r w:rsidRPr="00EC0C54">
        <w:rPr>
          <w:rFonts w:asciiTheme="minorHAnsi" w:hAnsiTheme="minorHAnsi"/>
          <w:sz w:val="22"/>
          <w:szCs w:val="22"/>
        </w:rPr>
        <w:t>nie podlega umorzeniu pożyczka udzielona na warunkach rynkowych</w:t>
      </w:r>
      <w:r>
        <w:rPr>
          <w:rFonts w:asciiTheme="minorHAnsi" w:hAnsiTheme="minorHAnsi"/>
          <w:sz w:val="22"/>
          <w:szCs w:val="22"/>
        </w:rPr>
        <w:t xml:space="preserve"> oraz pożyczka na </w:t>
      </w:r>
      <w:r w:rsidRPr="00FE629B">
        <w:rPr>
          <w:rFonts w:asciiTheme="minorHAnsi" w:hAnsiTheme="minorHAnsi"/>
          <w:sz w:val="22"/>
          <w:szCs w:val="22"/>
        </w:rPr>
        <w:t>przedsięwzięcie, na które udzielono również dotacji ze środków NFOŚiGW.</w:t>
      </w:r>
    </w:p>
    <w:p w14:paraId="15C26E1E" w14:textId="43409617" w:rsidR="00FC5D9A" w:rsidRPr="00FE629B" w:rsidRDefault="00FC5D9A" w:rsidP="00996A36">
      <w:pPr>
        <w:pStyle w:val="Tekstpodstawowy"/>
        <w:keepLines w:val="0"/>
        <w:numPr>
          <w:ilvl w:val="0"/>
          <w:numId w:val="3"/>
        </w:numPr>
        <w:tabs>
          <w:tab w:val="left" w:pos="-709"/>
        </w:tabs>
        <w:ind w:left="709" w:hanging="709"/>
        <w:rPr>
          <w:rFonts w:asciiTheme="minorHAnsi" w:hAnsiTheme="minorHAnsi" w:cstheme="minorHAnsi"/>
          <w:szCs w:val="22"/>
        </w:rPr>
      </w:pPr>
      <w:r w:rsidRPr="00FE629B">
        <w:rPr>
          <w:rFonts w:asciiTheme="minorHAnsi" w:hAnsiTheme="minorHAnsi" w:cstheme="minorHAnsi"/>
          <w:szCs w:val="22"/>
        </w:rPr>
        <w:t>sposób przekazywania środków państwowym jednostkom budżetowym określa rozporządzenie Rady Ministrów w sprawie gospodarki finansowej Narodowego Funduszu Ochrony Środowiska i Gospodarki Wodnej i wojewódzkich funduszy ochrony środowiska i gospodarki wodnej, a w zakresie tam nieuregulowanym, stosuje się odpowiednio Zasady udzielania dofinansowania ze środków Narodowego Funduszu Ochrony Środowiska i Gospodarki Wodnej, z wyłączeniem § 2 ust. 3 pkt 1 oraz kryteria wyboru przedsięwzięć finansowanych ze środków Narodowego Funduszu Ochrony Środowiska i Gospodarki Wodnej.</w:t>
      </w:r>
    </w:p>
    <w:p w14:paraId="5F0740E0" w14:textId="77777777" w:rsidR="00FC5D9A" w:rsidRPr="00FE629B" w:rsidRDefault="00FC5D9A" w:rsidP="00B105C6">
      <w:pPr>
        <w:pStyle w:val="Tekstpodstawowy"/>
        <w:keepLines w:val="0"/>
        <w:tabs>
          <w:tab w:val="left" w:pos="-709"/>
        </w:tabs>
        <w:rPr>
          <w:rFonts w:asciiTheme="minorHAnsi" w:hAnsiTheme="minorHAnsi" w:cstheme="minorHAnsi"/>
          <w:szCs w:val="22"/>
          <w:highlight w:val="cyan"/>
        </w:rPr>
      </w:pPr>
    </w:p>
    <w:p w14:paraId="3450B242" w14:textId="77777777" w:rsidR="00FC5D9A" w:rsidRPr="00FE629B" w:rsidRDefault="00FC5D9A" w:rsidP="00B94DF1">
      <w:pPr>
        <w:autoSpaceDE w:val="0"/>
        <w:autoSpaceDN w:val="0"/>
        <w:adjustRightInd w:val="0"/>
        <w:spacing w:before="120" w:after="12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7.4</w:t>
      </w:r>
      <w:r w:rsidRPr="00FE629B">
        <w:rPr>
          <w:rFonts w:asciiTheme="minorHAnsi" w:hAnsiTheme="minorHAnsi" w:cstheme="minorHAnsi"/>
          <w:b/>
          <w:color w:val="000000"/>
          <w:sz w:val="22"/>
          <w:szCs w:val="22"/>
        </w:rPr>
        <w:tab/>
        <w:t xml:space="preserve">Beneficjenci </w:t>
      </w:r>
    </w:p>
    <w:p w14:paraId="16D36280" w14:textId="77777777" w:rsidR="00FC5D9A" w:rsidRPr="00FE629B" w:rsidRDefault="00FC5D9A" w:rsidP="00B94DF1">
      <w:pPr>
        <w:autoSpaceDE w:val="0"/>
        <w:autoSpaceDN w:val="0"/>
        <w:adjustRightInd w:val="0"/>
        <w:ind w:left="709" w:hanging="709"/>
        <w:jc w:val="both"/>
        <w:rPr>
          <w:rFonts w:asciiTheme="minorHAnsi" w:hAnsiTheme="minorHAnsi" w:cstheme="minorHAnsi"/>
          <w:color w:val="000000"/>
          <w:sz w:val="22"/>
          <w:szCs w:val="22"/>
        </w:rPr>
      </w:pPr>
      <w:r w:rsidRPr="00FE629B">
        <w:rPr>
          <w:rFonts w:asciiTheme="minorHAnsi" w:hAnsiTheme="minorHAnsi" w:cstheme="minorHAnsi"/>
          <w:color w:val="000000"/>
          <w:sz w:val="22"/>
          <w:szCs w:val="22"/>
        </w:rPr>
        <w:t>1)</w:t>
      </w:r>
      <w:r w:rsidRPr="00FE629B">
        <w:rPr>
          <w:rFonts w:asciiTheme="minorHAnsi" w:hAnsiTheme="minorHAnsi" w:cstheme="minorHAnsi"/>
          <w:color w:val="000000"/>
          <w:sz w:val="22"/>
          <w:szCs w:val="22"/>
        </w:rPr>
        <w:tab/>
        <w:t>dotacja:</w:t>
      </w:r>
    </w:p>
    <w:p w14:paraId="467677C8" w14:textId="39731A90" w:rsidR="00FC5D9A" w:rsidRPr="00FE629B" w:rsidRDefault="00FC5D9A" w:rsidP="00B94DF1">
      <w:pPr>
        <w:autoSpaceDE w:val="0"/>
        <w:autoSpaceDN w:val="0"/>
        <w:adjustRightInd w:val="0"/>
        <w:ind w:left="1134" w:hanging="426"/>
        <w:rPr>
          <w:rFonts w:asciiTheme="minorHAnsi" w:hAnsiTheme="minorHAnsi" w:cstheme="minorHAnsi"/>
          <w:color w:val="000000"/>
          <w:sz w:val="22"/>
          <w:szCs w:val="22"/>
        </w:rPr>
      </w:pPr>
      <w:r w:rsidRPr="00FE629B">
        <w:rPr>
          <w:rFonts w:asciiTheme="minorHAnsi" w:hAnsiTheme="minorHAnsi" w:cstheme="minorHAnsi"/>
          <w:color w:val="000000"/>
          <w:sz w:val="22"/>
          <w:szCs w:val="22"/>
        </w:rPr>
        <w:t>a)</w:t>
      </w:r>
      <w:r w:rsidRPr="00FE629B">
        <w:rPr>
          <w:rFonts w:asciiTheme="minorHAnsi" w:hAnsiTheme="minorHAnsi" w:cstheme="minorHAnsi"/>
          <w:color w:val="000000"/>
          <w:sz w:val="22"/>
          <w:szCs w:val="22"/>
        </w:rPr>
        <w:tab/>
      </w:r>
      <w:r w:rsidR="00FE629B">
        <w:rPr>
          <w:rFonts w:asciiTheme="minorHAnsi" w:hAnsiTheme="minorHAnsi" w:cstheme="minorHAnsi"/>
          <w:color w:val="000000"/>
          <w:sz w:val="22"/>
          <w:szCs w:val="22"/>
        </w:rPr>
        <w:t>d</w:t>
      </w:r>
      <w:r w:rsidRPr="00FE629B">
        <w:rPr>
          <w:rFonts w:asciiTheme="minorHAnsi" w:hAnsiTheme="minorHAnsi" w:cstheme="minorHAnsi"/>
          <w:color w:val="000000"/>
          <w:sz w:val="22"/>
          <w:szCs w:val="22"/>
        </w:rPr>
        <w:t>la przedsięwzięć określonych w ust. 7.5 pkt 1):</w:t>
      </w:r>
    </w:p>
    <w:p w14:paraId="49DDFEBC" w14:textId="77777777" w:rsidR="00FC5D9A" w:rsidRPr="00FE629B" w:rsidRDefault="00FC5D9A" w:rsidP="00B94DF1">
      <w:pPr>
        <w:autoSpaceDE w:val="0"/>
        <w:autoSpaceDN w:val="0"/>
        <w:adjustRightInd w:val="0"/>
        <w:ind w:left="1134"/>
        <w:rPr>
          <w:rFonts w:asciiTheme="minorHAnsi" w:hAnsiTheme="minorHAnsi" w:cstheme="minorHAnsi"/>
          <w:color w:val="000000"/>
          <w:sz w:val="22"/>
          <w:szCs w:val="22"/>
        </w:rPr>
      </w:pPr>
      <w:r w:rsidRPr="00FE629B">
        <w:rPr>
          <w:rFonts w:asciiTheme="minorHAnsi" w:hAnsiTheme="minorHAnsi" w:cstheme="minorHAnsi"/>
          <w:color w:val="000000"/>
          <w:sz w:val="22"/>
          <w:szCs w:val="22"/>
        </w:rPr>
        <w:t>Państwowy Instytut Geologiczny – Państwowy Instytut Badawczy</w:t>
      </w:r>
    </w:p>
    <w:p w14:paraId="64824C49" w14:textId="0ABAA0E0" w:rsidR="00FC5D9A" w:rsidRPr="00FE629B" w:rsidRDefault="00FC5D9A" w:rsidP="00B94DF1">
      <w:pPr>
        <w:autoSpaceDE w:val="0"/>
        <w:autoSpaceDN w:val="0"/>
        <w:adjustRightInd w:val="0"/>
        <w:ind w:left="1134" w:hanging="426"/>
        <w:rPr>
          <w:rFonts w:asciiTheme="minorHAnsi" w:hAnsiTheme="minorHAnsi" w:cstheme="minorHAnsi"/>
          <w:color w:val="000000"/>
          <w:sz w:val="22"/>
          <w:szCs w:val="22"/>
        </w:rPr>
      </w:pPr>
      <w:r w:rsidRPr="00FE629B">
        <w:rPr>
          <w:rFonts w:asciiTheme="minorHAnsi" w:hAnsiTheme="minorHAnsi" w:cstheme="minorHAnsi"/>
          <w:color w:val="000000"/>
          <w:sz w:val="22"/>
          <w:szCs w:val="22"/>
        </w:rPr>
        <w:t>b)</w:t>
      </w:r>
      <w:r w:rsidRPr="00FE629B">
        <w:rPr>
          <w:rFonts w:asciiTheme="minorHAnsi" w:hAnsiTheme="minorHAnsi" w:cstheme="minorHAnsi"/>
          <w:color w:val="000000"/>
          <w:sz w:val="22"/>
          <w:szCs w:val="22"/>
        </w:rPr>
        <w:tab/>
      </w:r>
      <w:r w:rsidR="00FE629B">
        <w:rPr>
          <w:rFonts w:asciiTheme="minorHAnsi" w:hAnsiTheme="minorHAnsi" w:cstheme="minorHAnsi"/>
          <w:color w:val="000000"/>
          <w:sz w:val="22"/>
          <w:szCs w:val="22"/>
        </w:rPr>
        <w:t>d</w:t>
      </w:r>
      <w:r w:rsidRPr="00FE629B">
        <w:rPr>
          <w:rFonts w:asciiTheme="minorHAnsi" w:hAnsiTheme="minorHAnsi" w:cstheme="minorHAnsi"/>
          <w:color w:val="000000"/>
          <w:sz w:val="22"/>
          <w:szCs w:val="22"/>
        </w:rPr>
        <w:t>la przedsięwzięć określonych w ust. 7.5 pkt 2):</w:t>
      </w:r>
    </w:p>
    <w:p w14:paraId="75B56C20" w14:textId="6262E6AA" w:rsidR="00FC5D9A" w:rsidRDefault="00825C80" w:rsidP="00B94DF1">
      <w:pPr>
        <w:pStyle w:val="Akapitzlist"/>
        <w:shd w:val="clear" w:color="auto" w:fill="FFFFFF"/>
        <w:tabs>
          <w:tab w:val="left" w:pos="-851"/>
        </w:tabs>
        <w:ind w:left="1134"/>
        <w:jc w:val="both"/>
        <w:rPr>
          <w:rFonts w:asciiTheme="minorHAnsi" w:hAnsiTheme="minorHAnsi" w:cstheme="minorHAnsi"/>
          <w:sz w:val="22"/>
          <w:szCs w:val="22"/>
        </w:rPr>
      </w:pPr>
      <w:r>
        <w:rPr>
          <w:rFonts w:asciiTheme="minorHAnsi" w:hAnsiTheme="minorHAnsi" w:cstheme="minorHAnsi"/>
          <w:sz w:val="22"/>
          <w:szCs w:val="22"/>
        </w:rPr>
        <w:t xml:space="preserve">jednostki samorządu terytorialnego </w:t>
      </w:r>
    </w:p>
    <w:p w14:paraId="067B1AE2" w14:textId="0737E8B8" w:rsidR="00FC5D9A" w:rsidRPr="00FE629B" w:rsidRDefault="00FC5D9A" w:rsidP="00B94DF1">
      <w:pPr>
        <w:pStyle w:val="Akapitzlist"/>
        <w:shd w:val="clear" w:color="auto" w:fill="FFFFFF"/>
        <w:tabs>
          <w:tab w:val="left" w:pos="-851"/>
        </w:tabs>
        <w:ind w:left="709" w:hanging="709"/>
        <w:jc w:val="both"/>
        <w:rPr>
          <w:rFonts w:asciiTheme="minorHAnsi" w:hAnsiTheme="minorHAnsi" w:cstheme="minorHAnsi"/>
          <w:color w:val="000000"/>
          <w:sz w:val="22"/>
          <w:szCs w:val="22"/>
        </w:rPr>
      </w:pPr>
      <w:r w:rsidRPr="00FE629B">
        <w:rPr>
          <w:rFonts w:asciiTheme="minorHAnsi" w:hAnsiTheme="minorHAnsi" w:cstheme="minorHAnsi"/>
          <w:color w:val="000000"/>
          <w:sz w:val="22"/>
          <w:szCs w:val="22"/>
        </w:rPr>
        <w:t>2)</w:t>
      </w:r>
      <w:r w:rsidRPr="00FE629B">
        <w:rPr>
          <w:rFonts w:asciiTheme="minorHAnsi" w:hAnsiTheme="minorHAnsi" w:cstheme="minorHAnsi"/>
          <w:color w:val="000000"/>
          <w:sz w:val="22"/>
          <w:szCs w:val="22"/>
        </w:rPr>
        <w:tab/>
      </w:r>
      <w:r w:rsidR="00987071">
        <w:rPr>
          <w:rFonts w:asciiTheme="minorHAnsi" w:hAnsiTheme="minorHAnsi" w:cstheme="minorHAnsi"/>
          <w:color w:val="000000"/>
          <w:sz w:val="22"/>
          <w:szCs w:val="22"/>
        </w:rPr>
        <w:t xml:space="preserve">dotacja i </w:t>
      </w:r>
      <w:r w:rsidRPr="00FE629B">
        <w:rPr>
          <w:rFonts w:asciiTheme="minorHAnsi" w:hAnsiTheme="minorHAnsi" w:cstheme="minorHAnsi"/>
          <w:color w:val="000000"/>
          <w:sz w:val="22"/>
          <w:szCs w:val="22"/>
        </w:rPr>
        <w:t>pożyczka</w:t>
      </w:r>
      <w:r w:rsidR="00521EB2">
        <w:rPr>
          <w:rFonts w:asciiTheme="minorHAnsi" w:hAnsiTheme="minorHAnsi" w:cstheme="minorHAnsi"/>
          <w:color w:val="000000"/>
          <w:sz w:val="22"/>
          <w:szCs w:val="22"/>
        </w:rPr>
        <w:t xml:space="preserve"> </w:t>
      </w:r>
      <w:r w:rsidR="00521EB2">
        <w:rPr>
          <w:rFonts w:asciiTheme="minorHAnsi" w:hAnsiTheme="minorHAnsi" w:cstheme="minorHAnsi"/>
          <w:sz w:val="22"/>
          <w:szCs w:val="22"/>
        </w:rPr>
        <w:t>(instrument łączony)</w:t>
      </w:r>
      <w:r w:rsidR="00521EB2" w:rsidRPr="00D36003">
        <w:rPr>
          <w:rFonts w:asciiTheme="minorHAnsi" w:hAnsiTheme="minorHAnsi" w:cstheme="minorHAnsi"/>
          <w:sz w:val="22"/>
          <w:szCs w:val="22"/>
        </w:rPr>
        <w:t>:</w:t>
      </w:r>
    </w:p>
    <w:p w14:paraId="283D7D9D" w14:textId="51871EAC" w:rsidR="00D051B3" w:rsidRPr="00FE629B" w:rsidRDefault="00013D53" w:rsidP="00013D53">
      <w:pPr>
        <w:pStyle w:val="Akapitzlist"/>
        <w:shd w:val="clear" w:color="auto" w:fill="FFFFFF"/>
        <w:tabs>
          <w:tab w:val="left" w:pos="-851"/>
        </w:tabs>
        <w:ind w:left="1134" w:hanging="425"/>
        <w:jc w:val="both"/>
        <w:rPr>
          <w:rFonts w:asciiTheme="minorHAnsi" w:hAnsiTheme="minorHAnsi" w:cstheme="minorHAnsi"/>
          <w:sz w:val="22"/>
          <w:szCs w:val="22"/>
        </w:rPr>
      </w:pPr>
      <w:r w:rsidRPr="00FE629B">
        <w:rPr>
          <w:rFonts w:asciiTheme="minorHAnsi" w:hAnsiTheme="minorHAnsi" w:cstheme="minorHAnsi"/>
          <w:sz w:val="22"/>
          <w:szCs w:val="22"/>
        </w:rPr>
        <w:t>a)</w:t>
      </w:r>
      <w:r w:rsidRPr="00FE629B">
        <w:rPr>
          <w:rFonts w:asciiTheme="minorHAnsi" w:hAnsiTheme="minorHAnsi" w:cstheme="minorHAnsi"/>
          <w:sz w:val="22"/>
          <w:szCs w:val="22"/>
        </w:rPr>
        <w:tab/>
      </w:r>
      <w:r w:rsidR="00FE629B">
        <w:rPr>
          <w:rFonts w:asciiTheme="minorHAnsi" w:hAnsiTheme="minorHAnsi" w:cstheme="minorHAnsi"/>
          <w:color w:val="000000"/>
          <w:sz w:val="22"/>
          <w:szCs w:val="22"/>
        </w:rPr>
        <w:t>d</w:t>
      </w:r>
      <w:r w:rsidR="00D051B3" w:rsidRPr="003412AD">
        <w:rPr>
          <w:rFonts w:asciiTheme="minorHAnsi" w:hAnsiTheme="minorHAnsi" w:cstheme="minorHAnsi"/>
          <w:color w:val="000000"/>
          <w:sz w:val="22"/>
          <w:szCs w:val="22"/>
        </w:rPr>
        <w:t>la przedsięwzięć określonych w ust. 7.5 pkt 2)</w:t>
      </w:r>
    </w:p>
    <w:p w14:paraId="3BC3151C" w14:textId="31DA8C1A" w:rsidR="00FC5D9A" w:rsidRPr="00FE629B" w:rsidRDefault="00FC5D9A" w:rsidP="00FE629B">
      <w:pPr>
        <w:pStyle w:val="Akapitzlist"/>
        <w:shd w:val="clear" w:color="auto" w:fill="FFFFFF"/>
        <w:tabs>
          <w:tab w:val="left" w:pos="-851"/>
        </w:tabs>
        <w:ind w:left="1134"/>
        <w:jc w:val="both"/>
        <w:rPr>
          <w:rFonts w:asciiTheme="minorHAnsi" w:hAnsiTheme="minorHAnsi" w:cstheme="minorHAnsi"/>
          <w:sz w:val="22"/>
          <w:szCs w:val="22"/>
        </w:rPr>
      </w:pPr>
      <w:r w:rsidRPr="00FE629B">
        <w:rPr>
          <w:rFonts w:asciiTheme="minorHAnsi" w:hAnsiTheme="minorHAnsi" w:cstheme="minorHAnsi"/>
          <w:sz w:val="22"/>
          <w:szCs w:val="22"/>
        </w:rPr>
        <w:t xml:space="preserve">podmioty inne niż jednostki samorządu terytorialnego uprawnione do realizacji przedsięwzięć z zakresu rozpoznawania możliwości wykorzystania zasobów </w:t>
      </w:r>
      <w:r w:rsidRPr="00FE629B">
        <w:rPr>
          <w:rFonts w:asciiTheme="minorHAnsi" w:hAnsiTheme="minorHAnsi" w:cstheme="minorHAnsi"/>
          <w:sz w:val="22"/>
          <w:szCs w:val="22"/>
        </w:rPr>
        <w:lastRenderedPageBreak/>
        <w:t>geotermalnych, zgodnie z ustawą Prawo geologiczne i górnicze (czyli podmioty, które uzyskały decyzję zatwierdzającą projekt robót geologicznych, uprawniającą do</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realizacji przedsięwzięcia – dotyczy wierceń w celu poszukiwania wód termalnych lub podmioty, które zgłosiły projekt robót geologicznych odpowiedniemu organowi – dotyczy wierceń w celu wykorzystania ciepła ziemi)</w:t>
      </w:r>
      <w:r w:rsidR="00013D53" w:rsidRPr="00FE629B">
        <w:rPr>
          <w:rFonts w:asciiTheme="minorHAnsi" w:hAnsiTheme="minorHAnsi" w:cstheme="minorHAnsi"/>
          <w:sz w:val="22"/>
          <w:szCs w:val="22"/>
        </w:rPr>
        <w:t>;</w:t>
      </w:r>
    </w:p>
    <w:p w14:paraId="175F6A7F" w14:textId="4453E4EC" w:rsidR="004626CE" w:rsidRPr="00996A36" w:rsidRDefault="00013D53" w:rsidP="00FE629B">
      <w:pPr>
        <w:pStyle w:val="Akapitzlist"/>
        <w:shd w:val="clear" w:color="auto" w:fill="FFFFFF"/>
        <w:tabs>
          <w:tab w:val="left" w:pos="-851"/>
        </w:tabs>
        <w:ind w:left="1134" w:hanging="425"/>
        <w:jc w:val="both"/>
        <w:rPr>
          <w:rFonts w:asciiTheme="minorHAnsi" w:hAnsiTheme="minorHAnsi" w:cstheme="minorHAnsi"/>
          <w:sz w:val="22"/>
          <w:szCs w:val="22"/>
        </w:rPr>
      </w:pPr>
      <w:r w:rsidRPr="00996A36">
        <w:rPr>
          <w:rFonts w:asciiTheme="minorHAnsi" w:hAnsiTheme="minorHAnsi" w:cstheme="minorHAnsi"/>
          <w:sz w:val="22"/>
          <w:szCs w:val="22"/>
        </w:rPr>
        <w:t>b)</w:t>
      </w:r>
      <w:r w:rsidRPr="00996A36">
        <w:rPr>
          <w:rFonts w:asciiTheme="minorHAnsi" w:hAnsiTheme="minorHAnsi" w:cstheme="minorHAnsi"/>
          <w:sz w:val="22"/>
          <w:szCs w:val="22"/>
        </w:rPr>
        <w:tab/>
      </w:r>
      <w:r w:rsidR="00FE629B" w:rsidRPr="00996A36">
        <w:rPr>
          <w:rFonts w:asciiTheme="minorHAnsi" w:hAnsiTheme="minorHAnsi" w:cstheme="minorHAnsi"/>
          <w:color w:val="000000"/>
          <w:sz w:val="22"/>
          <w:szCs w:val="22"/>
        </w:rPr>
        <w:t>d</w:t>
      </w:r>
      <w:r w:rsidR="00D051B3" w:rsidRPr="00996A36">
        <w:rPr>
          <w:rFonts w:asciiTheme="minorHAnsi" w:hAnsiTheme="minorHAnsi" w:cstheme="minorHAnsi"/>
          <w:color w:val="000000"/>
          <w:sz w:val="22"/>
          <w:szCs w:val="22"/>
        </w:rPr>
        <w:t>la przedsięwzięć określonych w ust. 7.5 pkt 3)</w:t>
      </w:r>
    </w:p>
    <w:p w14:paraId="42853CF0" w14:textId="0C4B67DD" w:rsidR="004626CE" w:rsidRPr="00095BB9" w:rsidRDefault="004626CE" w:rsidP="00FE629B">
      <w:pPr>
        <w:shd w:val="clear" w:color="auto" w:fill="FFFFFF"/>
        <w:tabs>
          <w:tab w:val="left" w:pos="-851"/>
        </w:tabs>
        <w:ind w:left="1134"/>
        <w:jc w:val="both"/>
        <w:rPr>
          <w:rFonts w:asciiTheme="minorHAnsi" w:hAnsiTheme="minorHAnsi" w:cstheme="minorHAnsi"/>
          <w:sz w:val="22"/>
          <w:szCs w:val="22"/>
        </w:rPr>
      </w:pPr>
      <w:r w:rsidRPr="00996A36">
        <w:rPr>
          <w:rFonts w:asciiTheme="minorHAnsi" w:hAnsiTheme="minorHAnsi" w:cstheme="minorHAnsi"/>
          <w:sz w:val="22"/>
          <w:szCs w:val="22"/>
        </w:rPr>
        <w:t>przedsiębiorcy, tj. osoby fizyczne prowadzące działalność gospodarczą, spółki prawa handlowego;</w:t>
      </w:r>
    </w:p>
    <w:p w14:paraId="41A245D8" w14:textId="77777777" w:rsidR="00987071" w:rsidRPr="00D36003" w:rsidRDefault="00FC5D9A" w:rsidP="00FE629B">
      <w:pPr>
        <w:pStyle w:val="Akapitzlist"/>
        <w:shd w:val="clear" w:color="auto" w:fill="FFFFFF"/>
        <w:tabs>
          <w:tab w:val="left" w:pos="-851"/>
          <w:tab w:val="left" w:pos="709"/>
        </w:tabs>
        <w:ind w:left="0"/>
        <w:jc w:val="both"/>
        <w:rPr>
          <w:rFonts w:asciiTheme="minorHAnsi" w:hAnsiTheme="minorHAnsi" w:cstheme="minorHAnsi"/>
          <w:sz w:val="22"/>
          <w:szCs w:val="22"/>
        </w:rPr>
      </w:pPr>
      <w:r w:rsidRPr="00FE629B">
        <w:rPr>
          <w:rFonts w:asciiTheme="minorHAnsi" w:hAnsiTheme="minorHAnsi" w:cstheme="minorHAnsi"/>
          <w:sz w:val="22"/>
          <w:szCs w:val="22"/>
        </w:rPr>
        <w:t>3)</w:t>
      </w:r>
      <w:r w:rsidRPr="00FE629B">
        <w:rPr>
          <w:rFonts w:asciiTheme="minorHAnsi" w:hAnsiTheme="minorHAnsi" w:cstheme="minorHAnsi"/>
          <w:sz w:val="22"/>
          <w:szCs w:val="22"/>
        </w:rPr>
        <w:tab/>
      </w:r>
      <w:r w:rsidR="00987071">
        <w:rPr>
          <w:rFonts w:asciiTheme="minorHAnsi" w:hAnsiTheme="minorHAnsi" w:cstheme="minorHAnsi"/>
          <w:sz w:val="22"/>
          <w:szCs w:val="22"/>
        </w:rPr>
        <w:t>pożyczka</w:t>
      </w:r>
    </w:p>
    <w:p w14:paraId="2300B81E" w14:textId="21F635DE" w:rsidR="00D051B3" w:rsidRDefault="00FE629B" w:rsidP="00FE629B">
      <w:pPr>
        <w:pStyle w:val="Akapitzlist"/>
        <w:shd w:val="clear" w:color="auto" w:fill="FFFFFF"/>
        <w:tabs>
          <w:tab w:val="left" w:pos="-851"/>
        </w:tabs>
        <w:ind w:left="709"/>
        <w:jc w:val="both"/>
        <w:rPr>
          <w:rFonts w:asciiTheme="minorHAnsi" w:hAnsiTheme="minorHAnsi" w:cstheme="minorHAnsi"/>
          <w:sz w:val="22"/>
          <w:szCs w:val="22"/>
        </w:rPr>
      </w:pPr>
      <w:r>
        <w:rPr>
          <w:rFonts w:asciiTheme="minorHAnsi" w:hAnsiTheme="minorHAnsi" w:cstheme="minorHAnsi"/>
          <w:color w:val="000000"/>
          <w:sz w:val="22"/>
          <w:szCs w:val="22"/>
        </w:rPr>
        <w:t>d</w:t>
      </w:r>
      <w:r w:rsidR="00D051B3" w:rsidRPr="00E61B17">
        <w:rPr>
          <w:rFonts w:asciiTheme="minorHAnsi" w:hAnsiTheme="minorHAnsi" w:cstheme="minorHAnsi"/>
          <w:color w:val="000000"/>
          <w:sz w:val="22"/>
          <w:szCs w:val="22"/>
        </w:rPr>
        <w:t>la przedsięwz</w:t>
      </w:r>
      <w:r>
        <w:rPr>
          <w:rFonts w:asciiTheme="minorHAnsi" w:hAnsiTheme="minorHAnsi" w:cstheme="minorHAnsi"/>
          <w:color w:val="000000"/>
          <w:sz w:val="22"/>
          <w:szCs w:val="22"/>
        </w:rPr>
        <w:t>ięć określonych w ust. 7.5</w:t>
      </w:r>
    </w:p>
    <w:p w14:paraId="095E348E" w14:textId="55A5C089" w:rsidR="00987071" w:rsidRPr="003F7DB6" w:rsidRDefault="00987071" w:rsidP="00FE629B">
      <w:pPr>
        <w:pStyle w:val="Akapitzlist"/>
        <w:shd w:val="clear" w:color="auto" w:fill="FFFFFF"/>
        <w:tabs>
          <w:tab w:val="left" w:pos="-851"/>
        </w:tabs>
        <w:ind w:left="709"/>
        <w:jc w:val="both"/>
        <w:rPr>
          <w:rFonts w:asciiTheme="minorHAnsi" w:hAnsiTheme="minorHAnsi" w:cstheme="minorHAnsi"/>
          <w:sz w:val="22"/>
          <w:szCs w:val="22"/>
        </w:rPr>
      </w:pPr>
      <w:r>
        <w:rPr>
          <w:rFonts w:asciiTheme="minorHAnsi" w:hAnsiTheme="minorHAnsi" w:cstheme="minorHAnsi"/>
          <w:sz w:val="22"/>
          <w:szCs w:val="22"/>
        </w:rPr>
        <w:t>p</w:t>
      </w:r>
      <w:r w:rsidRPr="003F7DB6">
        <w:rPr>
          <w:rFonts w:asciiTheme="minorHAnsi" w:hAnsiTheme="minorHAnsi" w:cstheme="minorHAnsi"/>
          <w:sz w:val="22"/>
          <w:szCs w:val="22"/>
        </w:rPr>
        <w:t>rzedsiębiorcy</w:t>
      </w:r>
      <w:r>
        <w:rPr>
          <w:rFonts w:asciiTheme="minorHAnsi" w:hAnsiTheme="minorHAnsi" w:cstheme="minorHAnsi"/>
          <w:sz w:val="22"/>
          <w:szCs w:val="22"/>
        </w:rPr>
        <w:t xml:space="preserve">, tj. </w:t>
      </w:r>
      <w:r w:rsidRPr="003F7DB6">
        <w:rPr>
          <w:rFonts w:asciiTheme="minorHAnsi" w:hAnsiTheme="minorHAnsi" w:cstheme="minorHAnsi"/>
          <w:sz w:val="22"/>
          <w:szCs w:val="22"/>
        </w:rPr>
        <w:t>osoby fizyczne prowadzące działalność gospodarczą, spółki prawa handlowego;</w:t>
      </w:r>
    </w:p>
    <w:p w14:paraId="3CD499FA" w14:textId="77777777" w:rsidR="00FC5D9A" w:rsidRPr="00FE629B" w:rsidRDefault="00FC5D9A" w:rsidP="00FE629B">
      <w:pPr>
        <w:pStyle w:val="Akapitzlist"/>
        <w:numPr>
          <w:ilvl w:val="0"/>
          <w:numId w:val="40"/>
        </w:numPr>
        <w:shd w:val="clear" w:color="auto" w:fill="FFFFFF"/>
        <w:tabs>
          <w:tab w:val="left" w:pos="-851"/>
        </w:tabs>
        <w:ind w:left="709" w:hanging="709"/>
        <w:jc w:val="both"/>
        <w:rPr>
          <w:rFonts w:asciiTheme="minorHAnsi" w:hAnsiTheme="minorHAnsi" w:cstheme="minorHAnsi"/>
          <w:sz w:val="22"/>
          <w:szCs w:val="22"/>
        </w:rPr>
      </w:pPr>
      <w:r w:rsidRPr="00FE629B">
        <w:rPr>
          <w:rFonts w:asciiTheme="minorHAnsi" w:hAnsiTheme="minorHAnsi" w:cstheme="minorHAnsi"/>
          <w:sz w:val="22"/>
          <w:szCs w:val="22"/>
        </w:rPr>
        <w:t>przekazanie środków:</w:t>
      </w:r>
    </w:p>
    <w:p w14:paraId="6F7B53F8" w14:textId="7718A476" w:rsidR="00D051B3" w:rsidRDefault="00FE629B" w:rsidP="00D051B3">
      <w:pPr>
        <w:pStyle w:val="Akapitzlist"/>
        <w:shd w:val="clear" w:color="auto" w:fill="FFFFFF"/>
        <w:tabs>
          <w:tab w:val="left" w:pos="-851"/>
          <w:tab w:val="left" w:pos="567"/>
        </w:tabs>
        <w:jc w:val="both"/>
        <w:rPr>
          <w:rFonts w:asciiTheme="minorHAnsi" w:hAnsiTheme="minorHAnsi" w:cstheme="minorHAnsi"/>
          <w:sz w:val="22"/>
          <w:szCs w:val="22"/>
        </w:rPr>
      </w:pPr>
      <w:r>
        <w:rPr>
          <w:rFonts w:asciiTheme="minorHAnsi" w:hAnsiTheme="minorHAnsi" w:cstheme="minorHAnsi"/>
          <w:color w:val="000000"/>
          <w:sz w:val="22"/>
          <w:szCs w:val="22"/>
        </w:rPr>
        <w:t>d</w:t>
      </w:r>
      <w:r w:rsidR="00D051B3" w:rsidRPr="00E61B17">
        <w:rPr>
          <w:rFonts w:asciiTheme="minorHAnsi" w:hAnsiTheme="minorHAnsi" w:cstheme="minorHAnsi"/>
          <w:color w:val="000000"/>
          <w:sz w:val="22"/>
          <w:szCs w:val="22"/>
        </w:rPr>
        <w:t>la przedsięwz</w:t>
      </w:r>
      <w:r w:rsidR="00D051B3">
        <w:rPr>
          <w:rFonts w:asciiTheme="minorHAnsi" w:hAnsiTheme="minorHAnsi" w:cstheme="minorHAnsi"/>
          <w:color w:val="000000"/>
          <w:sz w:val="22"/>
          <w:szCs w:val="22"/>
        </w:rPr>
        <w:t>ięć określonych w ust. 7.5 pkt 5)</w:t>
      </w:r>
    </w:p>
    <w:p w14:paraId="4323E7FB" w14:textId="65F2C833" w:rsidR="00FC5D9A" w:rsidRPr="00FE629B" w:rsidRDefault="00FC5D9A" w:rsidP="00FC5D9A">
      <w:pPr>
        <w:pStyle w:val="Akapitzlist"/>
        <w:shd w:val="clear" w:color="auto" w:fill="FFFFFF"/>
        <w:tabs>
          <w:tab w:val="left" w:pos="-851"/>
          <w:tab w:val="left" w:pos="567"/>
        </w:tabs>
        <w:jc w:val="both"/>
        <w:rPr>
          <w:rFonts w:asciiTheme="minorHAnsi" w:hAnsiTheme="minorHAnsi" w:cstheme="minorHAnsi"/>
          <w:sz w:val="22"/>
          <w:szCs w:val="22"/>
        </w:rPr>
      </w:pPr>
      <w:r w:rsidRPr="00FE629B">
        <w:rPr>
          <w:rFonts w:asciiTheme="minorHAnsi" w:hAnsiTheme="minorHAnsi" w:cstheme="minorHAnsi"/>
          <w:sz w:val="22"/>
          <w:szCs w:val="22"/>
        </w:rPr>
        <w:t xml:space="preserve">państwowe jednostki budżetowe </w:t>
      </w:r>
    </w:p>
    <w:p w14:paraId="5387720E" w14:textId="77777777" w:rsidR="00FC5D9A" w:rsidRPr="00FE629B" w:rsidRDefault="00FC5D9A" w:rsidP="00FC5D9A">
      <w:pPr>
        <w:shd w:val="clear" w:color="auto" w:fill="FFFFFF"/>
        <w:tabs>
          <w:tab w:val="left" w:pos="-851"/>
          <w:tab w:val="left" w:pos="540"/>
          <w:tab w:val="left" w:pos="567"/>
        </w:tabs>
        <w:ind w:left="567"/>
        <w:jc w:val="both"/>
        <w:rPr>
          <w:rFonts w:asciiTheme="minorHAnsi" w:hAnsiTheme="minorHAnsi" w:cstheme="minorHAnsi"/>
          <w:sz w:val="22"/>
          <w:szCs w:val="22"/>
        </w:rPr>
      </w:pPr>
    </w:p>
    <w:p w14:paraId="0E2F762E" w14:textId="77777777" w:rsidR="00FC5D9A" w:rsidRPr="00FE629B" w:rsidRDefault="00FC5D9A" w:rsidP="00B94DF1">
      <w:pPr>
        <w:autoSpaceDE w:val="0"/>
        <w:autoSpaceDN w:val="0"/>
        <w:adjustRightInd w:val="0"/>
        <w:spacing w:before="120" w:after="12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14:paraId="4DD57630" w14:textId="7C3922F1" w:rsidR="00FC5D9A" w:rsidRPr="00FE629B" w:rsidRDefault="00026BD0" w:rsidP="00B94DF1">
      <w:pPr>
        <w:pStyle w:val="Akapitzlist"/>
        <w:numPr>
          <w:ilvl w:val="0"/>
          <w:numId w:val="23"/>
        </w:numPr>
        <w:ind w:left="709" w:hanging="709"/>
        <w:jc w:val="both"/>
        <w:rPr>
          <w:rFonts w:asciiTheme="minorHAnsi" w:hAnsiTheme="minorHAnsi" w:cstheme="minorHAnsi"/>
          <w:sz w:val="22"/>
          <w:szCs w:val="22"/>
        </w:rPr>
      </w:pPr>
      <w:r>
        <w:rPr>
          <w:rFonts w:asciiTheme="minorHAnsi" w:hAnsiTheme="minorHAnsi" w:cstheme="minorHAnsi"/>
          <w:sz w:val="22"/>
          <w:szCs w:val="22"/>
        </w:rPr>
        <w:t>z</w:t>
      </w:r>
      <w:r w:rsidRPr="00FE629B">
        <w:rPr>
          <w:rFonts w:asciiTheme="minorHAnsi" w:hAnsiTheme="minorHAnsi" w:cstheme="minorHAnsi"/>
          <w:sz w:val="22"/>
          <w:szCs w:val="22"/>
        </w:rPr>
        <w:t xml:space="preserve">adania </w:t>
      </w:r>
      <w:r w:rsidR="00FC5D9A" w:rsidRPr="00FE629B">
        <w:rPr>
          <w:rFonts w:asciiTheme="minorHAnsi" w:hAnsiTheme="minorHAnsi" w:cstheme="minorHAnsi"/>
          <w:sz w:val="22"/>
          <w:szCs w:val="22"/>
        </w:rPr>
        <w:t xml:space="preserve">państwowej służby geologicznej i KAPS określone w ustawie </w:t>
      </w:r>
      <w:proofErr w:type="spellStart"/>
      <w:r w:rsidR="00FC5D9A" w:rsidRPr="00FE629B">
        <w:rPr>
          <w:rFonts w:asciiTheme="minorHAnsi" w:hAnsiTheme="minorHAnsi" w:cstheme="minorHAnsi"/>
          <w:sz w:val="22"/>
          <w:szCs w:val="22"/>
        </w:rPr>
        <w:t>Pgg</w:t>
      </w:r>
      <w:proofErr w:type="spellEnd"/>
      <w:r w:rsidR="00F10407">
        <w:rPr>
          <w:rFonts w:asciiTheme="minorHAnsi" w:hAnsiTheme="minorHAnsi" w:cstheme="minorHAnsi"/>
          <w:sz w:val="22"/>
          <w:szCs w:val="22"/>
        </w:rPr>
        <w:t>,</w:t>
      </w:r>
    </w:p>
    <w:p w14:paraId="1123E11D" w14:textId="4747F5E4" w:rsidR="00FC5D9A" w:rsidRPr="00FE629B" w:rsidRDefault="00026BD0" w:rsidP="00B94DF1">
      <w:pPr>
        <w:pStyle w:val="Akapitzlist"/>
        <w:numPr>
          <w:ilvl w:val="0"/>
          <w:numId w:val="23"/>
        </w:numPr>
        <w:ind w:left="709" w:hanging="709"/>
        <w:jc w:val="both"/>
        <w:rPr>
          <w:rFonts w:asciiTheme="minorHAnsi" w:hAnsiTheme="minorHAnsi" w:cstheme="minorHAnsi"/>
          <w:sz w:val="22"/>
          <w:szCs w:val="22"/>
        </w:rPr>
      </w:pPr>
      <w:r>
        <w:rPr>
          <w:rFonts w:asciiTheme="minorHAnsi" w:hAnsiTheme="minorHAnsi" w:cstheme="minorHAnsi"/>
          <w:sz w:val="22"/>
          <w:szCs w:val="22"/>
        </w:rPr>
        <w:t>r</w:t>
      </w:r>
      <w:r w:rsidRPr="00FE629B">
        <w:rPr>
          <w:rFonts w:asciiTheme="minorHAnsi" w:hAnsiTheme="minorHAnsi" w:cstheme="minorHAnsi"/>
          <w:sz w:val="22"/>
          <w:szCs w:val="22"/>
        </w:rPr>
        <w:t xml:space="preserve">ozpoznawanie </w:t>
      </w:r>
      <w:r w:rsidR="00FC5D9A" w:rsidRPr="00FE629B">
        <w:rPr>
          <w:rFonts w:asciiTheme="minorHAnsi" w:hAnsiTheme="minorHAnsi" w:cstheme="minorHAnsi"/>
          <w:sz w:val="22"/>
          <w:szCs w:val="22"/>
        </w:rPr>
        <w:t>możliwości wykorzystania zasobów geotermalnych, tj. złóż wód termalnych ora</w:t>
      </w:r>
      <w:r w:rsidR="00F10407">
        <w:rPr>
          <w:rFonts w:asciiTheme="minorHAnsi" w:hAnsiTheme="minorHAnsi" w:cstheme="minorHAnsi"/>
          <w:sz w:val="22"/>
          <w:szCs w:val="22"/>
        </w:rPr>
        <w:t>z energii cieplnej suchych skał,</w:t>
      </w:r>
    </w:p>
    <w:p w14:paraId="287FC890" w14:textId="2F0A21B3" w:rsidR="00CE71BE" w:rsidRPr="00FE629B" w:rsidRDefault="00026BD0" w:rsidP="009756B8">
      <w:pPr>
        <w:pStyle w:val="Akapitzlist"/>
        <w:numPr>
          <w:ilvl w:val="0"/>
          <w:numId w:val="23"/>
        </w:numPr>
        <w:ind w:hanging="720"/>
        <w:jc w:val="both"/>
        <w:rPr>
          <w:rFonts w:asciiTheme="minorHAnsi" w:hAnsiTheme="minorHAnsi" w:cstheme="minorHAnsi"/>
          <w:sz w:val="22"/>
          <w:szCs w:val="22"/>
        </w:rPr>
      </w:pPr>
      <w:r>
        <w:rPr>
          <w:rFonts w:asciiTheme="minorHAnsi" w:hAnsiTheme="minorHAnsi" w:cstheme="minorHAnsi"/>
          <w:sz w:val="22"/>
          <w:szCs w:val="22"/>
        </w:rPr>
        <w:t>r</w:t>
      </w:r>
      <w:r w:rsidRPr="00FE629B">
        <w:rPr>
          <w:rFonts w:asciiTheme="minorHAnsi" w:hAnsiTheme="minorHAnsi" w:cstheme="minorHAnsi"/>
          <w:sz w:val="22"/>
          <w:szCs w:val="22"/>
        </w:rPr>
        <w:t xml:space="preserve">ozpoznawanie </w:t>
      </w:r>
      <w:r w:rsidR="009756B8" w:rsidRPr="00FE629B">
        <w:rPr>
          <w:rFonts w:asciiTheme="minorHAnsi" w:hAnsiTheme="minorHAnsi" w:cstheme="minorHAnsi"/>
          <w:sz w:val="22"/>
          <w:szCs w:val="22"/>
        </w:rPr>
        <w:t>możliwości wykorzystania zasobów wód mineralnych i leczniczych</w:t>
      </w:r>
      <w:r w:rsidR="00F10407">
        <w:rPr>
          <w:rFonts w:asciiTheme="minorHAnsi" w:hAnsiTheme="minorHAnsi" w:cstheme="minorHAnsi"/>
          <w:sz w:val="22"/>
          <w:szCs w:val="22"/>
        </w:rPr>
        <w:t>,</w:t>
      </w:r>
    </w:p>
    <w:p w14:paraId="493E0A8A" w14:textId="46840842" w:rsidR="00CE71BE" w:rsidRPr="00FE629B" w:rsidRDefault="00026BD0" w:rsidP="00FE629B">
      <w:pPr>
        <w:pStyle w:val="Akapitzlist"/>
        <w:numPr>
          <w:ilvl w:val="0"/>
          <w:numId w:val="23"/>
        </w:numPr>
        <w:ind w:hanging="720"/>
        <w:jc w:val="both"/>
        <w:rPr>
          <w:rFonts w:asciiTheme="minorHAnsi" w:hAnsiTheme="minorHAnsi" w:cstheme="minorHAnsi"/>
          <w:sz w:val="22"/>
          <w:szCs w:val="22"/>
        </w:rPr>
      </w:pPr>
      <w:r>
        <w:rPr>
          <w:rFonts w:asciiTheme="minorHAnsi" w:hAnsiTheme="minorHAnsi" w:cstheme="minorHAnsi"/>
          <w:sz w:val="22"/>
          <w:szCs w:val="22"/>
        </w:rPr>
        <w:t>r</w:t>
      </w:r>
      <w:r w:rsidRPr="00FE629B">
        <w:rPr>
          <w:rFonts w:asciiTheme="minorHAnsi" w:hAnsiTheme="minorHAnsi" w:cstheme="minorHAnsi"/>
          <w:sz w:val="22"/>
          <w:szCs w:val="22"/>
        </w:rPr>
        <w:t xml:space="preserve">ozpoznawanie </w:t>
      </w:r>
      <w:r w:rsidR="00CE71BE" w:rsidRPr="00FE629B">
        <w:rPr>
          <w:rFonts w:asciiTheme="minorHAnsi" w:hAnsiTheme="minorHAnsi" w:cstheme="minorHAnsi"/>
          <w:sz w:val="22"/>
          <w:szCs w:val="22"/>
        </w:rPr>
        <w:t>możliw</w:t>
      </w:r>
      <w:r w:rsidR="00F10407">
        <w:rPr>
          <w:rFonts w:asciiTheme="minorHAnsi" w:hAnsiTheme="minorHAnsi" w:cstheme="minorHAnsi"/>
          <w:sz w:val="22"/>
          <w:szCs w:val="22"/>
        </w:rPr>
        <w:t>ości wykorzystania złóż kopalin,</w:t>
      </w:r>
    </w:p>
    <w:p w14:paraId="33659F71" w14:textId="72C10C28" w:rsidR="00FC5D9A" w:rsidRPr="00FE629B" w:rsidRDefault="00996A36" w:rsidP="00B94DF1">
      <w:pPr>
        <w:pStyle w:val="Akapitzlist"/>
        <w:numPr>
          <w:ilvl w:val="0"/>
          <w:numId w:val="23"/>
        </w:numPr>
        <w:ind w:left="709" w:hanging="709"/>
        <w:jc w:val="both"/>
        <w:rPr>
          <w:rFonts w:asciiTheme="minorHAnsi" w:hAnsiTheme="minorHAnsi" w:cstheme="minorHAnsi"/>
          <w:sz w:val="22"/>
          <w:szCs w:val="22"/>
        </w:rPr>
      </w:pPr>
      <w:r>
        <w:rPr>
          <w:rFonts w:asciiTheme="minorHAnsi" w:hAnsiTheme="minorHAnsi" w:cstheme="minorHAnsi"/>
          <w:sz w:val="22"/>
          <w:szCs w:val="22"/>
        </w:rPr>
        <w:t>b</w:t>
      </w:r>
      <w:r w:rsidR="00026BD0" w:rsidRPr="00FE629B">
        <w:rPr>
          <w:rFonts w:asciiTheme="minorHAnsi" w:hAnsiTheme="minorHAnsi" w:cstheme="minorHAnsi"/>
          <w:sz w:val="22"/>
          <w:szCs w:val="22"/>
        </w:rPr>
        <w:t>adania</w:t>
      </w:r>
      <w:r>
        <w:rPr>
          <w:rFonts w:asciiTheme="minorHAnsi" w:hAnsiTheme="minorHAnsi" w:cstheme="minorHAnsi"/>
          <w:sz w:val="22"/>
          <w:szCs w:val="22"/>
        </w:rPr>
        <w:t xml:space="preserve"> i </w:t>
      </w:r>
      <w:r w:rsidR="00FC5D9A" w:rsidRPr="00FE629B">
        <w:rPr>
          <w:rFonts w:asciiTheme="minorHAnsi" w:hAnsiTheme="minorHAnsi" w:cstheme="minorHAnsi"/>
          <w:sz w:val="22"/>
          <w:szCs w:val="22"/>
        </w:rPr>
        <w:t>prace geo</w:t>
      </w:r>
      <w:r w:rsidR="00F10407">
        <w:rPr>
          <w:rFonts w:asciiTheme="minorHAnsi" w:hAnsiTheme="minorHAnsi" w:cstheme="minorHAnsi"/>
          <w:sz w:val="22"/>
          <w:szCs w:val="22"/>
        </w:rPr>
        <w:t>logiczne dla ochrony środowiska.</w:t>
      </w:r>
    </w:p>
    <w:p w14:paraId="5CA29315" w14:textId="77777777" w:rsidR="00FC5D9A" w:rsidRPr="00FE629B" w:rsidRDefault="00FC5D9A" w:rsidP="00FC5D9A">
      <w:pPr>
        <w:pStyle w:val="Akapitzlist"/>
        <w:numPr>
          <w:ilvl w:val="0"/>
          <w:numId w:val="21"/>
        </w:numPr>
        <w:autoSpaceDE w:val="0"/>
        <w:autoSpaceDN w:val="0"/>
        <w:adjustRightInd w:val="0"/>
        <w:spacing w:before="360" w:after="120"/>
        <w:ind w:left="426" w:hanging="426"/>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Szczegółowe kryteria wyboru przedsięwzięć</w:t>
      </w:r>
    </w:p>
    <w:p w14:paraId="63F16F15" w14:textId="77777777" w:rsidR="00FC5D9A" w:rsidRPr="00FE629B" w:rsidRDefault="00FC5D9A" w:rsidP="00FC5D9A">
      <w:pPr>
        <w:tabs>
          <w:tab w:val="left" w:pos="540"/>
        </w:tabs>
        <w:autoSpaceDE w:val="0"/>
        <w:autoSpaceDN w:val="0"/>
        <w:adjustRightInd w:val="0"/>
        <w:spacing w:before="240" w:after="12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FC5D9A" w:rsidRPr="00095BB9" w14:paraId="4E98007D" w14:textId="77777777" w:rsidTr="003E55BD">
        <w:trPr>
          <w:cantSplit/>
          <w:trHeight w:val="344"/>
          <w:jc w:val="center"/>
        </w:trPr>
        <w:tc>
          <w:tcPr>
            <w:tcW w:w="350" w:type="pct"/>
            <w:tcBorders>
              <w:top w:val="single" w:sz="4" w:space="0" w:color="auto"/>
              <w:left w:val="single" w:sz="4" w:space="0" w:color="auto"/>
            </w:tcBorders>
            <w:shd w:val="clear" w:color="auto" w:fill="BFBFBF"/>
          </w:tcPr>
          <w:p w14:paraId="403F6C65"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Lp.</w:t>
            </w:r>
          </w:p>
        </w:tc>
        <w:tc>
          <w:tcPr>
            <w:tcW w:w="3764" w:type="pct"/>
            <w:tcBorders>
              <w:top w:val="single" w:sz="4" w:space="0" w:color="auto"/>
              <w:left w:val="single" w:sz="4" w:space="0" w:color="auto"/>
            </w:tcBorders>
            <w:shd w:val="clear" w:color="auto" w:fill="BFBFBF"/>
            <w:vAlign w:val="center"/>
          </w:tcPr>
          <w:p w14:paraId="5C2E2A84"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NAZWA KRYTERIUM</w:t>
            </w:r>
          </w:p>
        </w:tc>
        <w:tc>
          <w:tcPr>
            <w:tcW w:w="461" w:type="pct"/>
            <w:shd w:val="clear" w:color="auto" w:fill="BFBFBF"/>
            <w:vAlign w:val="center"/>
          </w:tcPr>
          <w:p w14:paraId="72220342"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TAK</w:t>
            </w:r>
          </w:p>
        </w:tc>
        <w:tc>
          <w:tcPr>
            <w:tcW w:w="425" w:type="pct"/>
            <w:shd w:val="clear" w:color="auto" w:fill="BFBFBF"/>
            <w:vAlign w:val="center"/>
          </w:tcPr>
          <w:p w14:paraId="1DE3FE1A"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NIE</w:t>
            </w:r>
          </w:p>
        </w:tc>
      </w:tr>
      <w:tr w:rsidR="00FC5D9A" w:rsidRPr="00095BB9" w14:paraId="4B07BB93" w14:textId="77777777" w:rsidTr="003E55BD">
        <w:trPr>
          <w:cantSplit/>
          <w:trHeight w:val="344"/>
          <w:jc w:val="center"/>
        </w:trPr>
        <w:tc>
          <w:tcPr>
            <w:tcW w:w="350" w:type="pct"/>
            <w:tcBorders>
              <w:top w:val="single" w:sz="4" w:space="0" w:color="auto"/>
              <w:left w:val="single" w:sz="4" w:space="0" w:color="auto"/>
            </w:tcBorders>
            <w:vAlign w:val="center"/>
          </w:tcPr>
          <w:p w14:paraId="38579B78" w14:textId="77777777"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Borders>
              <w:top w:val="single" w:sz="4" w:space="0" w:color="auto"/>
              <w:left w:val="single" w:sz="4" w:space="0" w:color="auto"/>
            </w:tcBorders>
            <w:shd w:val="clear" w:color="auto" w:fill="auto"/>
            <w:vAlign w:val="center"/>
          </w:tcPr>
          <w:p w14:paraId="13F41F31"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vAlign w:val="center"/>
          </w:tcPr>
          <w:p w14:paraId="175D510D"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71FB26AD"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C37A76B" w14:textId="77777777" w:rsidTr="003E55BD">
        <w:trPr>
          <w:cantSplit/>
          <w:trHeight w:val="344"/>
          <w:jc w:val="center"/>
        </w:trPr>
        <w:tc>
          <w:tcPr>
            <w:tcW w:w="350" w:type="pct"/>
            <w:tcBorders>
              <w:top w:val="single" w:sz="4" w:space="0" w:color="auto"/>
              <w:left w:val="single" w:sz="4" w:space="0" w:color="auto"/>
            </w:tcBorders>
            <w:vAlign w:val="center"/>
          </w:tcPr>
          <w:p w14:paraId="02B3D2A5"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Borders>
              <w:top w:val="single" w:sz="4" w:space="0" w:color="auto"/>
              <w:left w:val="single" w:sz="4" w:space="0" w:color="auto"/>
            </w:tcBorders>
            <w:shd w:val="clear" w:color="auto" w:fill="auto"/>
            <w:vAlign w:val="center"/>
          </w:tcPr>
          <w:p w14:paraId="47A4A80F"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vAlign w:val="center"/>
          </w:tcPr>
          <w:p w14:paraId="12D0100F"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5304DA4D"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39AB6B9F" w14:textId="77777777" w:rsidTr="003E55BD">
        <w:trPr>
          <w:cantSplit/>
          <w:trHeight w:val="344"/>
          <w:jc w:val="center"/>
        </w:trPr>
        <w:tc>
          <w:tcPr>
            <w:tcW w:w="350" w:type="pct"/>
            <w:tcBorders>
              <w:top w:val="single" w:sz="4" w:space="0" w:color="auto"/>
              <w:left w:val="single" w:sz="4" w:space="0" w:color="auto"/>
            </w:tcBorders>
            <w:vAlign w:val="center"/>
          </w:tcPr>
          <w:p w14:paraId="7E1E9FD7"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Borders>
              <w:top w:val="single" w:sz="4" w:space="0" w:color="auto"/>
              <w:left w:val="single" w:sz="4" w:space="0" w:color="auto"/>
            </w:tcBorders>
            <w:shd w:val="clear" w:color="auto" w:fill="auto"/>
            <w:vAlign w:val="center"/>
          </w:tcPr>
          <w:p w14:paraId="77E6F190" w14:textId="77777777" w:rsidR="00FC5D9A" w:rsidRPr="00FE629B" w:rsidRDefault="00FC5D9A" w:rsidP="003E55BD">
            <w:pPr>
              <w:spacing w:before="60" w:after="6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vAlign w:val="center"/>
          </w:tcPr>
          <w:p w14:paraId="71CE2841"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0CEB4B10"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5B55A698"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04C7F31"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11B838C5" w14:textId="77777777"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14:paraId="6366995C"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721644AD"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05EDC87D" w14:textId="77777777" w:rsidTr="003E55BD">
        <w:trPr>
          <w:cantSplit/>
          <w:trHeight w:val="344"/>
          <w:jc w:val="center"/>
        </w:trPr>
        <w:tc>
          <w:tcPr>
            <w:tcW w:w="350" w:type="pct"/>
            <w:tcBorders>
              <w:top w:val="single" w:sz="4" w:space="0" w:color="auto"/>
              <w:left w:val="single" w:sz="4" w:space="0" w:color="auto"/>
            </w:tcBorders>
            <w:vAlign w:val="center"/>
          </w:tcPr>
          <w:p w14:paraId="7FE4F7E5"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Borders>
              <w:top w:val="single" w:sz="4" w:space="0" w:color="auto"/>
              <w:left w:val="single" w:sz="4" w:space="0" w:color="auto"/>
            </w:tcBorders>
            <w:shd w:val="clear" w:color="auto" w:fill="auto"/>
            <w:vAlign w:val="center"/>
          </w:tcPr>
          <w:p w14:paraId="0E0714DD" w14:textId="77777777"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 przyczyn leżących po stronie Wnioskodawcy</w:t>
            </w:r>
          </w:p>
        </w:tc>
        <w:tc>
          <w:tcPr>
            <w:tcW w:w="461" w:type="pct"/>
            <w:vAlign w:val="center"/>
          </w:tcPr>
          <w:p w14:paraId="40B821C0"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72F396D1"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04AE0E9F" w14:textId="77777777" w:rsidTr="003E55BD">
        <w:trPr>
          <w:cantSplit/>
          <w:trHeight w:val="344"/>
          <w:jc w:val="center"/>
        </w:trPr>
        <w:tc>
          <w:tcPr>
            <w:tcW w:w="350" w:type="pct"/>
            <w:tcBorders>
              <w:top w:val="single" w:sz="4" w:space="0" w:color="auto"/>
              <w:left w:val="single" w:sz="4" w:space="0" w:color="auto"/>
            </w:tcBorders>
            <w:vAlign w:val="center"/>
          </w:tcPr>
          <w:p w14:paraId="0E3120EE"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Borders>
              <w:top w:val="single" w:sz="4" w:space="0" w:color="auto"/>
              <w:left w:val="single" w:sz="4" w:space="0" w:color="auto"/>
            </w:tcBorders>
            <w:shd w:val="clear" w:color="auto" w:fill="auto"/>
            <w:vAlign w:val="center"/>
          </w:tcPr>
          <w:p w14:paraId="0DC902CF" w14:textId="77777777"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vAlign w:val="center"/>
          </w:tcPr>
          <w:p w14:paraId="737D8973"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20F0135"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4887EE09" w14:textId="77777777" w:rsidTr="003E55BD">
        <w:trPr>
          <w:cantSplit/>
          <w:trHeight w:val="344"/>
          <w:jc w:val="center"/>
        </w:trPr>
        <w:tc>
          <w:tcPr>
            <w:tcW w:w="350" w:type="pct"/>
            <w:tcBorders>
              <w:top w:val="single" w:sz="4" w:space="0" w:color="auto"/>
              <w:left w:val="single" w:sz="4" w:space="0" w:color="auto"/>
            </w:tcBorders>
            <w:vAlign w:val="center"/>
          </w:tcPr>
          <w:p w14:paraId="24739E5D"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7.</w:t>
            </w:r>
          </w:p>
        </w:tc>
        <w:tc>
          <w:tcPr>
            <w:tcW w:w="3764" w:type="pct"/>
            <w:tcBorders>
              <w:top w:val="single" w:sz="4" w:space="0" w:color="auto"/>
              <w:left w:val="single" w:sz="4" w:space="0" w:color="auto"/>
            </w:tcBorders>
            <w:shd w:val="clear" w:color="auto" w:fill="auto"/>
            <w:vAlign w:val="center"/>
          </w:tcPr>
          <w:p w14:paraId="028F1CE5" w14:textId="77777777" w:rsidR="00FC5D9A" w:rsidRPr="00FE629B" w:rsidRDefault="00FC5D9A" w:rsidP="003E55BD">
            <w:pPr>
              <w:tabs>
                <w:tab w:val="left" w:pos="176"/>
              </w:tabs>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
          <w:p w14:paraId="47543F21"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c>
          <w:tcPr>
            <w:tcW w:w="425" w:type="pct"/>
            <w:vAlign w:val="center"/>
          </w:tcPr>
          <w:p w14:paraId="0606A8D7"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095BB9" w14:paraId="50D64A9C" w14:textId="77777777" w:rsidTr="003E55BD">
        <w:trPr>
          <w:cantSplit/>
          <w:trHeight w:val="344"/>
          <w:jc w:val="center"/>
        </w:trPr>
        <w:tc>
          <w:tcPr>
            <w:tcW w:w="350" w:type="pct"/>
            <w:tcBorders>
              <w:top w:val="single" w:sz="4" w:space="0" w:color="auto"/>
              <w:left w:val="single" w:sz="4" w:space="0" w:color="auto"/>
            </w:tcBorders>
            <w:vAlign w:val="center"/>
          </w:tcPr>
          <w:p w14:paraId="21C3B65F"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8.</w:t>
            </w:r>
          </w:p>
        </w:tc>
        <w:tc>
          <w:tcPr>
            <w:tcW w:w="3764" w:type="pct"/>
            <w:tcBorders>
              <w:top w:val="single" w:sz="4" w:space="0" w:color="auto"/>
              <w:left w:val="single" w:sz="4" w:space="0" w:color="auto"/>
            </w:tcBorders>
            <w:shd w:val="clear" w:color="auto" w:fill="auto"/>
            <w:vAlign w:val="center"/>
          </w:tcPr>
          <w:p w14:paraId="6C3831F3"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Cel i rodzaj przedsięwzięcia jest zgodny z programem priorytetowym</w:t>
            </w:r>
          </w:p>
        </w:tc>
        <w:tc>
          <w:tcPr>
            <w:tcW w:w="461" w:type="pct"/>
          </w:tcPr>
          <w:p w14:paraId="42E13681"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p>
        </w:tc>
        <w:tc>
          <w:tcPr>
            <w:tcW w:w="425" w:type="pct"/>
            <w:vAlign w:val="center"/>
          </w:tcPr>
          <w:p w14:paraId="54F4DD30"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2BADB115" w14:textId="77777777" w:rsidTr="003E55BD">
        <w:trPr>
          <w:cantSplit/>
          <w:trHeight w:val="344"/>
          <w:jc w:val="center"/>
        </w:trPr>
        <w:tc>
          <w:tcPr>
            <w:tcW w:w="350" w:type="pct"/>
            <w:tcBorders>
              <w:top w:val="single" w:sz="4" w:space="0" w:color="auto"/>
              <w:left w:val="single" w:sz="4" w:space="0" w:color="auto"/>
            </w:tcBorders>
            <w:vAlign w:val="center"/>
          </w:tcPr>
          <w:p w14:paraId="47F92A26"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9.</w:t>
            </w:r>
          </w:p>
        </w:tc>
        <w:tc>
          <w:tcPr>
            <w:tcW w:w="3764" w:type="pct"/>
            <w:tcBorders>
              <w:top w:val="single" w:sz="4" w:space="0" w:color="auto"/>
              <w:left w:val="single" w:sz="4" w:space="0" w:color="auto"/>
            </w:tcBorders>
            <w:shd w:val="clear" w:color="auto" w:fill="auto"/>
            <w:vAlign w:val="center"/>
          </w:tcPr>
          <w:p w14:paraId="588B2710" w14:textId="2D929A4E" w:rsidR="00FC5D9A" w:rsidRPr="00FE629B" w:rsidRDefault="00FC5D9A" w:rsidP="00996A36">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Realizacja przedsięwzięcia nie jest zakończona przed dniem złożenia wniosku.</w:t>
            </w:r>
          </w:p>
        </w:tc>
        <w:tc>
          <w:tcPr>
            <w:tcW w:w="461" w:type="pct"/>
            <w:vAlign w:val="center"/>
          </w:tcPr>
          <w:p w14:paraId="6D6667F4"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0CAEDF00" w14:textId="77777777" w:rsidR="00FC5D9A" w:rsidRPr="00FE629B" w:rsidRDefault="00FC5D9A" w:rsidP="003E55BD">
            <w:pPr>
              <w:spacing w:before="60" w:after="60"/>
              <w:jc w:val="center"/>
              <w:rPr>
                <w:rFonts w:asciiTheme="minorHAnsi" w:hAnsiTheme="minorHAnsi" w:cstheme="minorHAnsi"/>
                <w:sz w:val="22"/>
                <w:szCs w:val="22"/>
              </w:rPr>
            </w:pPr>
          </w:p>
        </w:tc>
      </w:tr>
      <w:tr w:rsidR="004B0016" w:rsidRPr="00095BB9" w14:paraId="705428EA" w14:textId="77777777" w:rsidTr="003E55BD">
        <w:trPr>
          <w:cantSplit/>
          <w:trHeight w:val="344"/>
          <w:jc w:val="center"/>
        </w:trPr>
        <w:tc>
          <w:tcPr>
            <w:tcW w:w="350" w:type="pct"/>
            <w:tcBorders>
              <w:top w:val="single" w:sz="4" w:space="0" w:color="auto"/>
              <w:left w:val="single" w:sz="4" w:space="0" w:color="auto"/>
            </w:tcBorders>
            <w:vAlign w:val="center"/>
          </w:tcPr>
          <w:p w14:paraId="6A250775" w14:textId="38DA16B4" w:rsidR="004B0016" w:rsidRPr="004B0016" w:rsidRDefault="004B0016" w:rsidP="003E55BD">
            <w:pPr>
              <w:tabs>
                <w:tab w:val="left" w:pos="176"/>
              </w:tabs>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10.</w:t>
            </w:r>
          </w:p>
        </w:tc>
        <w:tc>
          <w:tcPr>
            <w:tcW w:w="3764" w:type="pct"/>
            <w:tcBorders>
              <w:top w:val="single" w:sz="4" w:space="0" w:color="auto"/>
              <w:left w:val="single" w:sz="4" w:space="0" w:color="auto"/>
            </w:tcBorders>
            <w:shd w:val="clear" w:color="auto" w:fill="auto"/>
            <w:vAlign w:val="center"/>
          </w:tcPr>
          <w:p w14:paraId="299C0300" w14:textId="4FEC81B9" w:rsidR="004B0016" w:rsidRPr="004B0016" w:rsidRDefault="00FE645B" w:rsidP="00FE645B">
            <w:pPr>
              <w:spacing w:before="60" w:after="60"/>
              <w:jc w:val="both"/>
              <w:rPr>
                <w:rFonts w:asciiTheme="minorHAnsi" w:hAnsiTheme="minorHAnsi" w:cstheme="minorHAnsi"/>
                <w:sz w:val="22"/>
                <w:szCs w:val="22"/>
              </w:rPr>
            </w:pPr>
            <w:r>
              <w:rPr>
                <w:rFonts w:asciiTheme="minorHAnsi" w:hAnsiTheme="minorHAnsi" w:cstheme="minorHAnsi"/>
                <w:sz w:val="22"/>
                <w:szCs w:val="22"/>
              </w:rPr>
              <w:t>R</w:t>
            </w:r>
            <w:r w:rsidR="004B0016" w:rsidRPr="00627DBA">
              <w:rPr>
                <w:rFonts w:asciiTheme="minorHAnsi" w:hAnsiTheme="minorHAnsi" w:cstheme="minorHAnsi"/>
                <w:sz w:val="22"/>
                <w:szCs w:val="22"/>
              </w:rPr>
              <w:t>ealizacja przedsięwzięcia nie została rozpoczęta przed dniem złożenia wniosku</w:t>
            </w:r>
            <w:r w:rsidR="004B0016">
              <w:rPr>
                <w:rFonts w:asciiTheme="minorHAnsi" w:hAnsiTheme="minorHAnsi" w:cstheme="minorHAnsi"/>
                <w:sz w:val="22"/>
                <w:szCs w:val="22"/>
              </w:rPr>
              <w:t xml:space="preserve"> </w:t>
            </w:r>
            <w:r>
              <w:rPr>
                <w:rFonts w:asciiTheme="minorHAnsi" w:hAnsiTheme="minorHAnsi" w:cstheme="minorHAnsi"/>
                <w:sz w:val="22"/>
                <w:szCs w:val="22"/>
              </w:rPr>
              <w:t>– dotyczy Wnioskodawców określonych w ust. 7.4 pkt 2)</w:t>
            </w:r>
            <w:r w:rsidR="00996A36">
              <w:rPr>
                <w:rFonts w:asciiTheme="minorHAnsi" w:hAnsiTheme="minorHAnsi" w:cstheme="minorHAnsi"/>
                <w:sz w:val="22"/>
                <w:szCs w:val="22"/>
              </w:rPr>
              <w:t xml:space="preserve"> i 3)</w:t>
            </w:r>
          </w:p>
        </w:tc>
        <w:tc>
          <w:tcPr>
            <w:tcW w:w="461" w:type="pct"/>
            <w:vAlign w:val="center"/>
          </w:tcPr>
          <w:p w14:paraId="612BD544" w14:textId="77777777" w:rsidR="004B0016" w:rsidRPr="00FE645B" w:rsidRDefault="004B0016" w:rsidP="003E55BD">
            <w:pPr>
              <w:spacing w:before="60" w:after="60"/>
              <w:jc w:val="center"/>
              <w:rPr>
                <w:rFonts w:asciiTheme="minorHAnsi" w:hAnsiTheme="minorHAnsi" w:cstheme="minorHAnsi"/>
                <w:sz w:val="22"/>
                <w:szCs w:val="22"/>
              </w:rPr>
            </w:pPr>
          </w:p>
        </w:tc>
        <w:tc>
          <w:tcPr>
            <w:tcW w:w="425" w:type="pct"/>
            <w:vAlign w:val="center"/>
          </w:tcPr>
          <w:p w14:paraId="69A1695E" w14:textId="77777777" w:rsidR="004B0016" w:rsidRPr="00FE645B" w:rsidRDefault="004B0016" w:rsidP="003E55BD">
            <w:pPr>
              <w:spacing w:before="60" w:after="60"/>
              <w:jc w:val="center"/>
              <w:rPr>
                <w:rFonts w:asciiTheme="minorHAnsi" w:hAnsiTheme="minorHAnsi" w:cstheme="minorHAnsi"/>
                <w:sz w:val="22"/>
                <w:szCs w:val="22"/>
              </w:rPr>
            </w:pPr>
          </w:p>
        </w:tc>
      </w:tr>
      <w:tr w:rsidR="00FC5D9A" w:rsidRPr="00095BB9" w14:paraId="0358AAB1" w14:textId="77777777" w:rsidTr="003E55BD">
        <w:trPr>
          <w:cantSplit/>
          <w:trHeight w:val="344"/>
          <w:jc w:val="center"/>
        </w:trPr>
        <w:tc>
          <w:tcPr>
            <w:tcW w:w="350" w:type="pct"/>
            <w:tcBorders>
              <w:top w:val="single" w:sz="4" w:space="0" w:color="auto"/>
              <w:left w:val="single" w:sz="4" w:space="0" w:color="auto"/>
            </w:tcBorders>
            <w:vAlign w:val="center"/>
          </w:tcPr>
          <w:p w14:paraId="416F414E"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10.</w:t>
            </w:r>
          </w:p>
        </w:tc>
        <w:tc>
          <w:tcPr>
            <w:tcW w:w="3764" w:type="pct"/>
            <w:tcBorders>
              <w:top w:val="single" w:sz="4" w:space="0" w:color="auto"/>
              <w:left w:val="single" w:sz="4" w:space="0" w:color="auto"/>
            </w:tcBorders>
            <w:shd w:val="clear" w:color="auto" w:fill="auto"/>
            <w:vAlign w:val="center"/>
          </w:tcPr>
          <w:p w14:paraId="64291C89"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Okres realizacji przedsięwzięcia i wypłaty dofinansowania są zgodne z programem priorytetowym</w:t>
            </w:r>
          </w:p>
        </w:tc>
        <w:tc>
          <w:tcPr>
            <w:tcW w:w="461" w:type="pct"/>
            <w:vAlign w:val="center"/>
          </w:tcPr>
          <w:p w14:paraId="18388D63"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4C94CBBB"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3317E86F"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B98EF09"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351728F4"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 xml:space="preserve">Forma i intensywność wnioskowanego dofinansowania jest zgodna </w:t>
            </w:r>
            <w:r w:rsidRPr="00FE629B">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548AD5B5"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6D355C04"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095BB9" w14:paraId="09C77B66"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73CC237"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12.</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30F3944B" w14:textId="77777777" w:rsidR="00FC5D9A" w:rsidRPr="00FE629B" w:rsidRDefault="00FC5D9A" w:rsidP="003E55BD">
            <w:pPr>
              <w:tabs>
                <w:tab w:val="num" w:pos="2340"/>
              </w:tabs>
              <w:spacing w:before="60" w:after="60"/>
              <w:ind w:left="35"/>
              <w:jc w:val="both"/>
              <w:rPr>
                <w:rFonts w:asciiTheme="minorHAnsi" w:hAnsiTheme="minorHAnsi" w:cstheme="minorHAnsi"/>
                <w:sz w:val="22"/>
                <w:szCs w:val="22"/>
              </w:rPr>
            </w:pPr>
            <w:r w:rsidRPr="00FE629B">
              <w:rPr>
                <w:rFonts w:asciiTheme="minorHAnsi" w:hAnsiTheme="minorHAnsi" w:cstheme="minorHAnsi"/>
                <w:sz w:val="22"/>
                <w:szCs w:val="22"/>
              </w:rPr>
              <w:t>W przypadku, gdy koszty jednostkowe przekraczają koszty określone w załączniku Katalog kosztów jednostkowych, wnioskodawca złożył oświadczenie o możliwości pokrycia tego przekroczenia ze środków własnych</w:t>
            </w:r>
          </w:p>
        </w:tc>
        <w:tc>
          <w:tcPr>
            <w:tcW w:w="461" w:type="pct"/>
            <w:tcBorders>
              <w:top w:val="single" w:sz="4" w:space="0" w:color="auto"/>
              <w:left w:val="single" w:sz="4" w:space="0" w:color="auto"/>
              <w:bottom w:val="single" w:sz="4" w:space="0" w:color="auto"/>
              <w:right w:val="single" w:sz="4" w:space="0" w:color="auto"/>
            </w:tcBorders>
          </w:tcPr>
          <w:p w14:paraId="0B8CD2B2"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47BBB26" w14:textId="77777777" w:rsidR="00FC5D9A" w:rsidRPr="00FE629B"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311A6B" w14:paraId="3C6099DF"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5FAF80A" w14:textId="4E53F4F0" w:rsidR="00FC5D9A" w:rsidRPr="00FE629B" w:rsidRDefault="00FC5D9A" w:rsidP="00B176A2">
            <w:pPr>
              <w:tabs>
                <w:tab w:val="left" w:pos="176"/>
              </w:tabs>
              <w:spacing w:before="60" w:after="60"/>
              <w:jc w:val="center"/>
              <w:rPr>
                <w:rFonts w:asciiTheme="minorHAnsi" w:hAnsiTheme="minorHAnsi"/>
                <w:sz w:val="22"/>
                <w:szCs w:val="22"/>
              </w:rPr>
            </w:pPr>
            <w:r w:rsidRPr="00FE629B">
              <w:rPr>
                <w:rFonts w:asciiTheme="minorHAnsi" w:hAnsiTheme="minorHAnsi"/>
                <w:sz w:val="22"/>
                <w:szCs w:val="22"/>
              </w:rPr>
              <w:t>1</w:t>
            </w:r>
            <w:r w:rsidR="00B176A2">
              <w:rPr>
                <w:rFonts w:asciiTheme="minorHAnsi" w:hAnsiTheme="minorHAnsi"/>
                <w:sz w:val="22"/>
                <w:szCs w:val="22"/>
              </w:rPr>
              <w:t>3</w:t>
            </w:r>
            <w:r w:rsidRPr="00FE629B">
              <w:rPr>
                <w:rFonts w:asciiTheme="minorHAnsi" w:hAnsi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380A95E3" w14:textId="77777777" w:rsidR="00FC5D9A" w:rsidRPr="00FE629B" w:rsidRDefault="00FC5D9A" w:rsidP="003E55BD">
            <w:pPr>
              <w:jc w:val="both"/>
              <w:rPr>
                <w:rFonts w:asciiTheme="minorHAnsi" w:hAnsiTheme="minorHAnsi"/>
                <w:sz w:val="22"/>
                <w:szCs w:val="22"/>
              </w:rPr>
            </w:pPr>
            <w:r w:rsidRPr="00FE629B">
              <w:rPr>
                <w:rFonts w:asciiTheme="minorHAnsi" w:hAnsiTheme="minorHAnsi"/>
                <w:sz w:val="22"/>
                <w:szCs w:val="22"/>
              </w:rPr>
              <w:t>dot. rodzajów</w:t>
            </w:r>
            <w:r w:rsidRPr="00FE629B">
              <w:rPr>
                <w:rFonts w:asciiTheme="minorHAnsi" w:hAnsiTheme="minorHAnsi"/>
                <w:color w:val="000000"/>
                <w:sz w:val="22"/>
                <w:szCs w:val="22"/>
              </w:rPr>
              <w:t xml:space="preserve"> przedsięwzięć określonych w ust. 7.5 pkt </w:t>
            </w:r>
            <w:r w:rsidRPr="00FE629B">
              <w:rPr>
                <w:rFonts w:asciiTheme="minorHAnsi" w:hAnsiTheme="minorHAnsi"/>
                <w:sz w:val="22"/>
                <w:szCs w:val="22"/>
              </w:rPr>
              <w:t>2)</w:t>
            </w:r>
          </w:p>
          <w:p w14:paraId="092501DB" w14:textId="77777777" w:rsidR="00FC5D9A" w:rsidRPr="00FE629B" w:rsidRDefault="00FC5D9A" w:rsidP="003E55BD">
            <w:pPr>
              <w:jc w:val="both"/>
              <w:rPr>
                <w:rFonts w:asciiTheme="minorHAnsi" w:hAnsiTheme="minorHAnsi"/>
                <w:sz w:val="22"/>
                <w:szCs w:val="22"/>
              </w:rPr>
            </w:pPr>
            <w:r w:rsidRPr="00FE629B">
              <w:rPr>
                <w:rFonts w:asciiTheme="minorHAnsi" w:hAnsiTheme="minorHAnsi"/>
                <w:sz w:val="22"/>
                <w:szCs w:val="22"/>
              </w:rPr>
              <w:t xml:space="preserve">Wynik oceny analizy uwarunkowań wykorzystania zasobów geotermalnych jest pozytywny lub wydane są inne rekomendacje </w:t>
            </w:r>
          </w:p>
          <w:p w14:paraId="6BC4E09C" w14:textId="77777777" w:rsidR="00FC5D9A" w:rsidRPr="00FE645B" w:rsidRDefault="00FC5D9A" w:rsidP="003E55BD">
            <w:pPr>
              <w:tabs>
                <w:tab w:val="num" w:pos="2340"/>
              </w:tabs>
              <w:spacing w:before="60" w:after="60"/>
              <w:ind w:left="35"/>
              <w:jc w:val="both"/>
              <w:rPr>
                <w:rFonts w:asciiTheme="minorHAnsi" w:hAnsiTheme="minorHAnsi"/>
              </w:rPr>
            </w:pPr>
            <w:r w:rsidRPr="00FE645B">
              <w:rPr>
                <w:rFonts w:asciiTheme="minorHAnsi" w:hAnsiTheme="minorHAnsi"/>
                <w:i/>
                <w:sz w:val="18"/>
                <w:szCs w:val="18"/>
              </w:rPr>
              <w:t>(oceny dokonuje Departament Energii i Innowacji w terminie 10 dni od dnia złożenia wniosku)</w:t>
            </w:r>
          </w:p>
        </w:tc>
        <w:tc>
          <w:tcPr>
            <w:tcW w:w="461" w:type="pct"/>
            <w:tcBorders>
              <w:top w:val="single" w:sz="4" w:space="0" w:color="auto"/>
              <w:left w:val="single" w:sz="4" w:space="0" w:color="auto"/>
              <w:bottom w:val="single" w:sz="4" w:space="0" w:color="auto"/>
              <w:right w:val="single" w:sz="4" w:space="0" w:color="auto"/>
            </w:tcBorders>
          </w:tcPr>
          <w:p w14:paraId="7AE9A765" w14:textId="77777777" w:rsidR="00FC5D9A" w:rsidRPr="00311A6B" w:rsidRDefault="00FC5D9A" w:rsidP="003E55BD">
            <w:pPr>
              <w:tabs>
                <w:tab w:val="num" w:pos="2340"/>
              </w:tabs>
              <w:spacing w:before="60" w:after="60"/>
              <w:ind w:left="35"/>
              <w:jc w:val="center"/>
              <w:rPr>
                <w:rFonts w:asciiTheme="minorHAnsi" w:hAnsiTheme="minorHAnsi"/>
              </w:rPr>
            </w:pPr>
          </w:p>
        </w:tc>
        <w:tc>
          <w:tcPr>
            <w:tcW w:w="425" w:type="pct"/>
            <w:tcBorders>
              <w:top w:val="single" w:sz="4" w:space="0" w:color="auto"/>
              <w:left w:val="single" w:sz="4" w:space="0" w:color="auto"/>
              <w:bottom w:val="single" w:sz="4" w:space="0" w:color="auto"/>
              <w:right w:val="single" w:sz="4" w:space="0" w:color="auto"/>
            </w:tcBorders>
          </w:tcPr>
          <w:p w14:paraId="70C7CF17" w14:textId="77777777" w:rsidR="00FC5D9A" w:rsidRPr="00311A6B" w:rsidRDefault="00FC5D9A" w:rsidP="003E55BD">
            <w:pPr>
              <w:tabs>
                <w:tab w:val="num" w:pos="2340"/>
              </w:tabs>
              <w:spacing w:before="60" w:after="60"/>
              <w:ind w:left="35"/>
              <w:jc w:val="center"/>
              <w:rPr>
                <w:rFonts w:asciiTheme="minorHAnsi" w:hAnsiTheme="minorHAnsi"/>
              </w:rPr>
            </w:pPr>
          </w:p>
        </w:tc>
      </w:tr>
    </w:tbl>
    <w:p w14:paraId="66DA586D" w14:textId="77777777" w:rsidR="00FC5D9A" w:rsidRPr="00311A6B" w:rsidRDefault="00FC5D9A" w:rsidP="00FC5D9A">
      <w:pPr>
        <w:spacing w:line="276" w:lineRule="auto"/>
        <w:jc w:val="both"/>
        <w:rPr>
          <w:rFonts w:asciiTheme="minorHAnsi" w:hAnsiTheme="minorHAnsi"/>
          <w:i/>
          <w:sz w:val="20"/>
          <w:szCs w:val="20"/>
        </w:rPr>
      </w:pPr>
      <w:r w:rsidRPr="00311A6B">
        <w:rPr>
          <w:rFonts w:asciiTheme="minorHAnsi" w:hAnsiTheme="minorHAnsi"/>
          <w:i/>
          <w:sz w:val="20"/>
          <w:szCs w:val="20"/>
        </w:rPr>
        <w:t>*szczegółowe wymagania dotyczące spełnienia kryterium może zawierać ogłoszenie o naborze</w:t>
      </w:r>
    </w:p>
    <w:p w14:paraId="32F950D3" w14:textId="77777777" w:rsidR="00026BD0" w:rsidRDefault="00026BD0" w:rsidP="00FC5D9A">
      <w:pPr>
        <w:spacing w:before="60" w:line="276" w:lineRule="auto"/>
        <w:jc w:val="both"/>
        <w:rPr>
          <w:rFonts w:asciiTheme="minorHAnsi" w:hAnsiTheme="minorHAnsi"/>
          <w:b/>
          <w:sz w:val="22"/>
          <w:szCs w:val="22"/>
        </w:rPr>
      </w:pPr>
    </w:p>
    <w:p w14:paraId="25F528A9" w14:textId="3FA8A629" w:rsidR="00026BD0" w:rsidRPr="00026BD0" w:rsidRDefault="00026BD0" w:rsidP="00996A36">
      <w:pPr>
        <w:tabs>
          <w:tab w:val="left" w:pos="0"/>
        </w:tabs>
        <w:jc w:val="both"/>
        <w:rPr>
          <w:rFonts w:asciiTheme="minorHAnsi" w:hAnsiTheme="minorHAnsi" w:cstheme="minorHAnsi"/>
          <w:b/>
          <w:sz w:val="22"/>
          <w:szCs w:val="22"/>
        </w:rPr>
      </w:pPr>
      <w:r w:rsidRPr="00996A36">
        <w:rPr>
          <w:rFonts w:asciiTheme="minorHAnsi" w:hAnsiTheme="minorHAnsi" w:cstheme="minorHAnsi"/>
          <w:sz w:val="22"/>
          <w:szCs w:val="22"/>
        </w:rPr>
        <w:t>Warunkiem przeprowadzania oceny wniosku w oparciu o kryteria jakościowe dopuszczające</w:t>
      </w:r>
      <w:r w:rsidRPr="00996A36">
        <w:rPr>
          <w:rFonts w:asciiTheme="minorHAnsi" w:hAnsiTheme="minorHAnsi" w:cstheme="minorHAnsi"/>
          <w:b/>
          <w:sz w:val="22"/>
          <w:szCs w:val="22"/>
        </w:rPr>
        <w:t xml:space="preserve"> </w:t>
      </w:r>
      <w:r w:rsidRPr="00996A36">
        <w:rPr>
          <w:rFonts w:asciiTheme="minorHAnsi" w:hAnsiTheme="minorHAnsi" w:cstheme="minorHAnsi"/>
          <w:sz w:val="22"/>
          <w:szCs w:val="22"/>
        </w:rPr>
        <w:t>jest uzyskanie</w:t>
      </w:r>
      <w:r w:rsidRPr="00996A36">
        <w:rPr>
          <w:rFonts w:asciiTheme="minorHAnsi" w:hAnsiTheme="minorHAnsi" w:cstheme="minorHAnsi"/>
          <w:b/>
          <w:sz w:val="22"/>
          <w:szCs w:val="22"/>
        </w:rPr>
        <w:t xml:space="preserve"> </w:t>
      </w:r>
      <w:r w:rsidRPr="00996A36">
        <w:rPr>
          <w:rFonts w:asciiTheme="minorHAnsi" w:hAnsiTheme="minorHAnsi" w:cstheme="minorHAnsi"/>
          <w:sz w:val="22"/>
          <w:szCs w:val="22"/>
        </w:rPr>
        <w:t>pozytywnej opinii dotyczącej przedsięwzięcia wydanej przez ministra właściwego do spraw środowiska, o której mowa w art. 411 ust. 2 ustawy Prawo ochrony środowiska (o opini</w:t>
      </w:r>
      <w:r>
        <w:rPr>
          <w:rFonts w:asciiTheme="minorHAnsi" w:hAnsiTheme="minorHAnsi" w:cstheme="minorHAnsi"/>
          <w:sz w:val="22"/>
          <w:szCs w:val="22"/>
        </w:rPr>
        <w:t>ę</w:t>
      </w:r>
      <w:r w:rsidRPr="00996A36">
        <w:rPr>
          <w:rFonts w:asciiTheme="minorHAnsi" w:hAnsiTheme="minorHAnsi" w:cstheme="minorHAnsi"/>
          <w:sz w:val="22"/>
          <w:szCs w:val="22"/>
        </w:rPr>
        <w:t xml:space="preserve"> występuje NFOŚiGW).</w:t>
      </w:r>
    </w:p>
    <w:p w14:paraId="48DC590F" w14:textId="77777777" w:rsidR="00026BD0" w:rsidRDefault="00026BD0" w:rsidP="00FC5D9A">
      <w:pPr>
        <w:spacing w:before="60" w:line="276" w:lineRule="auto"/>
        <w:jc w:val="both"/>
        <w:rPr>
          <w:rFonts w:asciiTheme="minorHAnsi" w:hAnsiTheme="minorHAnsi"/>
          <w:b/>
          <w:sz w:val="22"/>
          <w:szCs w:val="22"/>
        </w:rPr>
      </w:pPr>
    </w:p>
    <w:p w14:paraId="6203185D" w14:textId="329CEA7C" w:rsidR="00FC5D9A" w:rsidRPr="00FE629B" w:rsidRDefault="00FC5D9A" w:rsidP="00FC5D9A">
      <w:pPr>
        <w:spacing w:before="60" w:line="276" w:lineRule="auto"/>
        <w:jc w:val="both"/>
        <w:rPr>
          <w:rFonts w:asciiTheme="minorHAnsi" w:hAnsiTheme="minorHAnsi"/>
          <w:b/>
          <w:sz w:val="22"/>
          <w:szCs w:val="22"/>
        </w:rPr>
      </w:pPr>
      <w:r w:rsidRPr="00FE629B">
        <w:rPr>
          <w:rFonts w:asciiTheme="minorHAnsi" w:hAnsiTheme="minorHAnsi"/>
          <w:b/>
          <w:sz w:val="22"/>
          <w:szCs w:val="22"/>
        </w:rPr>
        <w:t>KRYTERIA JAKOŚCIOWE DOPUSZCZAJĄCE</w:t>
      </w:r>
    </w:p>
    <w:tbl>
      <w:tblPr>
        <w:tblpPr w:leftFromText="141" w:rightFromText="141" w:vertAnchor="text" w:horzAnchor="margin" w:tblpX="-7" w:tblpY="177"/>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180"/>
        <w:gridCol w:w="851"/>
        <w:gridCol w:w="713"/>
        <w:gridCol w:w="137"/>
        <w:gridCol w:w="23"/>
      </w:tblGrid>
      <w:tr w:rsidR="00FC5D9A" w:rsidRPr="00095BB9" w14:paraId="6CF2C7DD" w14:textId="77777777" w:rsidTr="00C72594">
        <w:trPr>
          <w:gridAfter w:val="1"/>
          <w:wAfter w:w="23" w:type="dxa"/>
          <w:cantSplit/>
          <w:trHeight w:val="219"/>
        </w:trPr>
        <w:tc>
          <w:tcPr>
            <w:tcW w:w="1186" w:type="dxa"/>
            <w:shd w:val="clear" w:color="auto" w:fill="BFBFBF"/>
            <w:vAlign w:val="center"/>
          </w:tcPr>
          <w:p w14:paraId="2BCA8A78" w14:textId="77777777" w:rsidR="00FC5D9A" w:rsidRPr="00FE629B" w:rsidRDefault="00FC5D9A" w:rsidP="000C6E68">
            <w:pPr>
              <w:autoSpaceDE w:val="0"/>
              <w:autoSpaceDN w:val="0"/>
              <w:adjustRightInd w:val="0"/>
              <w:spacing w:before="60" w:after="60"/>
              <w:jc w:val="center"/>
              <w:rPr>
                <w:rFonts w:asciiTheme="minorHAnsi" w:hAnsiTheme="minorHAnsi"/>
                <w:b/>
                <w:sz w:val="22"/>
                <w:szCs w:val="22"/>
              </w:rPr>
            </w:pPr>
            <w:r w:rsidRPr="00FE629B">
              <w:rPr>
                <w:rFonts w:asciiTheme="minorHAnsi" w:hAnsiTheme="minorHAnsi"/>
                <w:b/>
                <w:sz w:val="22"/>
                <w:szCs w:val="22"/>
              </w:rPr>
              <w:t>LP.</w:t>
            </w:r>
          </w:p>
        </w:tc>
        <w:tc>
          <w:tcPr>
            <w:tcW w:w="6180" w:type="dxa"/>
            <w:shd w:val="clear" w:color="auto" w:fill="BFBFBF"/>
            <w:vAlign w:val="center"/>
          </w:tcPr>
          <w:p w14:paraId="142ED98A" w14:textId="77777777" w:rsidR="00FC5D9A" w:rsidRPr="00FE629B" w:rsidRDefault="00FC5D9A" w:rsidP="000C6E68">
            <w:pPr>
              <w:autoSpaceDE w:val="0"/>
              <w:autoSpaceDN w:val="0"/>
              <w:adjustRightInd w:val="0"/>
              <w:spacing w:before="60" w:after="60"/>
              <w:jc w:val="center"/>
              <w:rPr>
                <w:rFonts w:asciiTheme="minorHAnsi" w:hAnsiTheme="minorHAnsi"/>
                <w:b/>
                <w:sz w:val="22"/>
                <w:szCs w:val="22"/>
              </w:rPr>
            </w:pPr>
            <w:r w:rsidRPr="00FE629B">
              <w:rPr>
                <w:rFonts w:asciiTheme="minorHAnsi" w:hAnsiTheme="minorHAnsi"/>
                <w:b/>
                <w:sz w:val="22"/>
                <w:szCs w:val="22"/>
              </w:rPr>
              <w:t>NAZWA KRYTERIUM</w:t>
            </w:r>
          </w:p>
        </w:tc>
        <w:tc>
          <w:tcPr>
            <w:tcW w:w="851" w:type="dxa"/>
            <w:shd w:val="clear" w:color="auto" w:fill="BFBFBF"/>
            <w:vAlign w:val="center"/>
          </w:tcPr>
          <w:p w14:paraId="645C4298" w14:textId="77777777" w:rsidR="00FC5D9A" w:rsidRPr="00FE629B" w:rsidRDefault="00FC5D9A" w:rsidP="000C6E68">
            <w:pPr>
              <w:autoSpaceDE w:val="0"/>
              <w:autoSpaceDN w:val="0"/>
              <w:adjustRightInd w:val="0"/>
              <w:spacing w:before="60" w:after="60"/>
              <w:jc w:val="center"/>
              <w:rPr>
                <w:rFonts w:asciiTheme="minorHAnsi" w:hAnsiTheme="minorHAnsi"/>
                <w:b/>
                <w:sz w:val="22"/>
                <w:szCs w:val="22"/>
              </w:rPr>
            </w:pPr>
            <w:r w:rsidRPr="00FE629B">
              <w:rPr>
                <w:rFonts w:asciiTheme="minorHAnsi" w:hAnsiTheme="minorHAnsi"/>
                <w:b/>
                <w:sz w:val="22"/>
                <w:szCs w:val="22"/>
              </w:rPr>
              <w:t>TAK</w:t>
            </w:r>
          </w:p>
        </w:tc>
        <w:tc>
          <w:tcPr>
            <w:tcW w:w="850" w:type="dxa"/>
            <w:gridSpan w:val="2"/>
            <w:shd w:val="clear" w:color="auto" w:fill="BFBFBF"/>
          </w:tcPr>
          <w:p w14:paraId="4273BBA7" w14:textId="77777777" w:rsidR="00FC5D9A" w:rsidRPr="00FE629B" w:rsidRDefault="00FC5D9A" w:rsidP="000C6E68">
            <w:pPr>
              <w:autoSpaceDE w:val="0"/>
              <w:autoSpaceDN w:val="0"/>
              <w:adjustRightInd w:val="0"/>
              <w:spacing w:before="60" w:after="60"/>
              <w:jc w:val="center"/>
              <w:rPr>
                <w:rFonts w:asciiTheme="minorHAnsi" w:hAnsiTheme="minorHAnsi"/>
                <w:b/>
                <w:sz w:val="22"/>
                <w:szCs w:val="22"/>
              </w:rPr>
            </w:pPr>
            <w:r w:rsidRPr="00FE629B">
              <w:rPr>
                <w:rFonts w:asciiTheme="minorHAnsi" w:hAnsiTheme="minorHAnsi"/>
                <w:b/>
                <w:sz w:val="22"/>
                <w:szCs w:val="22"/>
              </w:rPr>
              <w:t>NIE</w:t>
            </w:r>
          </w:p>
        </w:tc>
      </w:tr>
      <w:tr w:rsidR="00FC5D9A" w:rsidRPr="00095BB9" w14:paraId="78C6E474" w14:textId="77777777" w:rsidTr="00C72594">
        <w:trPr>
          <w:gridAfter w:val="1"/>
          <w:wAfter w:w="23" w:type="dxa"/>
          <w:cantSplit/>
          <w:trHeight w:val="263"/>
        </w:trPr>
        <w:tc>
          <w:tcPr>
            <w:tcW w:w="1186" w:type="dxa"/>
            <w:shd w:val="clear" w:color="auto" w:fill="BFBFBF"/>
            <w:vAlign w:val="center"/>
          </w:tcPr>
          <w:p w14:paraId="38EA4D17" w14:textId="77777777"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7881" w:type="dxa"/>
            <w:gridSpan w:val="4"/>
            <w:shd w:val="clear" w:color="auto" w:fill="BFBFBF"/>
            <w:vAlign w:val="center"/>
          </w:tcPr>
          <w:p w14:paraId="0F9C431A" w14:textId="77777777" w:rsidR="00FC5D9A" w:rsidRPr="00FE629B" w:rsidRDefault="00FC5D9A" w:rsidP="000C6E68">
            <w:pPr>
              <w:spacing w:before="120" w:after="120" w:line="276" w:lineRule="auto"/>
              <w:rPr>
                <w:rFonts w:asciiTheme="minorHAnsi" w:hAnsiTheme="minorHAnsi"/>
                <w:b/>
                <w:sz w:val="22"/>
                <w:szCs w:val="22"/>
              </w:rPr>
            </w:pPr>
            <w:r w:rsidRPr="00FE629B">
              <w:rPr>
                <w:rFonts w:asciiTheme="minorHAnsi" w:hAnsiTheme="minorHAnsi"/>
                <w:b/>
                <w:sz w:val="22"/>
                <w:szCs w:val="22"/>
              </w:rPr>
              <w:t>OCENA FINANSOWA (o ile dotyczy)</w:t>
            </w:r>
          </w:p>
        </w:tc>
      </w:tr>
      <w:tr w:rsidR="00FC5D9A" w:rsidRPr="00095BB9" w14:paraId="04078239" w14:textId="77777777" w:rsidTr="00C72594">
        <w:trPr>
          <w:cantSplit/>
          <w:trHeight w:val="263"/>
        </w:trPr>
        <w:tc>
          <w:tcPr>
            <w:tcW w:w="1186" w:type="dxa"/>
            <w:shd w:val="clear" w:color="auto" w:fill="BFBFBF"/>
            <w:vAlign w:val="center"/>
          </w:tcPr>
          <w:p w14:paraId="01373632" w14:textId="77777777"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1.</w:t>
            </w:r>
          </w:p>
        </w:tc>
        <w:tc>
          <w:tcPr>
            <w:tcW w:w="6180" w:type="dxa"/>
            <w:shd w:val="clear" w:color="auto" w:fill="BFBFBF"/>
            <w:vAlign w:val="center"/>
          </w:tcPr>
          <w:p w14:paraId="3E26DFF9" w14:textId="77777777" w:rsidR="00FC5D9A" w:rsidRPr="00FE629B" w:rsidRDefault="00FC5D9A" w:rsidP="000C6E68">
            <w:pPr>
              <w:spacing w:before="120" w:after="120" w:line="276" w:lineRule="auto"/>
              <w:jc w:val="both"/>
              <w:rPr>
                <w:rFonts w:asciiTheme="minorHAnsi" w:hAnsiTheme="minorHAnsi"/>
                <w:b/>
                <w:sz w:val="22"/>
                <w:szCs w:val="22"/>
              </w:rPr>
            </w:pPr>
            <w:r w:rsidRPr="00FE629B">
              <w:rPr>
                <w:rFonts w:asciiTheme="minorHAnsi" w:hAnsiTheme="minorHAnsi"/>
                <w:sz w:val="22"/>
                <w:szCs w:val="22"/>
              </w:rPr>
              <w:t xml:space="preserve">Analiza bieżącej sytuacji finansowej Wnioskodawcy </w:t>
            </w:r>
          </w:p>
        </w:tc>
        <w:tc>
          <w:tcPr>
            <w:tcW w:w="1564" w:type="dxa"/>
            <w:gridSpan w:val="2"/>
            <w:shd w:val="clear" w:color="auto" w:fill="BFBFBF"/>
            <w:vAlign w:val="center"/>
          </w:tcPr>
          <w:p w14:paraId="746B3C0E" w14:textId="77777777" w:rsidR="00FC5D9A" w:rsidRPr="00FE629B" w:rsidRDefault="00FC5D9A" w:rsidP="000C6E68">
            <w:pPr>
              <w:spacing w:before="120" w:after="120" w:line="276" w:lineRule="auto"/>
              <w:jc w:val="both"/>
              <w:rPr>
                <w:rFonts w:asciiTheme="minorHAnsi" w:hAnsiTheme="minorHAnsi"/>
                <w:b/>
                <w:sz w:val="22"/>
                <w:szCs w:val="22"/>
              </w:rPr>
            </w:pPr>
          </w:p>
        </w:tc>
        <w:tc>
          <w:tcPr>
            <w:tcW w:w="160" w:type="dxa"/>
            <w:gridSpan w:val="2"/>
            <w:shd w:val="clear" w:color="auto" w:fill="BFBFBF"/>
            <w:vAlign w:val="center"/>
          </w:tcPr>
          <w:p w14:paraId="50EBE044" w14:textId="77777777" w:rsidR="00FC5D9A" w:rsidRPr="00FE629B" w:rsidRDefault="00FC5D9A" w:rsidP="000C6E68">
            <w:pPr>
              <w:spacing w:before="120" w:after="120" w:line="276" w:lineRule="auto"/>
              <w:jc w:val="both"/>
              <w:rPr>
                <w:rFonts w:asciiTheme="minorHAnsi" w:hAnsiTheme="minorHAnsi"/>
                <w:b/>
                <w:sz w:val="22"/>
                <w:szCs w:val="22"/>
              </w:rPr>
            </w:pPr>
          </w:p>
        </w:tc>
      </w:tr>
      <w:tr w:rsidR="00FC5D9A" w:rsidRPr="00311A6B" w14:paraId="22F190A1" w14:textId="77777777" w:rsidTr="00C72594">
        <w:trPr>
          <w:gridAfter w:val="1"/>
          <w:wAfter w:w="23" w:type="dxa"/>
          <w:cantSplit/>
          <w:trHeight w:val="263"/>
        </w:trPr>
        <w:tc>
          <w:tcPr>
            <w:tcW w:w="9067" w:type="dxa"/>
            <w:gridSpan w:val="5"/>
            <w:shd w:val="clear" w:color="auto" w:fill="BFBFBF"/>
            <w:vAlign w:val="center"/>
          </w:tcPr>
          <w:p w14:paraId="2F1B7F4D" w14:textId="77777777" w:rsidR="00FC5D9A" w:rsidRPr="00311A6B" w:rsidRDefault="00FC5D9A" w:rsidP="000C6E68">
            <w:pPr>
              <w:autoSpaceDE w:val="0"/>
              <w:autoSpaceDN w:val="0"/>
              <w:adjustRightInd w:val="0"/>
              <w:spacing w:before="240" w:after="60"/>
              <w:jc w:val="both"/>
              <w:rPr>
                <w:rFonts w:asciiTheme="minorHAnsi" w:hAnsiTheme="minorHAnsi"/>
                <w:i/>
                <w:iCs/>
                <w:color w:val="000000"/>
                <w:sz w:val="20"/>
                <w:szCs w:val="20"/>
              </w:rPr>
            </w:pPr>
            <w:r w:rsidRPr="00311A6B">
              <w:rPr>
                <w:rFonts w:asciiTheme="minorHAnsi" w:hAnsiTheme="minorHAnsi"/>
                <w:i/>
                <w:iCs/>
                <w:color w:val="000000"/>
                <w:sz w:val="20"/>
                <w:szCs w:val="20"/>
              </w:rPr>
              <w:t>Zasady oceny:</w:t>
            </w:r>
          </w:p>
          <w:p w14:paraId="4CEF8876" w14:textId="77777777" w:rsidR="00FC5D9A" w:rsidRPr="00311A6B" w:rsidRDefault="00FC5D9A" w:rsidP="000C6E68">
            <w:pPr>
              <w:jc w:val="both"/>
              <w:rPr>
                <w:rFonts w:asciiTheme="minorHAnsi" w:hAnsiTheme="minorHAnsi"/>
                <w:sz w:val="20"/>
                <w:szCs w:val="20"/>
              </w:rPr>
            </w:pPr>
            <w:r w:rsidRPr="00311A6B">
              <w:rPr>
                <w:rFonts w:asciiTheme="minorHAnsi" w:hAnsiTheme="minorHAnsi"/>
                <w:iCs/>
                <w:sz w:val="20"/>
                <w:szCs w:val="20"/>
              </w:rPr>
              <w:t xml:space="preserve">Ocena przeprowadzana jest na podstawie </w:t>
            </w:r>
            <w:r w:rsidRPr="00311A6B">
              <w:rPr>
                <w:rFonts w:asciiTheme="minorHAnsi" w:hAnsiTheme="minorHAnsi"/>
                <w:sz w:val="20"/>
                <w:szCs w:val="20"/>
              </w:rPr>
              <w:t>zweryfikowanych przez NFOŚiGW danych finansowych przedstawionych we wniosku (wraz z załącznikami) zgodnie z</w:t>
            </w:r>
            <w:r w:rsidRPr="00311A6B">
              <w:rPr>
                <w:rFonts w:asciiTheme="minorHAnsi" w:hAnsiTheme="minorHAnsi"/>
                <w:iCs/>
                <w:sz w:val="20"/>
                <w:szCs w:val="20"/>
              </w:rPr>
              <w:t xml:space="preserve"> </w:t>
            </w:r>
            <w:r w:rsidRPr="00311A6B">
              <w:rPr>
                <w:rFonts w:asciiTheme="minorHAnsi" w:hAnsiTheme="minorHAnsi"/>
                <w:i/>
                <w:iCs/>
                <w:sz w:val="20"/>
                <w:szCs w:val="20"/>
              </w:rPr>
              <w:t>Metodyką</w:t>
            </w:r>
            <w:r w:rsidRPr="00311A6B">
              <w:rPr>
                <w:rFonts w:asciiTheme="minorHAnsi" w:hAnsiTheme="minorHAnsi"/>
                <w:i/>
                <w:sz w:val="20"/>
                <w:szCs w:val="20"/>
              </w:rPr>
              <w:t xml:space="preserve"> oceny finansowej wniosku o dofinansowanie. </w:t>
            </w:r>
          </w:p>
          <w:p w14:paraId="1C52E864" w14:textId="77777777" w:rsidR="00FC5D9A" w:rsidRPr="00311A6B" w:rsidRDefault="00FC5D9A" w:rsidP="000C6E68">
            <w:pPr>
              <w:jc w:val="both"/>
              <w:rPr>
                <w:rFonts w:asciiTheme="minorHAnsi" w:hAnsiTheme="minorHAnsi"/>
                <w:iCs/>
                <w:sz w:val="20"/>
                <w:szCs w:val="20"/>
              </w:rPr>
            </w:pPr>
            <w:r w:rsidRPr="00311A6B">
              <w:rPr>
                <w:rFonts w:asciiTheme="minorHAnsi" w:hAnsiTheme="minorHAnsi"/>
                <w:sz w:val="20"/>
                <w:szCs w:val="20"/>
              </w:rPr>
              <w:t>Kryterium jest ocenione pozytywnie, o ile z oceny wynika, że Wnioskodawca nie znajduje się w złej sytuacji finansowej,  posiada środki na sfinansowanie wkładu własnego oraz, że ryzyko finansowe związane z realizacją przedsięwzięcia jest na akceptowalnym poziomie.</w:t>
            </w:r>
          </w:p>
          <w:p w14:paraId="33AA0FC8" w14:textId="77777777" w:rsidR="00FC5D9A" w:rsidRPr="00311A6B" w:rsidRDefault="00FC5D9A" w:rsidP="000C6E68">
            <w:pPr>
              <w:jc w:val="both"/>
              <w:rPr>
                <w:rFonts w:asciiTheme="minorHAnsi" w:hAnsiTheme="minorHAnsi"/>
                <w:iCs/>
                <w:sz w:val="20"/>
                <w:szCs w:val="20"/>
              </w:rPr>
            </w:pPr>
          </w:p>
          <w:p w14:paraId="1E2C4220" w14:textId="77777777" w:rsidR="00FC5D9A" w:rsidRPr="00311A6B" w:rsidRDefault="00FC5D9A" w:rsidP="000C6E68">
            <w:pPr>
              <w:spacing w:before="120" w:after="120" w:line="276" w:lineRule="auto"/>
              <w:jc w:val="both"/>
              <w:rPr>
                <w:rFonts w:asciiTheme="minorHAnsi" w:hAnsiTheme="minorHAnsi"/>
                <w:b/>
              </w:rPr>
            </w:pPr>
            <w:r w:rsidRPr="00311A6B">
              <w:rPr>
                <w:rFonts w:asciiTheme="minorHAnsi" w:hAnsiTheme="minorHAnsi"/>
                <w:i/>
                <w:sz w:val="20"/>
                <w:szCs w:val="20"/>
              </w:rPr>
              <w:t xml:space="preserve">Negatywna ocena kryterium </w:t>
            </w:r>
            <w:r w:rsidRPr="00311A6B">
              <w:rPr>
                <w:rFonts w:asciiTheme="minorHAnsi" w:hAnsiTheme="minorHAnsi"/>
                <w:b/>
                <w:bCs/>
                <w:i/>
                <w:sz w:val="20"/>
                <w:szCs w:val="20"/>
              </w:rPr>
              <w:t>powoduje odrzucenie wniosku</w:t>
            </w:r>
            <w:r w:rsidRPr="00311A6B">
              <w:rPr>
                <w:rFonts w:asciiTheme="minorHAnsi" w:hAnsiTheme="minorHAnsi"/>
                <w:b/>
                <w:sz w:val="20"/>
                <w:szCs w:val="20"/>
              </w:rPr>
              <w:t xml:space="preserve"> </w:t>
            </w:r>
          </w:p>
        </w:tc>
      </w:tr>
      <w:tr w:rsidR="00FC5D9A" w:rsidRPr="00311A6B" w14:paraId="61C2AC48" w14:textId="77777777" w:rsidTr="00C72594">
        <w:trPr>
          <w:gridAfter w:val="1"/>
          <w:wAfter w:w="23" w:type="dxa"/>
          <w:cantSplit/>
          <w:trHeight w:val="263"/>
        </w:trPr>
        <w:tc>
          <w:tcPr>
            <w:tcW w:w="1186" w:type="dxa"/>
            <w:vAlign w:val="center"/>
          </w:tcPr>
          <w:p w14:paraId="28464383"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2.</w:t>
            </w:r>
          </w:p>
        </w:tc>
        <w:tc>
          <w:tcPr>
            <w:tcW w:w="6180" w:type="dxa"/>
            <w:vAlign w:val="center"/>
          </w:tcPr>
          <w:p w14:paraId="2A98B5F5" w14:textId="77777777" w:rsidR="00FC5D9A" w:rsidRPr="00FE629B" w:rsidRDefault="00FC5D9A" w:rsidP="000C6E68">
            <w:pPr>
              <w:spacing w:before="60" w:after="60"/>
              <w:rPr>
                <w:rFonts w:asciiTheme="minorHAnsi" w:hAnsiTheme="minorHAnsi"/>
                <w:sz w:val="22"/>
                <w:szCs w:val="22"/>
              </w:rPr>
            </w:pPr>
            <w:r w:rsidRPr="00FE629B">
              <w:rPr>
                <w:rFonts w:asciiTheme="minorHAnsi" w:hAnsiTheme="minorHAnsi"/>
                <w:sz w:val="22"/>
                <w:szCs w:val="22"/>
              </w:rPr>
              <w:t xml:space="preserve">Analiza prognozowanej sytuacji finansowej Wnioskodawcy – </w:t>
            </w:r>
          </w:p>
          <w:p w14:paraId="3F8948C7" w14:textId="77777777" w:rsidR="00FC5D9A" w:rsidRPr="00FE629B" w:rsidRDefault="00FC5D9A" w:rsidP="000C6E68">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 xml:space="preserve">w tym </w:t>
            </w:r>
            <w:r w:rsidRPr="00FE629B">
              <w:rPr>
                <w:rFonts w:asciiTheme="minorHAnsi" w:hAnsiTheme="minorHAnsi"/>
                <w:bCs/>
                <w:sz w:val="22"/>
                <w:szCs w:val="22"/>
              </w:rPr>
              <w:t xml:space="preserve">analiza wykonalności i trwałości finansowej </w:t>
            </w:r>
          </w:p>
        </w:tc>
        <w:tc>
          <w:tcPr>
            <w:tcW w:w="851" w:type="dxa"/>
            <w:vAlign w:val="center"/>
          </w:tcPr>
          <w:p w14:paraId="10B9CCCB"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p>
        </w:tc>
        <w:tc>
          <w:tcPr>
            <w:tcW w:w="850" w:type="dxa"/>
            <w:gridSpan w:val="2"/>
          </w:tcPr>
          <w:p w14:paraId="42F23AB3" w14:textId="77777777" w:rsidR="00FC5D9A" w:rsidRPr="00FE629B" w:rsidRDefault="00FC5D9A" w:rsidP="000C6E68">
            <w:pPr>
              <w:autoSpaceDE w:val="0"/>
              <w:autoSpaceDN w:val="0"/>
              <w:adjustRightInd w:val="0"/>
              <w:spacing w:before="60" w:after="60"/>
              <w:rPr>
                <w:rFonts w:asciiTheme="minorHAnsi" w:hAnsiTheme="minorHAnsi"/>
                <w:sz w:val="22"/>
                <w:szCs w:val="22"/>
              </w:rPr>
            </w:pPr>
          </w:p>
        </w:tc>
      </w:tr>
      <w:tr w:rsidR="00FC5D9A" w:rsidRPr="00311A6B" w14:paraId="7A0CD06D" w14:textId="77777777" w:rsidTr="00C72594">
        <w:trPr>
          <w:gridAfter w:val="1"/>
          <w:wAfter w:w="23" w:type="dxa"/>
          <w:cantSplit/>
          <w:trHeight w:val="263"/>
        </w:trPr>
        <w:tc>
          <w:tcPr>
            <w:tcW w:w="9067" w:type="dxa"/>
            <w:gridSpan w:val="5"/>
            <w:shd w:val="clear" w:color="auto" w:fill="BFBFBF"/>
            <w:vAlign w:val="center"/>
          </w:tcPr>
          <w:p w14:paraId="04583C66" w14:textId="77777777" w:rsidR="00FC5D9A" w:rsidRPr="00311A6B" w:rsidRDefault="00FC5D9A" w:rsidP="000C6E68">
            <w:pPr>
              <w:autoSpaceDE w:val="0"/>
              <w:autoSpaceDN w:val="0"/>
              <w:adjustRightInd w:val="0"/>
              <w:spacing w:before="240" w:after="60"/>
              <w:jc w:val="both"/>
              <w:rPr>
                <w:rFonts w:asciiTheme="minorHAnsi" w:hAnsiTheme="minorHAnsi"/>
                <w:i/>
                <w:iCs/>
                <w:color w:val="000000"/>
                <w:sz w:val="20"/>
                <w:szCs w:val="20"/>
              </w:rPr>
            </w:pPr>
            <w:r w:rsidRPr="00311A6B">
              <w:rPr>
                <w:rFonts w:asciiTheme="minorHAnsi" w:hAnsiTheme="minorHAnsi"/>
                <w:i/>
                <w:iCs/>
                <w:color w:val="000000"/>
                <w:sz w:val="20"/>
                <w:szCs w:val="20"/>
              </w:rPr>
              <w:t>Zasady oceny:</w:t>
            </w:r>
          </w:p>
          <w:p w14:paraId="4811BA4B" w14:textId="77777777" w:rsidR="00FC5D9A" w:rsidRPr="00311A6B" w:rsidRDefault="00FC5D9A" w:rsidP="000C6E68">
            <w:pPr>
              <w:autoSpaceDE w:val="0"/>
              <w:autoSpaceDN w:val="0"/>
              <w:adjustRightInd w:val="0"/>
              <w:spacing w:before="60" w:after="60"/>
              <w:jc w:val="both"/>
              <w:rPr>
                <w:rFonts w:asciiTheme="minorHAnsi" w:hAnsiTheme="minorHAnsi"/>
                <w:sz w:val="20"/>
                <w:szCs w:val="20"/>
              </w:rPr>
            </w:pPr>
            <w:r w:rsidRPr="00311A6B">
              <w:rPr>
                <w:rFonts w:asciiTheme="minorHAnsi" w:hAnsiTheme="minorHAnsi"/>
                <w:iCs/>
                <w:sz w:val="20"/>
                <w:szCs w:val="20"/>
              </w:rPr>
              <w:t xml:space="preserve">Ocena przeprowadzana jest na podstawie </w:t>
            </w:r>
            <w:r w:rsidRPr="00311A6B">
              <w:rPr>
                <w:rFonts w:asciiTheme="minorHAnsi" w:hAnsiTheme="minorHAnsi"/>
                <w:sz w:val="20"/>
                <w:szCs w:val="20"/>
              </w:rPr>
              <w:t>zweryfikowanych przez NFOŚiGW danych finansowych przedstawionych we wniosku (wraz z załącznikami) zgodnie z</w:t>
            </w:r>
            <w:r w:rsidRPr="00311A6B">
              <w:rPr>
                <w:rFonts w:asciiTheme="minorHAnsi" w:hAnsiTheme="minorHAnsi"/>
                <w:iCs/>
                <w:sz w:val="20"/>
                <w:szCs w:val="20"/>
              </w:rPr>
              <w:t xml:space="preserve"> </w:t>
            </w:r>
            <w:r w:rsidRPr="00311A6B">
              <w:rPr>
                <w:rFonts w:asciiTheme="minorHAnsi" w:hAnsiTheme="minorHAnsi"/>
                <w:i/>
                <w:iCs/>
                <w:sz w:val="20"/>
                <w:szCs w:val="20"/>
              </w:rPr>
              <w:t>Metodyką</w:t>
            </w:r>
            <w:r w:rsidRPr="00311A6B">
              <w:rPr>
                <w:rFonts w:asciiTheme="minorHAnsi" w:hAnsiTheme="minorHAnsi"/>
                <w:i/>
                <w:sz w:val="20"/>
                <w:szCs w:val="20"/>
              </w:rPr>
              <w:t xml:space="preserve"> oceny finansowej wniosku o dofinansowanie</w:t>
            </w:r>
            <w:r w:rsidRPr="00311A6B">
              <w:rPr>
                <w:rFonts w:asciiTheme="minorHAnsi" w:hAnsiTheme="minorHAns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6B24B3A6" w14:textId="77777777" w:rsidR="00FC5D9A" w:rsidRPr="00311A6B" w:rsidRDefault="00FC5D9A" w:rsidP="000C6E68">
            <w:pPr>
              <w:spacing w:before="120" w:after="120" w:line="276" w:lineRule="auto"/>
              <w:jc w:val="both"/>
              <w:rPr>
                <w:rFonts w:asciiTheme="minorHAnsi" w:hAnsiTheme="minorHAnsi"/>
                <w:b/>
              </w:rPr>
            </w:pPr>
            <w:r w:rsidRPr="00311A6B">
              <w:rPr>
                <w:rFonts w:asciiTheme="minorHAnsi" w:hAnsiTheme="minorHAnsi"/>
                <w:i/>
                <w:sz w:val="20"/>
                <w:szCs w:val="20"/>
              </w:rPr>
              <w:lastRenderedPageBreak/>
              <w:t xml:space="preserve">Negatywna ocena kryterium </w:t>
            </w:r>
            <w:r w:rsidRPr="00311A6B">
              <w:rPr>
                <w:rFonts w:asciiTheme="minorHAnsi" w:hAnsiTheme="minorHAnsi"/>
                <w:b/>
                <w:bCs/>
                <w:i/>
                <w:sz w:val="20"/>
                <w:szCs w:val="20"/>
              </w:rPr>
              <w:t>powoduje odrzucenie wniosku niezależnie od wyników oceny kryterium nr 1</w:t>
            </w:r>
          </w:p>
        </w:tc>
      </w:tr>
      <w:tr w:rsidR="00FC5D9A" w:rsidRPr="00311A6B" w14:paraId="2BEA1C73" w14:textId="77777777" w:rsidTr="00C72594">
        <w:trPr>
          <w:gridAfter w:val="1"/>
          <w:wAfter w:w="23" w:type="dxa"/>
          <w:cantSplit/>
          <w:trHeight w:val="263"/>
        </w:trPr>
        <w:tc>
          <w:tcPr>
            <w:tcW w:w="1186" w:type="dxa"/>
            <w:shd w:val="clear" w:color="auto" w:fill="BFBFBF"/>
            <w:vAlign w:val="center"/>
          </w:tcPr>
          <w:p w14:paraId="58A4DFCE" w14:textId="77777777"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lastRenderedPageBreak/>
              <w:t>II.</w:t>
            </w:r>
          </w:p>
        </w:tc>
        <w:tc>
          <w:tcPr>
            <w:tcW w:w="7881" w:type="dxa"/>
            <w:gridSpan w:val="4"/>
            <w:shd w:val="clear" w:color="auto" w:fill="BFBFBF"/>
            <w:vAlign w:val="center"/>
          </w:tcPr>
          <w:p w14:paraId="482AC591" w14:textId="77777777" w:rsidR="00FC5D9A" w:rsidRPr="00FE629B" w:rsidRDefault="00FC5D9A" w:rsidP="000C6E68">
            <w:pPr>
              <w:spacing w:before="120" w:after="120" w:line="276" w:lineRule="auto"/>
              <w:jc w:val="both"/>
              <w:rPr>
                <w:rFonts w:asciiTheme="minorHAnsi" w:hAnsiTheme="minorHAnsi"/>
                <w:b/>
                <w:sz w:val="22"/>
                <w:szCs w:val="22"/>
              </w:rPr>
            </w:pPr>
            <w:r w:rsidRPr="00FE629B">
              <w:rPr>
                <w:rFonts w:asciiTheme="minorHAnsi" w:hAnsiTheme="minorHAnsi"/>
                <w:b/>
                <w:sz w:val="22"/>
                <w:szCs w:val="22"/>
              </w:rPr>
              <w:t>OCENA DOPUSZCZALNOŚCI POMOCY PUBLICZNEJ</w:t>
            </w:r>
          </w:p>
        </w:tc>
      </w:tr>
      <w:tr w:rsidR="00FC5D9A" w:rsidRPr="00311A6B" w14:paraId="44100087" w14:textId="77777777" w:rsidTr="00C72594">
        <w:trPr>
          <w:gridAfter w:val="1"/>
          <w:wAfter w:w="23" w:type="dxa"/>
          <w:cantSplit/>
          <w:trHeight w:val="263"/>
        </w:trPr>
        <w:tc>
          <w:tcPr>
            <w:tcW w:w="1186" w:type="dxa"/>
            <w:vAlign w:val="center"/>
          </w:tcPr>
          <w:p w14:paraId="4F523A46"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209268BF" w14:textId="77777777" w:rsidR="00FC5D9A" w:rsidRPr="00FE629B" w:rsidRDefault="00FC5D9A" w:rsidP="000C6E68">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 xml:space="preserve">Dopuszczalność pomocy publicznej zgodnie z przepisami o pomocy </w:t>
            </w:r>
            <w:r w:rsidRPr="00FE629B">
              <w:rPr>
                <w:rFonts w:asciiTheme="minorHAnsi" w:hAnsiTheme="minorHAnsi"/>
                <w:bCs/>
                <w:sz w:val="22"/>
                <w:szCs w:val="22"/>
              </w:rPr>
              <w:t>publicznej</w:t>
            </w:r>
          </w:p>
        </w:tc>
        <w:tc>
          <w:tcPr>
            <w:tcW w:w="851" w:type="dxa"/>
            <w:vAlign w:val="center"/>
          </w:tcPr>
          <w:p w14:paraId="2BC92EA5"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p>
        </w:tc>
        <w:tc>
          <w:tcPr>
            <w:tcW w:w="850" w:type="dxa"/>
            <w:gridSpan w:val="2"/>
          </w:tcPr>
          <w:p w14:paraId="600F3FD0"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p>
        </w:tc>
      </w:tr>
      <w:tr w:rsidR="00FC5D9A" w:rsidRPr="00311A6B" w14:paraId="5681609A" w14:textId="77777777" w:rsidTr="00C72594">
        <w:trPr>
          <w:gridAfter w:val="1"/>
          <w:wAfter w:w="23" w:type="dxa"/>
          <w:cantSplit/>
          <w:trHeight w:val="263"/>
        </w:trPr>
        <w:tc>
          <w:tcPr>
            <w:tcW w:w="9067" w:type="dxa"/>
            <w:gridSpan w:val="5"/>
            <w:vAlign w:val="center"/>
          </w:tcPr>
          <w:p w14:paraId="34F11F73" w14:textId="77777777" w:rsidR="00FC5D9A" w:rsidRPr="00311A6B" w:rsidRDefault="00FC5D9A" w:rsidP="000C6E68">
            <w:pPr>
              <w:autoSpaceDE w:val="0"/>
              <w:autoSpaceDN w:val="0"/>
              <w:adjustRightInd w:val="0"/>
              <w:spacing w:before="240" w:after="60"/>
              <w:rPr>
                <w:rFonts w:asciiTheme="minorHAnsi" w:hAnsiTheme="minorHAnsi"/>
                <w:iCs/>
                <w:color w:val="000000"/>
                <w:sz w:val="20"/>
                <w:szCs w:val="20"/>
              </w:rPr>
            </w:pPr>
            <w:r w:rsidRPr="00311A6B">
              <w:rPr>
                <w:rFonts w:asciiTheme="minorHAnsi" w:hAnsiTheme="minorHAnsi"/>
                <w:iCs/>
                <w:color w:val="000000"/>
                <w:sz w:val="20"/>
                <w:szCs w:val="20"/>
              </w:rPr>
              <w:t>Zakres oceny:</w:t>
            </w:r>
          </w:p>
          <w:p w14:paraId="2150418A" w14:textId="77777777" w:rsidR="00FC5D9A" w:rsidRPr="00311A6B" w:rsidRDefault="00FC5D9A" w:rsidP="000C6E68">
            <w:pPr>
              <w:autoSpaceDE w:val="0"/>
              <w:autoSpaceDN w:val="0"/>
              <w:adjustRightInd w:val="0"/>
              <w:spacing w:before="60" w:after="60"/>
              <w:rPr>
                <w:rFonts w:asciiTheme="minorHAnsi" w:hAnsiTheme="minorHAnsi"/>
                <w:sz w:val="20"/>
                <w:szCs w:val="20"/>
              </w:rPr>
            </w:pPr>
            <w:r w:rsidRPr="00311A6B">
              <w:rPr>
                <w:rFonts w:asciiTheme="minorHAnsi" w:hAnsiTheme="minorHAnsi"/>
                <w:sz w:val="20"/>
                <w:szCs w:val="20"/>
              </w:rPr>
              <w:t>Ocena dopuszczalności i intensywności wnioskowanej pomocy publicznej pod kątem jej zgodności z warunkami określonymi we właściwych przepisach o pomocy publicznej.</w:t>
            </w:r>
          </w:p>
          <w:p w14:paraId="1EEF1EE8" w14:textId="77777777" w:rsidR="00FC5D9A" w:rsidRPr="00311A6B" w:rsidRDefault="00FC5D9A" w:rsidP="000C6E68">
            <w:pPr>
              <w:autoSpaceDE w:val="0"/>
              <w:autoSpaceDN w:val="0"/>
              <w:adjustRightInd w:val="0"/>
              <w:spacing w:before="120" w:after="120"/>
              <w:rPr>
                <w:rFonts w:asciiTheme="minorHAnsi" w:hAnsiTheme="minorHAnsi"/>
                <w:sz w:val="20"/>
              </w:rPr>
            </w:pPr>
            <w:r w:rsidRPr="00311A6B">
              <w:rPr>
                <w:rFonts w:asciiTheme="minorHAnsi" w:hAnsiTheme="minorHAnsi"/>
                <w:i/>
                <w:sz w:val="20"/>
                <w:szCs w:val="16"/>
              </w:rPr>
              <w:t xml:space="preserve">Negatywna ocena kryterium </w:t>
            </w:r>
            <w:r w:rsidRPr="00311A6B">
              <w:rPr>
                <w:rFonts w:asciiTheme="minorHAnsi" w:hAnsiTheme="minorHAnsi"/>
                <w:b/>
                <w:bCs/>
                <w:i/>
                <w:sz w:val="20"/>
                <w:szCs w:val="16"/>
              </w:rPr>
              <w:t>powoduje odrzucenie wniosku</w:t>
            </w:r>
          </w:p>
        </w:tc>
      </w:tr>
      <w:tr w:rsidR="00FC5D9A" w:rsidRPr="00311A6B" w14:paraId="742D8817" w14:textId="77777777" w:rsidTr="00C72594">
        <w:trPr>
          <w:gridAfter w:val="1"/>
          <w:wAfter w:w="23" w:type="dxa"/>
          <w:cantSplit/>
          <w:trHeight w:val="263"/>
        </w:trPr>
        <w:tc>
          <w:tcPr>
            <w:tcW w:w="1186" w:type="dxa"/>
            <w:shd w:val="clear" w:color="auto" w:fill="BFBFBF"/>
            <w:vAlign w:val="center"/>
          </w:tcPr>
          <w:p w14:paraId="3C63E83C" w14:textId="77777777"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III.</w:t>
            </w:r>
          </w:p>
        </w:tc>
        <w:tc>
          <w:tcPr>
            <w:tcW w:w="7881" w:type="dxa"/>
            <w:gridSpan w:val="4"/>
            <w:shd w:val="clear" w:color="auto" w:fill="BFBFBF"/>
            <w:vAlign w:val="center"/>
          </w:tcPr>
          <w:p w14:paraId="5FD11C0A" w14:textId="77777777" w:rsidR="00FC5D9A" w:rsidRPr="00FE629B" w:rsidRDefault="00FC5D9A" w:rsidP="000C6E68">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r>
      <w:tr w:rsidR="00FC5D9A" w:rsidRPr="00311A6B" w14:paraId="340AD7F4" w14:textId="77777777" w:rsidTr="00C72594">
        <w:trPr>
          <w:gridAfter w:val="1"/>
          <w:wAfter w:w="23" w:type="dxa"/>
          <w:cantSplit/>
          <w:trHeight w:val="263"/>
        </w:trPr>
        <w:tc>
          <w:tcPr>
            <w:tcW w:w="1186" w:type="dxa"/>
            <w:vAlign w:val="center"/>
          </w:tcPr>
          <w:p w14:paraId="11CAE01B"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2F042821" w14:textId="77777777" w:rsidR="00FC5D9A" w:rsidRPr="00FE629B" w:rsidRDefault="00FC5D9A" w:rsidP="000C6E68">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vAlign w:val="center"/>
          </w:tcPr>
          <w:p w14:paraId="4D8435EE"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p>
        </w:tc>
        <w:tc>
          <w:tcPr>
            <w:tcW w:w="850" w:type="dxa"/>
            <w:gridSpan w:val="2"/>
          </w:tcPr>
          <w:p w14:paraId="6415D149"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p>
        </w:tc>
      </w:tr>
      <w:tr w:rsidR="00FC5D9A" w:rsidRPr="00311A6B" w14:paraId="6C3AF57A" w14:textId="77777777" w:rsidTr="00C72594">
        <w:trPr>
          <w:gridAfter w:val="1"/>
          <w:wAfter w:w="23" w:type="dxa"/>
          <w:cantSplit/>
          <w:trHeight w:val="263"/>
        </w:trPr>
        <w:tc>
          <w:tcPr>
            <w:tcW w:w="9067" w:type="dxa"/>
            <w:gridSpan w:val="5"/>
            <w:vAlign w:val="center"/>
          </w:tcPr>
          <w:p w14:paraId="1F0B7DD7" w14:textId="77777777" w:rsidR="00FC5D9A" w:rsidRPr="00311A6B" w:rsidRDefault="00FC5D9A" w:rsidP="000C6E68">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14:paraId="16E75E8D" w14:textId="24BD8C41" w:rsidR="00FC5D9A" w:rsidRPr="00311A6B" w:rsidRDefault="00FC5D9A" w:rsidP="000C6E68">
            <w:pPr>
              <w:pStyle w:val="Default"/>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14:paraId="4522F89A" w14:textId="77777777" w:rsidR="00FC5D9A" w:rsidRPr="00311A6B" w:rsidRDefault="00FC5D9A" w:rsidP="000C6E68">
            <w:pPr>
              <w:pStyle w:val="Default"/>
              <w:rPr>
                <w:rFonts w:asciiTheme="minorHAnsi" w:hAnsiTheme="minorHAnsi"/>
                <w:sz w:val="22"/>
                <w:szCs w:val="22"/>
              </w:rPr>
            </w:pPr>
          </w:p>
          <w:p w14:paraId="69A7FA51" w14:textId="77777777" w:rsidR="00FC5D9A" w:rsidRPr="00311A6B" w:rsidRDefault="00FC5D9A" w:rsidP="000C6E68">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C5D9A" w:rsidRPr="00311A6B" w14:paraId="7C542F56" w14:textId="77777777" w:rsidTr="00C72594">
        <w:trPr>
          <w:gridAfter w:val="1"/>
          <w:wAfter w:w="23" w:type="dxa"/>
          <w:cantSplit/>
          <w:trHeight w:val="263"/>
        </w:trPr>
        <w:tc>
          <w:tcPr>
            <w:tcW w:w="1186" w:type="dxa"/>
            <w:shd w:val="clear" w:color="auto" w:fill="BFBFBF"/>
            <w:vAlign w:val="center"/>
          </w:tcPr>
          <w:p w14:paraId="2CE8336C" w14:textId="77777777"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IV.</w:t>
            </w:r>
          </w:p>
        </w:tc>
        <w:tc>
          <w:tcPr>
            <w:tcW w:w="7881" w:type="dxa"/>
            <w:gridSpan w:val="4"/>
            <w:shd w:val="clear" w:color="auto" w:fill="BFBFBF"/>
            <w:vAlign w:val="center"/>
          </w:tcPr>
          <w:p w14:paraId="63097180" w14:textId="77777777" w:rsidR="00FC5D9A" w:rsidRPr="00FE629B" w:rsidRDefault="00FC5D9A" w:rsidP="000C6E68">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r>
      <w:tr w:rsidR="00FC5D9A" w:rsidRPr="00311A6B" w14:paraId="74EA9B48" w14:textId="77777777" w:rsidTr="00C72594">
        <w:trPr>
          <w:gridAfter w:val="1"/>
          <w:wAfter w:w="23" w:type="dxa"/>
          <w:cantSplit/>
          <w:trHeight w:val="263"/>
        </w:trPr>
        <w:tc>
          <w:tcPr>
            <w:tcW w:w="1186" w:type="dxa"/>
            <w:vAlign w:val="center"/>
          </w:tcPr>
          <w:p w14:paraId="44A8EF67"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1FF51152" w14:textId="77777777" w:rsidR="00FC5D9A" w:rsidRPr="00FE629B" w:rsidRDefault="00FC5D9A" w:rsidP="000C6E68">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realności wdrożenia przyjętego rozwiązania (w tym: możliwość utrzymania trwałości rzeczowej i/lub ekologicznej, realistyczny harmonogram wdrażania i realizacji, z uwzględnieniem m.in. posiadanych pozwoleń czy konieczności realizacji przedsięwzięcia zgodnie z ustawą Prawo zamówień publicznych lub ustawą Kodeks cywilny)</w:t>
            </w:r>
          </w:p>
        </w:tc>
        <w:tc>
          <w:tcPr>
            <w:tcW w:w="851" w:type="dxa"/>
            <w:vAlign w:val="center"/>
          </w:tcPr>
          <w:p w14:paraId="17A63488"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p>
        </w:tc>
        <w:tc>
          <w:tcPr>
            <w:tcW w:w="850" w:type="dxa"/>
            <w:gridSpan w:val="2"/>
          </w:tcPr>
          <w:p w14:paraId="5E3A12A8" w14:textId="77777777" w:rsidR="00FC5D9A" w:rsidRPr="00311A6B" w:rsidRDefault="00FC5D9A" w:rsidP="000C6E68">
            <w:pPr>
              <w:autoSpaceDE w:val="0"/>
              <w:autoSpaceDN w:val="0"/>
              <w:adjustRightInd w:val="0"/>
              <w:spacing w:before="60" w:after="60"/>
              <w:jc w:val="center"/>
              <w:rPr>
                <w:rFonts w:asciiTheme="minorHAnsi" w:hAnsiTheme="minorHAnsi"/>
                <w:sz w:val="20"/>
              </w:rPr>
            </w:pPr>
          </w:p>
        </w:tc>
      </w:tr>
      <w:tr w:rsidR="00FC5D9A" w:rsidRPr="00311A6B" w14:paraId="464C7BA7" w14:textId="77777777" w:rsidTr="00C72594">
        <w:trPr>
          <w:gridAfter w:val="1"/>
          <w:wAfter w:w="23" w:type="dxa"/>
          <w:cantSplit/>
          <w:trHeight w:val="263"/>
        </w:trPr>
        <w:tc>
          <w:tcPr>
            <w:tcW w:w="9067" w:type="dxa"/>
            <w:gridSpan w:val="5"/>
            <w:vAlign w:val="center"/>
          </w:tcPr>
          <w:p w14:paraId="67541AB5" w14:textId="77777777" w:rsidR="00FC5D9A" w:rsidRPr="00311A6B" w:rsidRDefault="00FC5D9A" w:rsidP="000C6E68">
            <w:pPr>
              <w:pStyle w:val="Default"/>
              <w:rPr>
                <w:rFonts w:asciiTheme="minorHAnsi" w:hAnsiTheme="minorHAnsi"/>
                <w:sz w:val="20"/>
                <w:szCs w:val="20"/>
              </w:rPr>
            </w:pPr>
            <w:r w:rsidRPr="00311A6B">
              <w:rPr>
                <w:rFonts w:asciiTheme="minorHAnsi" w:hAnsiTheme="minorHAnsi"/>
                <w:i/>
                <w:iCs/>
                <w:sz w:val="20"/>
                <w:szCs w:val="20"/>
              </w:rPr>
              <w:t>Zasady oceny:</w:t>
            </w:r>
          </w:p>
          <w:p w14:paraId="20916DD8" w14:textId="16BA53B0" w:rsidR="00FC5D9A" w:rsidRPr="00311A6B" w:rsidRDefault="00FC5D9A" w:rsidP="000C6E68">
            <w:pPr>
              <w:pStyle w:val="Default"/>
              <w:rPr>
                <w:rFonts w:asciiTheme="minorHAnsi" w:hAnsiTheme="minorHAnsi"/>
                <w:sz w:val="20"/>
                <w:szCs w:val="20"/>
              </w:rPr>
            </w:pPr>
            <w:r w:rsidRPr="00311A6B">
              <w:rPr>
                <w:rFonts w:asciiTheme="minorHAnsi" w:hAnsiTheme="minorHAnsi"/>
                <w:sz w:val="20"/>
                <w:szCs w:val="20"/>
              </w:rPr>
              <w:t>Kryterium zostaje ocenione pozytywnie jeśli Wnioskodawca przedstawił realną możliwość utrzymania trwałości przedsięwzięcia (rzeczowej) w przypadku</w:t>
            </w:r>
            <w:r w:rsidR="00FE645B">
              <w:rPr>
                <w:rFonts w:asciiTheme="minorHAnsi" w:hAnsiTheme="minorHAnsi"/>
                <w:sz w:val="20"/>
                <w:szCs w:val="20"/>
              </w:rPr>
              <w:t>,</w:t>
            </w:r>
            <w:r w:rsidRPr="00311A6B">
              <w:rPr>
                <w:rFonts w:asciiTheme="minorHAnsi" w:hAnsiTheme="minorHAnsi"/>
                <w:sz w:val="20"/>
                <w:szCs w:val="20"/>
              </w:rPr>
              <w:t xml:space="preserve"> gdy występuje oraz wniosek posiada komplet dokumentów z zakresu prawa do dysponowania gruntami na cele inwestycji</w:t>
            </w:r>
            <w:r w:rsidR="000A0FD5">
              <w:t xml:space="preserve"> </w:t>
            </w:r>
            <w:r w:rsidR="000A0FD5" w:rsidRPr="000A0FD5">
              <w:rPr>
                <w:rFonts w:asciiTheme="minorHAnsi" w:hAnsiTheme="minorHAnsi"/>
                <w:sz w:val="20"/>
                <w:szCs w:val="20"/>
              </w:rPr>
              <w:t>na okres realizacji przedsięwzięcia oraz okres jego trwałości</w:t>
            </w:r>
            <w:r w:rsidRPr="000A0FD5">
              <w:rPr>
                <w:rFonts w:asciiTheme="minorHAnsi" w:hAnsiTheme="minorHAnsi"/>
                <w:sz w:val="20"/>
                <w:szCs w:val="20"/>
              </w:rPr>
              <w:t>, wymaganą dokumentację projektową, komplet decyzji administracyjnych zezwalających na realizację przedsięwzięcia (jeśli dotyczy), a harmonogram wdrażania i realizacji jest realistyczny</w:t>
            </w:r>
          </w:p>
          <w:p w14:paraId="062FB404" w14:textId="77777777" w:rsidR="00FC5D9A" w:rsidRPr="00311A6B" w:rsidRDefault="00FC5D9A" w:rsidP="000C6E68">
            <w:pPr>
              <w:pStyle w:val="Default"/>
              <w:rPr>
                <w:rFonts w:asciiTheme="minorHAnsi" w:hAnsiTheme="minorHAnsi"/>
                <w:sz w:val="20"/>
                <w:szCs w:val="20"/>
              </w:rPr>
            </w:pPr>
          </w:p>
          <w:p w14:paraId="6F19A7EF" w14:textId="77777777" w:rsidR="00FC5D9A" w:rsidRPr="00311A6B" w:rsidRDefault="00FC5D9A" w:rsidP="000C6E68">
            <w:pPr>
              <w:pStyle w:val="Default"/>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C5D9A" w:rsidRPr="0036230C" w14:paraId="506562A7" w14:textId="77777777" w:rsidTr="00C72594">
        <w:trPr>
          <w:gridAfter w:val="1"/>
          <w:wAfter w:w="23" w:type="dxa"/>
          <w:cantSplit/>
          <w:trHeight w:val="263"/>
        </w:trPr>
        <w:tc>
          <w:tcPr>
            <w:tcW w:w="1186" w:type="dxa"/>
            <w:shd w:val="clear" w:color="auto" w:fill="BFBFBF"/>
            <w:vAlign w:val="center"/>
          </w:tcPr>
          <w:p w14:paraId="7F308B02" w14:textId="77777777" w:rsidR="00FC5D9A" w:rsidRPr="00FE629B" w:rsidRDefault="00FC5D9A" w:rsidP="000C6E68">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V.</w:t>
            </w:r>
          </w:p>
        </w:tc>
        <w:tc>
          <w:tcPr>
            <w:tcW w:w="7881" w:type="dxa"/>
            <w:gridSpan w:val="4"/>
            <w:shd w:val="clear" w:color="auto" w:fill="BFBFBF"/>
            <w:vAlign w:val="center"/>
          </w:tcPr>
          <w:p w14:paraId="0451C7A9" w14:textId="77777777" w:rsidR="00FC5D9A" w:rsidRPr="00FE629B" w:rsidRDefault="00FC5D9A" w:rsidP="000C6E68">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r>
      <w:tr w:rsidR="00FC5D9A" w:rsidRPr="0036230C" w14:paraId="51550F7F" w14:textId="77777777" w:rsidTr="00C72594">
        <w:trPr>
          <w:gridAfter w:val="1"/>
          <w:wAfter w:w="23" w:type="dxa"/>
          <w:cantSplit/>
          <w:trHeight w:val="263"/>
        </w:trPr>
        <w:tc>
          <w:tcPr>
            <w:tcW w:w="1186" w:type="dxa"/>
            <w:vAlign w:val="center"/>
          </w:tcPr>
          <w:p w14:paraId="5C868CB7" w14:textId="77777777" w:rsidR="00FC5D9A" w:rsidRPr="00FE629B" w:rsidRDefault="00FC5D9A" w:rsidP="000C6E68">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30D11F79" w14:textId="77777777" w:rsidR="00FC5D9A" w:rsidRPr="00FE629B" w:rsidRDefault="00FC5D9A" w:rsidP="000C6E68">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vAlign w:val="center"/>
          </w:tcPr>
          <w:p w14:paraId="61B13A60" w14:textId="77777777" w:rsidR="00FC5D9A" w:rsidRPr="00FE629B" w:rsidRDefault="00FC5D9A" w:rsidP="000C6E68">
            <w:pPr>
              <w:autoSpaceDE w:val="0"/>
              <w:autoSpaceDN w:val="0"/>
              <w:adjustRightInd w:val="0"/>
              <w:spacing w:before="60" w:after="60"/>
              <w:jc w:val="center"/>
              <w:rPr>
                <w:rFonts w:asciiTheme="minorHAnsi" w:hAnsiTheme="minorHAnsi"/>
                <w:sz w:val="22"/>
                <w:szCs w:val="22"/>
                <w:highlight w:val="cyan"/>
              </w:rPr>
            </w:pPr>
          </w:p>
        </w:tc>
        <w:tc>
          <w:tcPr>
            <w:tcW w:w="850" w:type="dxa"/>
            <w:gridSpan w:val="2"/>
          </w:tcPr>
          <w:p w14:paraId="67195169" w14:textId="77777777" w:rsidR="00FC5D9A" w:rsidRPr="00FE629B" w:rsidRDefault="00FC5D9A" w:rsidP="000C6E68">
            <w:pPr>
              <w:autoSpaceDE w:val="0"/>
              <w:autoSpaceDN w:val="0"/>
              <w:adjustRightInd w:val="0"/>
              <w:spacing w:before="60" w:after="60"/>
              <w:jc w:val="center"/>
              <w:rPr>
                <w:rFonts w:asciiTheme="minorHAnsi" w:hAnsiTheme="minorHAnsi"/>
                <w:sz w:val="20"/>
                <w:highlight w:val="cyan"/>
              </w:rPr>
            </w:pPr>
          </w:p>
        </w:tc>
      </w:tr>
      <w:tr w:rsidR="00FC5D9A" w:rsidRPr="00311A6B" w14:paraId="553E6DAD" w14:textId="77777777" w:rsidTr="00C72594">
        <w:trPr>
          <w:gridAfter w:val="1"/>
          <w:wAfter w:w="23" w:type="dxa"/>
          <w:cantSplit/>
          <w:trHeight w:val="263"/>
        </w:trPr>
        <w:tc>
          <w:tcPr>
            <w:tcW w:w="9067" w:type="dxa"/>
            <w:gridSpan w:val="5"/>
            <w:vAlign w:val="center"/>
          </w:tcPr>
          <w:p w14:paraId="4740599F" w14:textId="77777777" w:rsidR="00FC5D9A" w:rsidRPr="00311A6B" w:rsidRDefault="00FC5D9A" w:rsidP="000C6E68">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14:paraId="0ABB047A" w14:textId="052931A7" w:rsidR="00FC5D9A" w:rsidRPr="00311A6B" w:rsidRDefault="00FC5D9A" w:rsidP="000C6E68">
            <w:pPr>
              <w:pStyle w:val="Default"/>
              <w:rPr>
                <w:rFonts w:asciiTheme="minorHAnsi" w:hAnsiTheme="minorHAnsi"/>
                <w:sz w:val="20"/>
                <w:szCs w:val="20"/>
              </w:rPr>
            </w:pPr>
            <w:r w:rsidRPr="00311A6B">
              <w:rPr>
                <w:rFonts w:asciiTheme="minorHAnsi" w:hAnsiTheme="minorHAnsi"/>
                <w:sz w:val="20"/>
                <w:szCs w:val="20"/>
              </w:rPr>
              <w:t xml:space="preserve">Kryterium zostaje ocenione pozytywnie jeśli </w:t>
            </w:r>
            <w:r w:rsidR="00FE645B" w:rsidRPr="00D36003">
              <w:rPr>
                <w:rFonts w:ascii="Calibri" w:hAnsi="Calibri" w:cs="Calibri"/>
                <w:sz w:val="20"/>
                <w:szCs w:val="20"/>
              </w:rPr>
              <w:t xml:space="preserve"> zakres rzeczowy </w:t>
            </w:r>
            <w:r w:rsidR="00FE645B">
              <w:rPr>
                <w:rFonts w:ascii="Calibri" w:hAnsi="Calibri" w:cs="Calibri"/>
                <w:sz w:val="20"/>
                <w:szCs w:val="20"/>
              </w:rPr>
              <w:t xml:space="preserve">planowany do dofinansowania </w:t>
            </w:r>
            <w:r w:rsidR="00FE645B" w:rsidRPr="00D36003">
              <w:rPr>
                <w:rFonts w:ascii="Calibri" w:hAnsi="Calibri" w:cs="Calibri"/>
                <w:sz w:val="20"/>
                <w:szCs w:val="20"/>
              </w:rPr>
              <w:t>jest zgodny z zakresem objętym katalogiem kosztów kwalifikowanych</w:t>
            </w:r>
          </w:p>
          <w:p w14:paraId="43A77C62" w14:textId="77777777" w:rsidR="00FC5D9A" w:rsidRPr="00311A6B" w:rsidRDefault="00FC5D9A" w:rsidP="000C6E68">
            <w:pPr>
              <w:pStyle w:val="Default"/>
              <w:rPr>
                <w:rFonts w:asciiTheme="minorHAnsi" w:hAnsiTheme="minorHAnsi"/>
                <w:sz w:val="20"/>
                <w:szCs w:val="20"/>
              </w:rPr>
            </w:pPr>
          </w:p>
          <w:p w14:paraId="0B5BA10F" w14:textId="77777777" w:rsidR="00FC5D9A" w:rsidRPr="00311A6B" w:rsidRDefault="00FC5D9A" w:rsidP="000C6E68">
            <w:pPr>
              <w:pStyle w:val="Default"/>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bl>
    <w:p w14:paraId="57026CA6" w14:textId="48066648" w:rsidR="00FC5D9A" w:rsidRDefault="00FC5D9A" w:rsidP="00FC5D9A">
      <w:pPr>
        <w:pStyle w:val="Tekstpodstawowy"/>
        <w:keepLines w:val="0"/>
        <w:spacing w:after="120"/>
        <w:ind w:left="-284"/>
        <w:rPr>
          <w:rFonts w:asciiTheme="minorHAnsi" w:hAnsiTheme="minorHAnsi"/>
          <w:color w:val="000000"/>
          <w:szCs w:val="22"/>
          <w:highlight w:val="cyan"/>
        </w:rPr>
      </w:pPr>
    </w:p>
    <w:p w14:paraId="388EB452" w14:textId="5D037AA9" w:rsidR="00F10407" w:rsidRDefault="00F10407" w:rsidP="00FC5D9A">
      <w:pPr>
        <w:pStyle w:val="Tekstpodstawowy"/>
        <w:keepLines w:val="0"/>
        <w:spacing w:after="120"/>
        <w:ind w:left="-284"/>
        <w:rPr>
          <w:rFonts w:asciiTheme="minorHAnsi" w:hAnsiTheme="minorHAnsi"/>
          <w:color w:val="000000"/>
          <w:szCs w:val="22"/>
          <w:highlight w:val="cyan"/>
        </w:rPr>
      </w:pPr>
    </w:p>
    <w:p w14:paraId="69859017" w14:textId="77777777" w:rsidR="00F10407" w:rsidRPr="00FE629B" w:rsidRDefault="00F10407" w:rsidP="00FC5D9A">
      <w:pPr>
        <w:pStyle w:val="Tekstpodstawowy"/>
        <w:keepLines w:val="0"/>
        <w:spacing w:after="120"/>
        <w:ind w:left="-284"/>
        <w:rPr>
          <w:rFonts w:asciiTheme="minorHAnsi" w:hAnsiTheme="minorHAnsi"/>
          <w:color w:val="000000"/>
          <w:szCs w:val="22"/>
          <w:highlight w:val="cyan"/>
        </w:rPr>
      </w:pPr>
    </w:p>
    <w:p w14:paraId="130EFE3D" w14:textId="77777777" w:rsidR="00FC5D9A" w:rsidRPr="00FE629B" w:rsidRDefault="00FC5D9A" w:rsidP="000C6E68">
      <w:pPr>
        <w:pStyle w:val="Tekstpodstawowy"/>
        <w:keepLines w:val="0"/>
        <w:spacing w:after="120"/>
        <w:ind w:left="567" w:hanging="567"/>
        <w:rPr>
          <w:rFonts w:asciiTheme="minorHAnsi" w:hAnsiTheme="minorHAnsi"/>
          <w:b/>
          <w:color w:val="000000"/>
          <w:szCs w:val="22"/>
        </w:rPr>
      </w:pPr>
      <w:r w:rsidRPr="00FE629B">
        <w:rPr>
          <w:rFonts w:asciiTheme="minorHAnsi" w:hAnsiTheme="minorHAnsi"/>
          <w:b/>
          <w:color w:val="000000"/>
          <w:szCs w:val="22"/>
        </w:rPr>
        <w:lastRenderedPageBreak/>
        <w:t>9.</w:t>
      </w:r>
      <w:r w:rsidRPr="00FE629B">
        <w:rPr>
          <w:rFonts w:asciiTheme="minorHAnsi" w:hAnsiTheme="minorHAnsi"/>
          <w:b/>
          <w:color w:val="000000"/>
          <w:szCs w:val="22"/>
        </w:rPr>
        <w:tab/>
        <w:t>Postanowienia dodatkowe</w:t>
      </w:r>
    </w:p>
    <w:p w14:paraId="413C2D25" w14:textId="33A0A90E" w:rsidR="00FC5D9A" w:rsidRPr="00FE629B" w:rsidRDefault="00FC5D9A" w:rsidP="00C72594">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Pr>
          <w:rFonts w:asciiTheme="minorHAnsi" w:hAnsiTheme="minorHAnsi"/>
          <w:sz w:val="22"/>
          <w:szCs w:val="22"/>
        </w:rPr>
        <w:t>d</w:t>
      </w:r>
      <w:r w:rsidR="00026BD0" w:rsidRPr="00FE629B">
        <w:rPr>
          <w:rFonts w:asciiTheme="minorHAnsi" w:hAnsiTheme="minorHAnsi"/>
          <w:sz w:val="22"/>
          <w:szCs w:val="22"/>
        </w:rPr>
        <w:t xml:space="preserve">o </w:t>
      </w:r>
      <w:r w:rsidRPr="00FE629B">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Pr>
          <w:rFonts w:asciiTheme="minorHAnsi" w:hAnsiTheme="minorHAnsi"/>
          <w:sz w:val="22"/>
          <w:szCs w:val="22"/>
        </w:rPr>
        <w:t>ka i Gospodarki Wodnej”,</w:t>
      </w:r>
    </w:p>
    <w:p w14:paraId="3C9CCD1E" w14:textId="490817F7" w:rsidR="00FC5D9A" w:rsidRPr="00FE629B" w:rsidRDefault="00FC5D9A" w:rsidP="00996A36">
      <w:pPr>
        <w:ind w:left="567" w:hanging="567"/>
        <w:jc w:val="both"/>
        <w:rPr>
          <w:rFonts w:asciiTheme="minorHAnsi" w:hAnsiTheme="minorHAnsi"/>
          <w:sz w:val="22"/>
          <w:szCs w:val="22"/>
        </w:rPr>
      </w:pPr>
      <w:r w:rsidRPr="00FE629B">
        <w:rPr>
          <w:rFonts w:asciiTheme="minorHAnsi" w:hAnsiTheme="minorHAnsi"/>
          <w:sz w:val="22"/>
          <w:szCs w:val="22"/>
        </w:rPr>
        <w:t>2)</w:t>
      </w:r>
      <w:r w:rsidRPr="00FE629B">
        <w:rPr>
          <w:rFonts w:asciiTheme="minorHAnsi" w:hAnsiTheme="minorHAnsi"/>
          <w:sz w:val="22"/>
          <w:szCs w:val="22"/>
        </w:rPr>
        <w:tab/>
      </w:r>
      <w:r w:rsidR="00026BD0">
        <w:rPr>
          <w:rFonts w:asciiTheme="minorHAnsi" w:hAnsiTheme="minorHAnsi"/>
          <w:sz w:val="22"/>
          <w:szCs w:val="22"/>
        </w:rPr>
        <w:t>z</w:t>
      </w:r>
      <w:r w:rsidR="00026BD0" w:rsidRPr="00FE629B">
        <w:rPr>
          <w:rFonts w:asciiTheme="minorHAnsi" w:hAnsiTheme="minorHAnsi"/>
          <w:sz w:val="22"/>
          <w:szCs w:val="22"/>
        </w:rPr>
        <w:t xml:space="preserve">a </w:t>
      </w:r>
      <w:r w:rsidRPr="00FE629B">
        <w:rPr>
          <w:rFonts w:asciiTheme="minorHAnsi" w:hAnsiTheme="minorHAnsi"/>
          <w:sz w:val="22"/>
          <w:szCs w:val="22"/>
        </w:rPr>
        <w:t>przebieg i prawidłową realizację przeds</w:t>
      </w:r>
      <w:r w:rsidR="00F10407">
        <w:rPr>
          <w:rFonts w:asciiTheme="minorHAnsi" w:hAnsiTheme="minorHAnsi"/>
          <w:sz w:val="22"/>
          <w:szCs w:val="22"/>
        </w:rPr>
        <w:t>ięwzięcia odpowiada Beneficjent,</w:t>
      </w:r>
      <w:bookmarkStart w:id="2" w:name="_GoBack"/>
      <w:bookmarkEnd w:id="2"/>
    </w:p>
    <w:p w14:paraId="6675C838" w14:textId="1B285D33" w:rsidR="00FC5D9A" w:rsidRPr="00FE629B" w:rsidRDefault="00FC5D9A" w:rsidP="00026BD0">
      <w:pPr>
        <w:ind w:left="567" w:hanging="566"/>
        <w:jc w:val="both"/>
        <w:rPr>
          <w:rFonts w:asciiTheme="minorHAnsi" w:hAnsiTheme="minorHAnsi"/>
          <w:bCs/>
          <w:sz w:val="22"/>
          <w:szCs w:val="22"/>
        </w:rPr>
      </w:pPr>
      <w:r w:rsidRPr="00FE629B">
        <w:rPr>
          <w:rFonts w:asciiTheme="minorHAnsi" w:hAnsiTheme="minorHAnsi"/>
          <w:sz w:val="22"/>
          <w:szCs w:val="22"/>
        </w:rPr>
        <w:t>3)</w:t>
      </w:r>
      <w:r w:rsidRPr="00FE629B">
        <w:rPr>
          <w:rFonts w:asciiTheme="minorHAnsi" w:hAnsiTheme="minorHAnsi"/>
          <w:sz w:val="22"/>
          <w:szCs w:val="22"/>
        </w:rPr>
        <w:tab/>
      </w:r>
      <w:r w:rsidR="00026BD0">
        <w:rPr>
          <w:rFonts w:asciiTheme="minorHAnsi" w:hAnsiTheme="minorHAnsi"/>
          <w:bCs/>
          <w:sz w:val="22"/>
          <w:szCs w:val="22"/>
        </w:rPr>
        <w:t>w</w:t>
      </w:r>
      <w:r w:rsidR="00026BD0" w:rsidRPr="00FE629B">
        <w:rPr>
          <w:rFonts w:asciiTheme="minorHAnsi" w:hAnsiTheme="minorHAnsi"/>
          <w:bCs/>
          <w:sz w:val="22"/>
          <w:szCs w:val="22"/>
        </w:rPr>
        <w:t xml:space="preserve">arunkiem </w:t>
      </w:r>
      <w:r w:rsidRPr="00FE629B">
        <w:rPr>
          <w:rFonts w:asciiTheme="minorHAnsi" w:hAnsiTheme="minorHAnsi"/>
          <w:bCs/>
          <w:sz w:val="22"/>
          <w:szCs w:val="22"/>
        </w:rPr>
        <w:t>wypłaty dotacji NFOŚiGW</w:t>
      </w:r>
      <w:r w:rsidRPr="00FE629B">
        <w:rPr>
          <w:rFonts w:asciiTheme="minorHAnsi" w:hAnsiTheme="minorHAnsi"/>
          <w:sz w:val="22"/>
          <w:szCs w:val="22"/>
        </w:rPr>
        <w:t xml:space="preserve"> dla rodzajów przedsięwzięć określonych w ust. 7.5 pkt 2</w:t>
      </w:r>
      <w:r w:rsidR="00311A6B" w:rsidRPr="00FE629B">
        <w:rPr>
          <w:rFonts w:asciiTheme="minorHAnsi" w:hAnsiTheme="minorHAnsi"/>
          <w:sz w:val="22"/>
          <w:szCs w:val="22"/>
        </w:rPr>
        <w:t>)</w:t>
      </w:r>
      <w:r w:rsidR="003E0581" w:rsidRPr="00FE629B">
        <w:rPr>
          <w:rFonts w:asciiTheme="minorHAnsi" w:hAnsiTheme="minorHAnsi"/>
          <w:sz w:val="22"/>
          <w:szCs w:val="22"/>
        </w:rPr>
        <w:t>,</w:t>
      </w:r>
      <w:r w:rsidR="00FE629B">
        <w:rPr>
          <w:rFonts w:asciiTheme="minorHAnsi" w:hAnsiTheme="minorHAnsi"/>
          <w:sz w:val="22"/>
          <w:szCs w:val="22"/>
        </w:rPr>
        <w:t xml:space="preserve"> </w:t>
      </w:r>
      <w:r w:rsidR="00311A6B" w:rsidRPr="00FE629B">
        <w:rPr>
          <w:rFonts w:asciiTheme="minorHAnsi" w:hAnsiTheme="minorHAnsi"/>
          <w:sz w:val="22"/>
          <w:szCs w:val="22"/>
        </w:rPr>
        <w:t>pkt 3)</w:t>
      </w:r>
      <w:r w:rsidRPr="00FE629B">
        <w:rPr>
          <w:rFonts w:asciiTheme="minorHAnsi" w:hAnsiTheme="minorHAnsi"/>
          <w:sz w:val="22"/>
          <w:szCs w:val="22"/>
        </w:rPr>
        <w:t xml:space="preserve"> </w:t>
      </w:r>
      <w:r w:rsidR="003E0581" w:rsidRPr="00FE629B">
        <w:rPr>
          <w:rFonts w:asciiTheme="minorHAnsi" w:hAnsiTheme="minorHAnsi"/>
          <w:sz w:val="22"/>
          <w:szCs w:val="22"/>
        </w:rPr>
        <w:t xml:space="preserve">i pkt 4) </w:t>
      </w:r>
      <w:r w:rsidRPr="00FE629B">
        <w:rPr>
          <w:rFonts w:asciiTheme="minorHAnsi" w:hAnsiTheme="minorHAnsi"/>
          <w:bCs/>
          <w:sz w:val="22"/>
          <w:szCs w:val="22"/>
        </w:rPr>
        <w:t>będzie:</w:t>
      </w:r>
    </w:p>
    <w:p w14:paraId="4F8F01C1" w14:textId="143B46E5" w:rsidR="00FC5D9A" w:rsidRPr="00FE629B" w:rsidRDefault="00FC5D9A">
      <w:pPr>
        <w:pStyle w:val="Akapitzlist"/>
        <w:numPr>
          <w:ilvl w:val="0"/>
          <w:numId w:val="42"/>
        </w:numPr>
        <w:ind w:left="993" w:hanging="426"/>
        <w:jc w:val="both"/>
        <w:rPr>
          <w:rFonts w:asciiTheme="minorHAnsi" w:hAnsiTheme="minorHAnsi"/>
          <w:bCs/>
          <w:sz w:val="22"/>
          <w:szCs w:val="22"/>
        </w:rPr>
      </w:pPr>
      <w:r w:rsidRPr="00FE629B">
        <w:rPr>
          <w:rFonts w:asciiTheme="minorHAnsi" w:hAnsiTheme="minorHAnsi"/>
          <w:bCs/>
          <w:sz w:val="22"/>
          <w:szCs w:val="22"/>
        </w:rPr>
        <w:t xml:space="preserve">udokumentowanie uprzedniego sfinansowania przez Beneficjenta całego zaprojektowanego wkładu własnego, w ramach kosztów </w:t>
      </w:r>
      <w:r w:rsidR="00FD125B">
        <w:rPr>
          <w:rFonts w:asciiTheme="minorHAnsi" w:hAnsiTheme="minorHAnsi"/>
          <w:bCs/>
          <w:sz w:val="22"/>
          <w:szCs w:val="22"/>
        </w:rPr>
        <w:t>kwalifikowanych</w:t>
      </w:r>
      <w:r w:rsidR="00FD125B" w:rsidRPr="00FE629B">
        <w:rPr>
          <w:rFonts w:asciiTheme="minorHAnsi" w:hAnsiTheme="minorHAnsi"/>
          <w:bCs/>
          <w:sz w:val="22"/>
          <w:szCs w:val="22"/>
        </w:rPr>
        <w:t xml:space="preserve"> </w:t>
      </w:r>
      <w:r w:rsidRPr="00FE629B">
        <w:rPr>
          <w:rFonts w:asciiTheme="minorHAnsi" w:hAnsiTheme="minorHAnsi"/>
          <w:bCs/>
          <w:sz w:val="22"/>
          <w:szCs w:val="22"/>
        </w:rPr>
        <w:t>(jeżeli dotyczy),</w:t>
      </w:r>
    </w:p>
    <w:p w14:paraId="7EBA2409" w14:textId="1955694C" w:rsidR="0060537A" w:rsidRPr="00FE629B" w:rsidRDefault="00FC5D9A" w:rsidP="00EB1375">
      <w:pPr>
        <w:pStyle w:val="Akapitzlist"/>
        <w:numPr>
          <w:ilvl w:val="0"/>
          <w:numId w:val="42"/>
        </w:numPr>
        <w:spacing w:after="240"/>
        <w:ind w:left="993" w:hanging="426"/>
        <w:jc w:val="both"/>
        <w:rPr>
          <w:sz w:val="22"/>
          <w:szCs w:val="22"/>
        </w:rPr>
      </w:pPr>
      <w:r w:rsidRPr="00FE629B">
        <w:rPr>
          <w:rFonts w:asciiTheme="minorHAnsi" w:hAnsiTheme="minorHAnsi"/>
          <w:sz w:val="22"/>
          <w:szCs w:val="22"/>
        </w:rPr>
        <w:t>udokumentowanie rozpoczęcia prowadzenia robót geologicznych w lokalizacji określonej w decyzji zatwierdzającej projekt robót geologicznych.</w:t>
      </w:r>
    </w:p>
    <w:sectPr w:rsidR="0060537A" w:rsidRPr="00FE629B" w:rsidSect="003E55BD">
      <w:footerReference w:type="even" r:id="rId9"/>
      <w:footerReference w:type="default" r:id="rId10"/>
      <w:headerReference w:type="first" r:id="rId11"/>
      <w:pgSz w:w="11906" w:h="16838"/>
      <w:pgMar w:top="1276" w:right="1418"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3A5B" w14:textId="77777777" w:rsidR="00F57F21" w:rsidRDefault="00F57F21">
      <w:r>
        <w:separator/>
      </w:r>
    </w:p>
  </w:endnote>
  <w:endnote w:type="continuationSeparator" w:id="0">
    <w:p w14:paraId="76935871" w14:textId="77777777" w:rsidR="00F57F21" w:rsidRDefault="00F5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1707"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5B6340EE"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C179" w14:textId="3A98E7AF"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F10407">
      <w:rPr>
        <w:rStyle w:val="Numerstrony"/>
        <w:noProof/>
        <w:sz w:val="20"/>
      </w:rPr>
      <w:t>8</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41A2" w14:textId="77777777" w:rsidR="00F57F21" w:rsidRDefault="00F57F21">
      <w:r>
        <w:separator/>
      </w:r>
    </w:p>
  </w:footnote>
  <w:footnote w:type="continuationSeparator" w:id="0">
    <w:p w14:paraId="3CB048A9" w14:textId="77777777" w:rsidR="00F57F21" w:rsidRDefault="00F5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11A5"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64E37"/>
    <w:multiLevelType w:val="hybridMultilevel"/>
    <w:tmpl w:val="D28250C6"/>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7"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01C4E3F"/>
    <w:multiLevelType w:val="hybridMultilevel"/>
    <w:tmpl w:val="3F1A13C0"/>
    <w:lvl w:ilvl="0" w:tplc="BEB24588">
      <w:start w:val="3"/>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27024C"/>
    <w:multiLevelType w:val="hybridMultilevel"/>
    <w:tmpl w:val="917253E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A36C5A"/>
    <w:multiLevelType w:val="hybridMultilevel"/>
    <w:tmpl w:val="FCE21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2"/>
  </w:num>
  <w:num w:numId="4">
    <w:abstractNumId w:val="20"/>
  </w:num>
  <w:num w:numId="5">
    <w:abstractNumId w:val="2"/>
  </w:num>
  <w:num w:numId="6">
    <w:abstractNumId w:val="31"/>
  </w:num>
  <w:num w:numId="7">
    <w:abstractNumId w:val="44"/>
  </w:num>
  <w:num w:numId="8">
    <w:abstractNumId w:val="3"/>
  </w:num>
  <w:num w:numId="9">
    <w:abstractNumId w:val="33"/>
  </w:num>
  <w:num w:numId="10">
    <w:abstractNumId w:val="17"/>
  </w:num>
  <w:num w:numId="11">
    <w:abstractNumId w:val="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4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15"/>
  </w:num>
  <w:num w:numId="24">
    <w:abstractNumId w:val="19"/>
  </w:num>
  <w:num w:numId="25">
    <w:abstractNumId w:val="11"/>
  </w:num>
  <w:num w:numId="26">
    <w:abstractNumId w:val="27"/>
  </w:num>
  <w:num w:numId="27">
    <w:abstractNumId w:val="38"/>
  </w:num>
  <w:num w:numId="28">
    <w:abstractNumId w:val="4"/>
  </w:num>
  <w:num w:numId="29">
    <w:abstractNumId w:val="26"/>
  </w:num>
  <w:num w:numId="30">
    <w:abstractNumId w:val="37"/>
  </w:num>
  <w:num w:numId="31">
    <w:abstractNumId w:val="30"/>
  </w:num>
  <w:num w:numId="32">
    <w:abstractNumId w:val="25"/>
  </w:num>
  <w:num w:numId="33">
    <w:abstractNumId w:val="23"/>
  </w:num>
  <w:num w:numId="34">
    <w:abstractNumId w:val="36"/>
  </w:num>
  <w:num w:numId="35">
    <w:abstractNumId w:val="14"/>
  </w:num>
  <w:num w:numId="36">
    <w:abstractNumId w:val="43"/>
  </w:num>
  <w:num w:numId="37">
    <w:abstractNumId w:val="7"/>
  </w:num>
  <w:num w:numId="38">
    <w:abstractNumId w:val="13"/>
  </w:num>
  <w:num w:numId="39">
    <w:abstractNumId w:val="34"/>
  </w:num>
  <w:num w:numId="40">
    <w:abstractNumId w:val="29"/>
  </w:num>
  <w:num w:numId="41">
    <w:abstractNumId w:val="16"/>
  </w:num>
  <w:num w:numId="42">
    <w:abstractNumId w:val="1"/>
  </w:num>
  <w:num w:numId="43">
    <w:abstractNumId w:val="12"/>
  </w:num>
  <w:num w:numId="44">
    <w:abstractNumId w:val="21"/>
  </w:num>
  <w:num w:numId="45">
    <w:abstractNumId w:val="40"/>
  </w:num>
  <w:num w:numId="46">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13D53"/>
    <w:rsid w:val="00026BD0"/>
    <w:rsid w:val="00095BB9"/>
    <w:rsid w:val="000A0FD5"/>
    <w:rsid w:val="000B4765"/>
    <w:rsid w:val="000C6E68"/>
    <w:rsid w:val="001A72FF"/>
    <w:rsid w:val="001C5D7D"/>
    <w:rsid w:val="001D2C9B"/>
    <w:rsid w:val="00226889"/>
    <w:rsid w:val="002711C4"/>
    <w:rsid w:val="00282704"/>
    <w:rsid w:val="0028764C"/>
    <w:rsid w:val="002F5635"/>
    <w:rsid w:val="00311A6B"/>
    <w:rsid w:val="003412AD"/>
    <w:rsid w:val="0036230C"/>
    <w:rsid w:val="00365693"/>
    <w:rsid w:val="00372E17"/>
    <w:rsid w:val="00373E12"/>
    <w:rsid w:val="003A1B62"/>
    <w:rsid w:val="003E0581"/>
    <w:rsid w:val="003E55BD"/>
    <w:rsid w:val="004626CE"/>
    <w:rsid w:val="004A101B"/>
    <w:rsid w:val="004B0016"/>
    <w:rsid w:val="004F6AB2"/>
    <w:rsid w:val="00521EB2"/>
    <w:rsid w:val="00530BC9"/>
    <w:rsid w:val="005503F2"/>
    <w:rsid w:val="00591521"/>
    <w:rsid w:val="005B09EA"/>
    <w:rsid w:val="005E218C"/>
    <w:rsid w:val="0060537A"/>
    <w:rsid w:val="00630498"/>
    <w:rsid w:val="0069027F"/>
    <w:rsid w:val="006C6163"/>
    <w:rsid w:val="00784A0E"/>
    <w:rsid w:val="00803C51"/>
    <w:rsid w:val="00825C80"/>
    <w:rsid w:val="008B4AE2"/>
    <w:rsid w:val="008D296F"/>
    <w:rsid w:val="008E32BB"/>
    <w:rsid w:val="008E3B99"/>
    <w:rsid w:val="00956B14"/>
    <w:rsid w:val="009756B8"/>
    <w:rsid w:val="00987071"/>
    <w:rsid w:val="00996A36"/>
    <w:rsid w:val="009A0261"/>
    <w:rsid w:val="009F3D5E"/>
    <w:rsid w:val="009F45F2"/>
    <w:rsid w:val="00A011C8"/>
    <w:rsid w:val="00A4798A"/>
    <w:rsid w:val="00A77395"/>
    <w:rsid w:val="00AA7F03"/>
    <w:rsid w:val="00B105C6"/>
    <w:rsid w:val="00B176A2"/>
    <w:rsid w:val="00B94DF1"/>
    <w:rsid w:val="00BB2838"/>
    <w:rsid w:val="00BB7601"/>
    <w:rsid w:val="00BD4C52"/>
    <w:rsid w:val="00C26A57"/>
    <w:rsid w:val="00C62CAF"/>
    <w:rsid w:val="00C72594"/>
    <w:rsid w:val="00CE4394"/>
    <w:rsid w:val="00CE71BE"/>
    <w:rsid w:val="00D051B3"/>
    <w:rsid w:val="00D26A2A"/>
    <w:rsid w:val="00D70C2E"/>
    <w:rsid w:val="00D85D07"/>
    <w:rsid w:val="00D873C3"/>
    <w:rsid w:val="00D945CC"/>
    <w:rsid w:val="00E303A3"/>
    <w:rsid w:val="00EA434B"/>
    <w:rsid w:val="00EA707F"/>
    <w:rsid w:val="00EE57AD"/>
    <w:rsid w:val="00F10407"/>
    <w:rsid w:val="00F2055F"/>
    <w:rsid w:val="00F43ADD"/>
    <w:rsid w:val="00F57F21"/>
    <w:rsid w:val="00F817E3"/>
    <w:rsid w:val="00FC5D9A"/>
    <w:rsid w:val="00FD125B"/>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047D"/>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32C1-13E2-40E1-89E1-AFE2615B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2806</Words>
  <Characters>16840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Kuś Beata</cp:lastModifiedBy>
  <cp:revision>12</cp:revision>
  <dcterms:created xsi:type="dcterms:W3CDTF">2019-03-14T11:50:00Z</dcterms:created>
  <dcterms:modified xsi:type="dcterms:W3CDTF">2019-04-02T07:43:00Z</dcterms:modified>
</cp:coreProperties>
</file>