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BA60" w14:textId="77777777" w:rsidR="00A32D02" w:rsidRPr="00127000" w:rsidRDefault="00A32D02" w:rsidP="00C93801">
      <w:pPr>
        <w:pStyle w:val="mjtekst"/>
        <w:jc w:val="right"/>
        <w:rPr>
          <w:b/>
          <w:szCs w:val="24"/>
          <w:u w:val="single"/>
        </w:rPr>
      </w:pPr>
    </w:p>
    <w:p w14:paraId="435F9C4A" w14:textId="77777777" w:rsidR="00B918A9" w:rsidRPr="00127000" w:rsidRDefault="00B918A9" w:rsidP="00C93801">
      <w:pPr>
        <w:pStyle w:val="mjtekst"/>
        <w:jc w:val="center"/>
        <w:rPr>
          <w:b/>
          <w:szCs w:val="24"/>
        </w:rPr>
      </w:pPr>
      <w:r w:rsidRPr="00127000">
        <w:rPr>
          <w:b/>
          <w:szCs w:val="24"/>
        </w:rPr>
        <w:t>Załącznik</w:t>
      </w:r>
      <w:r w:rsidR="008400BC">
        <w:rPr>
          <w:b/>
          <w:szCs w:val="24"/>
        </w:rPr>
        <w:t xml:space="preserve"> do</w:t>
      </w:r>
    </w:p>
    <w:p w14:paraId="45FB8B30" w14:textId="77777777" w:rsidR="00B918A9" w:rsidRPr="00127000" w:rsidRDefault="00B918A9" w:rsidP="00C93801">
      <w:pPr>
        <w:pStyle w:val="mjtekst"/>
        <w:jc w:val="center"/>
        <w:rPr>
          <w:b/>
          <w:szCs w:val="24"/>
        </w:rPr>
      </w:pPr>
      <w:r w:rsidRPr="00127000">
        <w:rPr>
          <w:b/>
          <w:szCs w:val="24"/>
        </w:rPr>
        <w:t>VI</w:t>
      </w:r>
      <w:r w:rsidR="008400BC">
        <w:rPr>
          <w:b/>
          <w:szCs w:val="24"/>
        </w:rPr>
        <w:t>I Sprawozdania</w:t>
      </w:r>
      <w:r w:rsidRPr="00127000">
        <w:rPr>
          <w:b/>
          <w:szCs w:val="24"/>
        </w:rPr>
        <w:t xml:space="preserve"> Okresowe</w:t>
      </w:r>
      <w:r w:rsidR="008400BC">
        <w:rPr>
          <w:b/>
          <w:szCs w:val="24"/>
        </w:rPr>
        <w:t>go</w:t>
      </w:r>
      <w:r w:rsidRPr="00127000">
        <w:rPr>
          <w:b/>
          <w:szCs w:val="24"/>
        </w:rPr>
        <w:t xml:space="preserve"> Rzeczypospolitej Polskiej</w:t>
      </w:r>
    </w:p>
    <w:p w14:paraId="5E179524" w14:textId="77777777" w:rsidR="00B918A9" w:rsidRPr="00127000" w:rsidRDefault="00B918A9" w:rsidP="00C93801">
      <w:pPr>
        <w:pStyle w:val="mjtekst"/>
        <w:jc w:val="center"/>
        <w:rPr>
          <w:b/>
          <w:szCs w:val="24"/>
        </w:rPr>
      </w:pPr>
      <w:r w:rsidRPr="00127000">
        <w:rPr>
          <w:b/>
          <w:szCs w:val="24"/>
        </w:rPr>
        <w:t xml:space="preserve">z realizacji postanowień </w:t>
      </w:r>
    </w:p>
    <w:p w14:paraId="49C164B6" w14:textId="77777777" w:rsidR="00FF00A7" w:rsidRDefault="00B918A9" w:rsidP="00C93801">
      <w:pPr>
        <w:pStyle w:val="mjtekst"/>
        <w:jc w:val="center"/>
        <w:rPr>
          <w:b/>
          <w:szCs w:val="24"/>
        </w:rPr>
      </w:pPr>
      <w:r w:rsidRPr="00127000">
        <w:rPr>
          <w:b/>
          <w:szCs w:val="24"/>
        </w:rPr>
        <w:t>Międzynarodowego Paktu Praw Obywatelskich i Politycznych</w:t>
      </w:r>
      <w:r w:rsidR="00FF00A7">
        <w:rPr>
          <w:b/>
          <w:szCs w:val="24"/>
        </w:rPr>
        <w:t xml:space="preserve"> </w:t>
      </w:r>
    </w:p>
    <w:p w14:paraId="1B4183C5" w14:textId="77777777" w:rsidR="00645187" w:rsidRPr="00127000" w:rsidRDefault="00645187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8D463" w14:textId="77777777" w:rsidR="00D023EA" w:rsidRPr="008F00B8" w:rsidRDefault="008F00B8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Dotyczy p</w:t>
      </w:r>
      <w:r w:rsidR="002257FC">
        <w:rPr>
          <w:rFonts w:ascii="Times New Roman" w:hAnsi="Times New Roman" w:cs="Times New Roman"/>
          <w:b/>
          <w:sz w:val="24"/>
          <w:szCs w:val="24"/>
          <w:u w:val="single"/>
        </w:rPr>
        <w:t>ar. 12</w:t>
      </w:r>
    </w:p>
    <w:p w14:paraId="3FA8C02B" w14:textId="77777777" w:rsidR="000C7174" w:rsidRPr="00127000" w:rsidRDefault="00FF4B42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Wybrane orzeczenia</w:t>
      </w:r>
      <w:r w:rsidR="00323DDC" w:rsidRPr="00127000">
        <w:rPr>
          <w:rFonts w:ascii="Times New Roman" w:hAnsi="Times New Roman" w:cs="Times New Roman"/>
          <w:b/>
          <w:sz w:val="24"/>
          <w:szCs w:val="24"/>
        </w:rPr>
        <w:t xml:space="preserve"> zawierające odwołania do Paktu</w:t>
      </w:r>
    </w:p>
    <w:p w14:paraId="47E1022B" w14:textId="77777777" w:rsidR="007D0181" w:rsidRPr="00127000" w:rsidRDefault="00302504" w:rsidP="00C93801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000">
        <w:rPr>
          <w:rFonts w:ascii="Times New Roman" w:eastAsia="Calibri" w:hAnsi="Times New Roman" w:cs="Times New Roman"/>
          <w:sz w:val="24"/>
          <w:szCs w:val="24"/>
        </w:rPr>
        <w:t>Sąd Najwyższy</w:t>
      </w:r>
      <w:r w:rsidR="00647566" w:rsidRPr="00127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000">
        <w:rPr>
          <w:rFonts w:ascii="Times New Roman" w:eastAsia="Calibri" w:hAnsi="Times New Roman" w:cs="Times New Roman"/>
          <w:bCs/>
          <w:sz w:val="24"/>
          <w:szCs w:val="24"/>
        </w:rPr>
        <w:t>w wyroku z</w:t>
      </w:r>
      <w:r w:rsidR="00F05FB8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dnia 4 października 2012 r. (s</w:t>
      </w:r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>ygn. I CSK 124/12)</w:t>
      </w:r>
      <w:r w:rsidR="00DC6686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>przy określaniu granic korzystania z woln</w:t>
      </w:r>
      <w:r w:rsidR="00ED3015" w:rsidRPr="00127000">
        <w:rPr>
          <w:rFonts w:ascii="Times New Roman" w:eastAsia="Calibri" w:hAnsi="Times New Roman" w:cs="Times New Roman"/>
          <w:sz w:val="24"/>
          <w:szCs w:val="24"/>
        </w:rPr>
        <w:t>ości wyrażania opinii Sąd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 powołał się m.in. na art. 19 ust. 3 </w:t>
      </w:r>
      <w:r w:rsidR="0089447B" w:rsidRPr="00127000">
        <w:rPr>
          <w:rFonts w:ascii="Times New Roman" w:eastAsia="Calibri" w:hAnsi="Times New Roman" w:cs="Times New Roman"/>
          <w:sz w:val="24"/>
          <w:szCs w:val="24"/>
        </w:rPr>
        <w:t>Paktu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1D0F94" w14:textId="77777777" w:rsidR="00423FA8" w:rsidRPr="00127000" w:rsidRDefault="00423FA8" w:rsidP="00C9380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B6014" w14:textId="77777777" w:rsidR="007D0181" w:rsidRPr="00127000" w:rsidRDefault="00E5387B" w:rsidP="00C9380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000">
        <w:rPr>
          <w:rFonts w:ascii="Times New Roman" w:eastAsia="Calibri" w:hAnsi="Times New Roman" w:cs="Times New Roman"/>
          <w:sz w:val="24"/>
          <w:szCs w:val="24"/>
        </w:rPr>
        <w:t>S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ąd Apelacyjny w Warszawie  w wyroku </w:t>
      </w:r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>z dnia</w:t>
      </w:r>
      <w:r w:rsidR="000448E6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21 listopada 2012 r.</w:t>
      </w:r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(sygn. II </w:t>
      </w:r>
      <w:proofErr w:type="spellStart"/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>AKa</w:t>
      </w:r>
      <w:proofErr w:type="spellEnd"/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335/12)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2C4" w:rsidRPr="00127000">
        <w:rPr>
          <w:rFonts w:ascii="Times New Roman" w:eastAsia="Calibri" w:hAnsi="Times New Roman" w:cs="Times New Roman"/>
          <w:sz w:val="24"/>
          <w:szCs w:val="24"/>
        </w:rPr>
        <w:t>powołał</w:t>
      </w:r>
      <w:r w:rsidR="000B25CF" w:rsidRPr="00127000">
        <w:rPr>
          <w:rFonts w:ascii="Times New Roman" w:eastAsia="Calibri" w:hAnsi="Times New Roman" w:cs="Times New Roman"/>
          <w:sz w:val="24"/>
          <w:szCs w:val="24"/>
        </w:rPr>
        <w:t xml:space="preserve"> się na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 art. 14 ust. 3  </w:t>
      </w:r>
      <w:r w:rsidR="00D12C33" w:rsidRPr="00127000">
        <w:rPr>
          <w:rFonts w:ascii="Times New Roman" w:eastAsia="Calibri" w:hAnsi="Times New Roman" w:cs="Times New Roman"/>
          <w:sz w:val="24"/>
          <w:szCs w:val="24"/>
        </w:rPr>
        <w:t>Paktu</w:t>
      </w:r>
      <w:r w:rsidR="000B25CF" w:rsidRPr="0012700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B30FB8" w:rsidRPr="00127000">
        <w:rPr>
          <w:rFonts w:ascii="Times New Roman" w:eastAsia="Calibri" w:hAnsi="Times New Roman" w:cs="Times New Roman"/>
          <w:sz w:val="24"/>
          <w:szCs w:val="24"/>
        </w:rPr>
        <w:t xml:space="preserve">swych </w:t>
      </w:r>
      <w:r w:rsidR="000B25CF" w:rsidRPr="00127000">
        <w:rPr>
          <w:rFonts w:ascii="Times New Roman" w:eastAsia="Calibri" w:hAnsi="Times New Roman" w:cs="Times New Roman"/>
          <w:sz w:val="24"/>
          <w:szCs w:val="24"/>
        </w:rPr>
        <w:t xml:space="preserve">rozważaniach </w:t>
      </w:r>
      <w:r w:rsidR="0037778C" w:rsidRPr="00127000">
        <w:rPr>
          <w:rFonts w:ascii="Times New Roman" w:eastAsia="Calibri" w:hAnsi="Times New Roman" w:cs="Times New Roman"/>
          <w:sz w:val="24"/>
          <w:szCs w:val="24"/>
        </w:rPr>
        <w:t xml:space="preserve">na temat </w:t>
      </w:r>
      <w:r w:rsidR="0046331E" w:rsidRPr="00127000">
        <w:rPr>
          <w:rFonts w:ascii="Times New Roman" w:eastAsia="Calibri" w:hAnsi="Times New Roman" w:cs="Times New Roman"/>
          <w:sz w:val="24"/>
          <w:szCs w:val="24"/>
        </w:rPr>
        <w:t xml:space="preserve">minimum uprawnień procesowych przysługujących </w:t>
      </w:r>
      <w:r w:rsidR="00BB0346" w:rsidRPr="00127000">
        <w:rPr>
          <w:rFonts w:ascii="Times New Roman" w:eastAsia="Calibri" w:hAnsi="Times New Roman" w:cs="Times New Roman"/>
          <w:sz w:val="24"/>
          <w:szCs w:val="24"/>
        </w:rPr>
        <w:t>oskarżonemu</w:t>
      </w:r>
      <w:r w:rsidR="00AD408A" w:rsidRPr="001270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D1CBC2" w14:textId="77777777" w:rsidR="00825A0D" w:rsidRPr="00127000" w:rsidRDefault="00825A0D" w:rsidP="00C938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82D247" w14:textId="77777777" w:rsidR="00626826" w:rsidRPr="00127000" w:rsidRDefault="00B865C3" w:rsidP="00C93801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000">
        <w:rPr>
          <w:rFonts w:ascii="Times New Roman" w:eastAsia="Calibri" w:hAnsi="Times New Roman" w:cs="Times New Roman"/>
          <w:bCs/>
          <w:sz w:val="24"/>
          <w:szCs w:val="24"/>
        </w:rPr>
        <w:t>Sąd</w:t>
      </w:r>
      <w:r w:rsidR="00825A0D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Najwyższy w uchwale </w:t>
      </w:r>
      <w:r w:rsidR="00825A0D" w:rsidRPr="00127000">
        <w:rPr>
          <w:rFonts w:ascii="Times New Roman" w:eastAsia="Calibri" w:hAnsi="Times New Roman" w:cs="Times New Roman"/>
          <w:bCs/>
          <w:sz w:val="24"/>
          <w:szCs w:val="24"/>
        </w:rPr>
        <w:t>z dnia 30 kwietnia 2014 r. (sygn. I KZP 3/14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>) powołał się na art. 15 ust. 1  Paktu</w:t>
      </w:r>
      <w:r w:rsidR="003B7217" w:rsidRPr="00127000">
        <w:rPr>
          <w:rFonts w:ascii="Times New Roman" w:eastAsia="Calibri" w:hAnsi="Times New Roman" w:cs="Times New Roman"/>
          <w:sz w:val="24"/>
          <w:szCs w:val="24"/>
        </w:rPr>
        <w:t xml:space="preserve"> w toku orzekania </w:t>
      </w:r>
      <w:r w:rsidR="00C30832" w:rsidRPr="0012700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2A216B" w:rsidRPr="00127000">
        <w:rPr>
          <w:rFonts w:ascii="Times New Roman" w:eastAsia="Calibri" w:hAnsi="Times New Roman" w:cs="Times New Roman"/>
          <w:sz w:val="24"/>
          <w:szCs w:val="24"/>
        </w:rPr>
        <w:t>zasadach orzekania wyroku łącznego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 xml:space="preserve">. Równocześnie </w:t>
      </w:r>
      <w:r w:rsidR="00BB02C8" w:rsidRPr="00127000">
        <w:rPr>
          <w:rFonts w:ascii="Times New Roman" w:eastAsia="Calibri" w:hAnsi="Times New Roman" w:cs="Times New Roman"/>
          <w:sz w:val="24"/>
          <w:szCs w:val="24"/>
        </w:rPr>
        <w:t xml:space="preserve">Sąd 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 xml:space="preserve">przypomniał </w:t>
      </w:r>
      <w:r w:rsidR="00825A0D" w:rsidRPr="00127000">
        <w:rPr>
          <w:rFonts w:ascii="Times New Roman" w:eastAsia="Calibri" w:hAnsi="Times New Roman" w:cs="Times New Roman"/>
          <w:bCs/>
          <w:sz w:val="24"/>
          <w:szCs w:val="24"/>
        </w:rPr>
        <w:t>uchwałę SN z 17 października 1991 r.</w:t>
      </w:r>
      <w:r w:rsidR="003B00BD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5A0D" w:rsidRPr="00127000">
        <w:rPr>
          <w:rFonts w:ascii="Times New Roman" w:eastAsia="Calibri" w:hAnsi="Times New Roman" w:cs="Times New Roman"/>
          <w:bCs/>
          <w:sz w:val="24"/>
          <w:szCs w:val="24"/>
        </w:rPr>
        <w:t>(sygn. II KRN 274/91)</w:t>
      </w:r>
      <w:r w:rsidR="003B00BD" w:rsidRPr="0012700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25A0D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 xml:space="preserve">w której stwierdził, że zakaz określony w art. 15 </w:t>
      </w:r>
      <w:r w:rsidR="003868D5" w:rsidRPr="00127000">
        <w:rPr>
          <w:rFonts w:ascii="Times New Roman" w:eastAsia="Calibri" w:hAnsi="Times New Roman" w:cs="Times New Roman"/>
          <w:sz w:val="24"/>
          <w:szCs w:val="24"/>
        </w:rPr>
        <w:t>Paktu</w:t>
      </w:r>
      <w:r w:rsidR="006F2572" w:rsidRPr="00127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0A0" w:rsidRPr="00127000">
        <w:rPr>
          <w:rFonts w:ascii="Times New Roman" w:eastAsia="Calibri" w:hAnsi="Times New Roman" w:cs="Times New Roman"/>
          <w:sz w:val="24"/>
          <w:szCs w:val="24"/>
        </w:rPr>
        <w:t xml:space="preserve">może być stosowany bezpośrednio w porządku wewnętrznym 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 xml:space="preserve">(normy tzw. </w:t>
      </w:r>
      <w:proofErr w:type="spellStart"/>
      <w:r w:rsidR="00825A0D" w:rsidRPr="00127000">
        <w:rPr>
          <w:rFonts w:ascii="Times New Roman" w:eastAsia="Calibri" w:hAnsi="Times New Roman" w:cs="Times New Roman"/>
          <w:i/>
          <w:iCs/>
          <w:sz w:val="24"/>
          <w:szCs w:val="24"/>
        </w:rPr>
        <w:t>self-executing</w:t>
      </w:r>
      <w:proofErr w:type="spellEnd"/>
      <w:r w:rsidR="00106BCF" w:rsidRPr="00127000">
        <w:rPr>
          <w:rFonts w:ascii="Times New Roman" w:eastAsia="Calibri" w:hAnsi="Times New Roman" w:cs="Times New Roman"/>
          <w:sz w:val="24"/>
          <w:szCs w:val="24"/>
        </w:rPr>
        <w:t>)</w:t>
      </w:r>
      <w:r w:rsidR="00825A0D" w:rsidRPr="001270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C9D0EC" w14:textId="77777777" w:rsidR="00825A0D" w:rsidRPr="00127000" w:rsidRDefault="00825A0D" w:rsidP="00C93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0D37C" w14:textId="77777777" w:rsidR="007D0181" w:rsidRPr="00127000" w:rsidRDefault="00B30555" w:rsidP="00C93801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000">
        <w:rPr>
          <w:rFonts w:ascii="Times New Roman" w:eastAsia="Calibri" w:hAnsi="Times New Roman" w:cs="Times New Roman"/>
          <w:sz w:val="24"/>
          <w:szCs w:val="24"/>
        </w:rPr>
        <w:t>Sąd Apelacyjny w Rzeszowie w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 wyroku z dnia </w:t>
      </w:r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16 czerwca 2014 r. (sygn. II </w:t>
      </w:r>
      <w:proofErr w:type="spellStart"/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>AKa</w:t>
      </w:r>
      <w:proofErr w:type="spellEnd"/>
      <w:r w:rsidR="007D0181" w:rsidRPr="00127000">
        <w:rPr>
          <w:rFonts w:ascii="Times New Roman" w:eastAsia="Calibri" w:hAnsi="Times New Roman" w:cs="Times New Roman"/>
          <w:bCs/>
          <w:sz w:val="24"/>
          <w:szCs w:val="24"/>
        </w:rPr>
        <w:t xml:space="preserve"> 111/13) </w:t>
      </w:r>
      <w:r w:rsidR="007D0181" w:rsidRPr="00127000">
        <w:rPr>
          <w:rFonts w:ascii="Times New Roman" w:eastAsia="Calibri" w:hAnsi="Times New Roman" w:cs="Times New Roman"/>
          <w:sz w:val="24"/>
          <w:szCs w:val="24"/>
        </w:rPr>
        <w:t xml:space="preserve">powołał się na art. 14 ust. 3 lit. b. </w:t>
      </w:r>
      <w:r w:rsidR="00CC020F" w:rsidRPr="00127000">
        <w:rPr>
          <w:rFonts w:ascii="Times New Roman" w:eastAsia="Calibri" w:hAnsi="Times New Roman" w:cs="Times New Roman"/>
          <w:sz w:val="24"/>
          <w:szCs w:val="24"/>
        </w:rPr>
        <w:t>Paktu</w:t>
      </w:r>
      <w:r w:rsidR="00B554CB" w:rsidRPr="00127000">
        <w:rPr>
          <w:rFonts w:ascii="Times New Roman" w:eastAsia="Calibri" w:hAnsi="Times New Roman" w:cs="Times New Roman"/>
          <w:sz w:val="24"/>
          <w:szCs w:val="24"/>
        </w:rPr>
        <w:t xml:space="preserve"> w trakcie swego wywodu </w:t>
      </w:r>
      <w:r w:rsidR="008A2C98" w:rsidRPr="00127000">
        <w:rPr>
          <w:rFonts w:ascii="Times New Roman" w:eastAsia="Calibri" w:hAnsi="Times New Roman" w:cs="Times New Roman"/>
          <w:sz w:val="24"/>
          <w:szCs w:val="24"/>
        </w:rPr>
        <w:t xml:space="preserve">na temat </w:t>
      </w:r>
      <w:r w:rsidR="00847272" w:rsidRPr="00127000">
        <w:rPr>
          <w:rFonts w:ascii="Times New Roman" w:eastAsia="Calibri" w:hAnsi="Times New Roman" w:cs="Times New Roman"/>
          <w:sz w:val="24"/>
          <w:szCs w:val="24"/>
        </w:rPr>
        <w:t>prawa do obrony</w:t>
      </w:r>
      <w:r w:rsidR="00FD5838" w:rsidRPr="00127000">
        <w:rPr>
          <w:rFonts w:ascii="Times New Roman" w:eastAsia="Calibri" w:hAnsi="Times New Roman" w:cs="Times New Roman"/>
          <w:sz w:val="24"/>
          <w:szCs w:val="24"/>
        </w:rPr>
        <w:t xml:space="preserve"> i innych gwarancji procesowych.</w:t>
      </w:r>
    </w:p>
    <w:p w14:paraId="659E2F82" w14:textId="77777777" w:rsidR="007D0181" w:rsidRPr="00127000" w:rsidRDefault="007D0181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8AE9" w14:textId="77777777" w:rsidR="006D59BE" w:rsidRPr="00940089" w:rsidRDefault="00940089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089">
        <w:rPr>
          <w:rFonts w:ascii="Times New Roman" w:hAnsi="Times New Roman" w:cs="Times New Roman"/>
          <w:b/>
          <w:sz w:val="24"/>
          <w:szCs w:val="24"/>
          <w:u w:val="single"/>
        </w:rPr>
        <w:t>Dotyczy p</w:t>
      </w:r>
      <w:r w:rsidR="002257FC">
        <w:rPr>
          <w:rFonts w:ascii="Times New Roman" w:hAnsi="Times New Roman" w:cs="Times New Roman"/>
          <w:b/>
          <w:sz w:val="24"/>
          <w:szCs w:val="24"/>
          <w:u w:val="single"/>
        </w:rPr>
        <w:t>ar. 40</w:t>
      </w:r>
    </w:p>
    <w:p w14:paraId="6A8AC9B5" w14:textId="77777777" w:rsidR="00BA39B6" w:rsidRPr="00127000" w:rsidRDefault="00CE5951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 prowadzone przez Prokuraturę</w:t>
      </w:r>
      <w:r w:rsidR="00104EAE"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latach 2009-2014</w:t>
      </w:r>
      <w:r w:rsidR="00DF2C59" w:rsidRPr="00127000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1"/>
      </w:r>
    </w:p>
    <w:p w14:paraId="69692661" w14:textId="77777777" w:rsidR="00BA39B6" w:rsidRPr="00127000" w:rsidRDefault="00BA39B6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245B0" w14:textId="77777777" w:rsidR="00E21282" w:rsidRPr="00127000" w:rsidRDefault="00E21282" w:rsidP="00C93801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2009 r.</w:t>
      </w:r>
    </w:p>
    <w:p w14:paraId="46681A5F" w14:textId="77777777" w:rsidR="007635D2" w:rsidRPr="00127000" w:rsidRDefault="00E2128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rowadzonych było 166 postępowań, w tym 124 nowe postępowania, 42 postępowania były kontynuowane z wcześniejszego okresu. Zakończon</w:t>
      </w:r>
      <w:r w:rsidR="00A3369D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ogółem 146 spraw, zaś 20 spraw pozostawało w toku.</w:t>
      </w:r>
    </w:p>
    <w:p w14:paraId="22C89984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zakończonych ogółem 146 spraw:</w:t>
      </w:r>
    </w:p>
    <w:p w14:paraId="04B60FC2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28 sprawach skierowano akty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oskarżenia przeciwko 46 osobom;</w:t>
      </w:r>
    </w:p>
    <w:p w14:paraId="57873ECC" w14:textId="77777777" w:rsidR="007635D2" w:rsidRPr="00127000" w:rsidRDefault="0095313B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73 sprawy umorzono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80F039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37 sprawach odmówiono wszczęcia postępowania przygotowawczego;</w:t>
      </w:r>
    </w:p>
    <w:p w14:paraId="3F8CABED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sprawy przekazano według właściwości innej prokuraturze, 2 sprawy przekazano według właściwości Sądowi Rodzinnemu i Nieletnich i 2 sprawy połączono z innymi postępowaniami;</w:t>
      </w:r>
    </w:p>
    <w:p w14:paraId="12AC6842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1 sprawę zawieszono.</w:t>
      </w:r>
    </w:p>
    <w:p w14:paraId="7B28788D" w14:textId="77777777" w:rsidR="007635D2" w:rsidRPr="00127000" w:rsidRDefault="009708E1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apadło 27 orzeczeń sądowych w sprawach skierowanych z aktami oskarżenia:</w:t>
      </w:r>
    </w:p>
    <w:p w14:paraId="5AA5AB7D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24 sprawach zapadły wyroki skazujące;</w:t>
      </w:r>
    </w:p>
    <w:p w14:paraId="20B0B46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warunkowo umorzył postępowanie;</w:t>
      </w:r>
    </w:p>
    <w:p w14:paraId="36058CAA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2 sprawach sąd wydał wyroki w odniesieniu do części osób oskarżonych skazujące, a w odniesieniu do części osób oskarżonych uniewinniające. </w:t>
      </w:r>
    </w:p>
    <w:p w14:paraId="0DF226E9" w14:textId="77777777" w:rsidR="007635D2" w:rsidRPr="00127000" w:rsidRDefault="007635D2" w:rsidP="00C93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CB6142" w14:textId="77777777" w:rsidR="00E21282" w:rsidRPr="00127000" w:rsidRDefault="00E21282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2010 r.</w:t>
      </w:r>
    </w:p>
    <w:p w14:paraId="1E5EE5B0" w14:textId="77777777" w:rsidR="00E21282" w:rsidRPr="00127000" w:rsidRDefault="00E21282" w:rsidP="00C938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E5A11" w14:textId="77777777" w:rsidR="007635D2" w:rsidRPr="00127000" w:rsidRDefault="00E2128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rowadzono 182 postępowania, w tym 146 nowych postępowań, 36 spraw kontynuowano z wcześniejszego okresu. Zakończono ogółem 163 sprawy, zaś 19 spraw pozostawało w toku.</w:t>
      </w:r>
    </w:p>
    <w:p w14:paraId="0AF222CF" w14:textId="77777777" w:rsidR="007635D2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 zakończonych ogółem 163 spraw:</w:t>
      </w:r>
    </w:p>
    <w:p w14:paraId="062E1082" w14:textId="77777777" w:rsidR="00B54F92" w:rsidRPr="00127000" w:rsidRDefault="00B54F9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BEC45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30 sprawach skierowano akty oskarżenia przeciwko 38 osobom;</w:t>
      </w:r>
    </w:p>
    <w:p w14:paraId="05E3F0E1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72 sprawy umorzono;</w:t>
      </w:r>
    </w:p>
    <w:p w14:paraId="149CAB1A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54 sprawach odmówiono wszczęcia postępowania przygotowawczego;</w:t>
      </w:r>
    </w:p>
    <w:p w14:paraId="595CC33C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6 spraw zawieszono;</w:t>
      </w:r>
    </w:p>
    <w:p w14:paraId="56BAB6E0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1 sprawę przekazano według właściwości do Sądu Rodzinnego i Nieletnich.</w:t>
      </w:r>
    </w:p>
    <w:p w14:paraId="5406A6A9" w14:textId="77777777" w:rsidR="007635D2" w:rsidRPr="00127000" w:rsidRDefault="007635D2" w:rsidP="00C93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481D4" w14:textId="77777777" w:rsidR="007635D2" w:rsidRPr="00127000" w:rsidRDefault="000556CD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apadło 30 orzeczeń sądowych w sprawach skierowanych z aktami oskarżenia, w tym:</w:t>
      </w:r>
    </w:p>
    <w:p w14:paraId="5F65731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23 spr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awach zapadły wyroki skazujące;</w:t>
      </w:r>
    </w:p>
    <w:p w14:paraId="51FD015C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4 sprawach sądy warunkowo umorzyły postępowanie;</w:t>
      </w:r>
    </w:p>
    <w:p w14:paraId="722A159D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wyrok zapadł częściowo skazujący (w stosunku do 3 oskarżonych) i częściowo uniewinniający (w stosunku do 1 oskarżonego);</w:t>
      </w:r>
    </w:p>
    <w:p w14:paraId="538C172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uniewinnił oskarżonego;</w:t>
      </w:r>
    </w:p>
    <w:p w14:paraId="40611B65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 umorzył postępowanie  z uwagi na brak znamion czynu zabronionego.</w:t>
      </w:r>
    </w:p>
    <w:p w14:paraId="6864BE91" w14:textId="77777777" w:rsidR="007635D2" w:rsidRPr="00127000" w:rsidRDefault="007635D2" w:rsidP="00C93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FA873" w14:textId="77777777" w:rsidR="00911776" w:rsidRPr="00127000" w:rsidRDefault="00911776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2011 r.</w:t>
      </w:r>
    </w:p>
    <w:p w14:paraId="341E3392" w14:textId="77777777" w:rsidR="00911776" w:rsidRPr="00127000" w:rsidRDefault="00911776" w:rsidP="00C938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D422F" w14:textId="77777777" w:rsidR="007635D2" w:rsidRDefault="00911776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rowadzono 323 postępowania, w tym 272 nowe postępowania, 51 spraw kontynuowano z wcześniejszego okresu. Na koniec 2011 r. zakończono ogółem 279 spraw, a 44 sprawy pozostawały w toku.</w:t>
      </w:r>
    </w:p>
    <w:p w14:paraId="62D0A5E4" w14:textId="77777777" w:rsidR="00B54F92" w:rsidRPr="00127000" w:rsidRDefault="00B54F9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90B18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 zakończonych ogółem 279 spraw:</w:t>
      </w:r>
    </w:p>
    <w:p w14:paraId="33AB8DCF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40 sprawach skierowano akty oskarżenia przeciwko 54 osobom;</w:t>
      </w:r>
    </w:p>
    <w:p w14:paraId="576BFBDD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134 sprawy umorzono;</w:t>
      </w:r>
    </w:p>
    <w:p w14:paraId="64AA39EE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91 sprawach odmówiono wszczęcia postępowania przygotowawczego;</w:t>
      </w:r>
    </w:p>
    <w:p w14:paraId="717D47D5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7 spraw zawieszono;</w:t>
      </w:r>
    </w:p>
    <w:p w14:paraId="6E39B78E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4 sprawy zakończono w inny sposób (3 przekazano według właściwości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 połączono z innym postępowaniem);</w:t>
      </w:r>
    </w:p>
    <w:p w14:paraId="3743A21F" w14:textId="77777777" w:rsidR="007635D2" w:rsidRPr="00127000" w:rsidRDefault="007635D2" w:rsidP="00C93801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w 3 sprawach skierowano wnioski o warunkowe umorzenie postępowania przeciwko 5 osobom.</w:t>
      </w:r>
    </w:p>
    <w:p w14:paraId="38AF4984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42705" w14:textId="77777777" w:rsidR="007635D2" w:rsidRPr="00127000" w:rsidRDefault="000556CD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apadło 28 orzeczeń sądowych w sprawach skierowanych z aktami oskarżenia, w tym:</w:t>
      </w:r>
    </w:p>
    <w:p w14:paraId="2F79AB08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 sprawach zapadły  wyroki skazujące;</w:t>
      </w:r>
    </w:p>
    <w:p w14:paraId="69A31EEE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4 sprawach sądy warunkowo umorzyły postępowanie;</w:t>
      </w:r>
    </w:p>
    <w:p w14:paraId="31E6862D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 sprawach zapadły wyroki uniewinniające;</w:t>
      </w:r>
    </w:p>
    <w:p w14:paraId="73B62D88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1 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sąd umorzył postępowanie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 znikomy stopień społecznej szkodliwości czynu;</w:t>
      </w:r>
    </w:p>
    <w:p w14:paraId="2EFDBBA9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umorzył postępowanie z uwagi na brak znamion czynu zabronionego.</w:t>
      </w:r>
    </w:p>
    <w:p w14:paraId="5715029B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C11E7B2" w14:textId="77777777" w:rsidR="00645187" w:rsidRPr="00127000" w:rsidRDefault="00645187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5F28D61" w14:textId="77777777" w:rsidR="0061129B" w:rsidRPr="00127000" w:rsidRDefault="0061129B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2012 r.</w:t>
      </w:r>
    </w:p>
    <w:p w14:paraId="3526836D" w14:textId="77777777" w:rsidR="0061129B" w:rsidRPr="00127000" w:rsidRDefault="0061129B" w:rsidP="00C938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CC77D" w14:textId="77777777" w:rsidR="007635D2" w:rsidRDefault="000556CD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B6176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owadzonych było 473 postępowań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362 nowe postępowania, 111 postępowań kontynuowano z wcześniejszego okresu.</w:t>
      </w:r>
    </w:p>
    <w:p w14:paraId="30CDC68D" w14:textId="77777777" w:rsidR="00B54F92" w:rsidRPr="00127000" w:rsidRDefault="00B54F9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6D54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na koniec 2012 r.:</w:t>
      </w:r>
    </w:p>
    <w:p w14:paraId="7570FEA0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65 spraw było w toku;</w:t>
      </w:r>
    </w:p>
    <w:p w14:paraId="0AE5274E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zakończono ogółem 408 spraw, w tym:</w:t>
      </w:r>
    </w:p>
    <w:p w14:paraId="14219376" w14:textId="77777777" w:rsidR="007635D2" w:rsidRPr="00127000" w:rsidRDefault="007635D2" w:rsidP="00C93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75 sprawach skierowano akty oskarżenia przeciwko 139 osobom;</w:t>
      </w:r>
    </w:p>
    <w:p w14:paraId="6722CB37" w14:textId="77777777" w:rsidR="007635D2" w:rsidRPr="00127000" w:rsidRDefault="007635D2" w:rsidP="00C93801">
      <w:pPr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103 sprawach odmówiono wszczęcia postępowania przygotowawczego;</w:t>
      </w:r>
    </w:p>
    <w:p w14:paraId="3CDAE368" w14:textId="77777777" w:rsidR="007635D2" w:rsidRPr="00127000" w:rsidRDefault="007635D2" w:rsidP="00C9380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 spraw zawieszono;</w:t>
      </w:r>
    </w:p>
    <w:p w14:paraId="3452F23C" w14:textId="77777777" w:rsidR="007635D2" w:rsidRPr="00127000" w:rsidRDefault="007635D2" w:rsidP="00C93801">
      <w:pPr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6 spraw zakończono w inny sposób (przekazano według właściwości do Sekcji do Spraw Nieletnich KRP, do Sądu Rodzinnego i Nieletnich, połączono 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postępowaniem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D23BF63" w14:textId="77777777" w:rsidR="007635D2" w:rsidRPr="00127000" w:rsidRDefault="007635D2" w:rsidP="00C93801">
      <w:pPr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skierowano wniosek o warunkowe umorzenie postępowania przeciwko 2 osobom;</w:t>
      </w:r>
    </w:p>
    <w:p w14:paraId="0F721FC5" w14:textId="77777777" w:rsidR="007635D2" w:rsidRPr="00127000" w:rsidRDefault="007635D2" w:rsidP="00C93801">
      <w:pPr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skierowano wniosek do sądu o umorzenie postępowania przeciwko 1 osobie z uwagi na niepoczytalność w trybie art. 324 § 1 k.p.k.</w:t>
      </w:r>
    </w:p>
    <w:p w14:paraId="28398423" w14:textId="77777777" w:rsidR="007635D2" w:rsidRPr="00127000" w:rsidRDefault="007635D2" w:rsidP="00C93801">
      <w:pPr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łącznie 208 spraw umorzono.</w:t>
      </w:r>
    </w:p>
    <w:p w14:paraId="418EF5B3" w14:textId="77777777" w:rsidR="00FA72A7" w:rsidRPr="00127000" w:rsidRDefault="00FA72A7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4BCB4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umorzono postępowanie przygotowawcze przeciwko 35 podejrzanym.</w:t>
      </w:r>
    </w:p>
    <w:p w14:paraId="2D7815B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5DC87" w14:textId="77777777" w:rsidR="007635D2" w:rsidRPr="00127000" w:rsidRDefault="000556CD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apadło 50 orzeczeń sądowych w sprawach skierowanych z aktami oskarżenia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4A1915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34 sprawach zapadły wyroki skazujące wobec 59 osób;</w:t>
      </w:r>
    </w:p>
    <w:p w14:paraId="70B1262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5 sprawach sądy warunkowo umorzyły postępowanie wobec 6 osób;</w:t>
      </w:r>
    </w:p>
    <w:p w14:paraId="571172D2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7 sprawach zapadły wyroki uniewinniające 7 osób;</w:t>
      </w:r>
    </w:p>
    <w:p w14:paraId="536EB53C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umorzył postępowania z uwagi na znikomy stopień społecznej szkodliwości czynu wobec 1 osoby;</w:t>
      </w:r>
    </w:p>
    <w:p w14:paraId="592B9B8F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 sprawach sąd umorzył postępowanie z uwagi na brak znamion czynu zabronionego wobec 19 osób;</w:t>
      </w:r>
    </w:p>
    <w:p w14:paraId="78FB91D7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wydał wyrok uniewinniający 1 osobę i umarzający postępowanie wobec 1 osoby z uwagi na znikomy stopień społecznej szkodliwości czynu.</w:t>
      </w:r>
    </w:p>
    <w:p w14:paraId="6616DD9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FC6B2" w14:textId="77777777" w:rsidR="007E129C" w:rsidRPr="00127000" w:rsidRDefault="007E129C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2013 r.</w:t>
      </w:r>
    </w:p>
    <w:p w14:paraId="27B6502A" w14:textId="77777777" w:rsidR="007E129C" w:rsidRPr="00127000" w:rsidRDefault="007E129C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E2943" w14:textId="77777777" w:rsidR="007635D2" w:rsidRDefault="007E129C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rowadzonych było 835 postępowań, w tym 719 nowych postępowań, 116 było postępowań kontynuowanych z wcześniejszego okresu.</w:t>
      </w:r>
    </w:p>
    <w:p w14:paraId="3DF1A630" w14:textId="77777777" w:rsidR="00B54F92" w:rsidRPr="00127000" w:rsidRDefault="00B54F9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157C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roku 2013:</w:t>
      </w:r>
    </w:p>
    <w:p w14:paraId="4F114D0D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128 spraw pozostawało w toku;</w:t>
      </w:r>
    </w:p>
    <w:p w14:paraId="65C5CAF4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zakończono ogółem 707 spraw, w tym:</w:t>
      </w:r>
    </w:p>
    <w:p w14:paraId="7007EDAC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111 sprawach skierowano akty oskarżenia przeciwko 174 osobom;</w:t>
      </w:r>
    </w:p>
    <w:p w14:paraId="7B35C310" w14:textId="77777777" w:rsidR="007635D2" w:rsidRPr="00127000" w:rsidRDefault="007635D2" w:rsidP="00C938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5 sprawach skierowano wnioski do Sądu o warunkowe umorzenie postępowania przeciwko 6 osobom;</w:t>
      </w:r>
    </w:p>
    <w:p w14:paraId="5889261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126 sprawach odmówiono wszczęcia postępowania;</w:t>
      </w:r>
    </w:p>
    <w:p w14:paraId="2086FBC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17 sprawach zawieszono postępowanie;</w:t>
      </w:r>
    </w:p>
    <w:p w14:paraId="7575B657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sprawy zakończono w inny sposób ( przekazano wg właściwości);</w:t>
      </w:r>
    </w:p>
    <w:p w14:paraId="3FE11886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1 sprawie skierowano wniosek do sądu o umorzenie postępowania przeciwko 1 osobie z uwagi na niepoczytalność w chwili czynu w trybie art. 324 § 1 </w:t>
      </w:r>
      <w:proofErr w:type="spellStart"/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kpk</w:t>
      </w:r>
      <w:proofErr w:type="spellEnd"/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769C54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443 sprawy umorzono.</w:t>
      </w:r>
    </w:p>
    <w:p w14:paraId="16581F94" w14:textId="77777777" w:rsidR="00CB6EF6" w:rsidRPr="00127000" w:rsidRDefault="00CB6EF6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03B2B" w14:textId="77777777" w:rsidR="007635D2" w:rsidRPr="00127000" w:rsidRDefault="007635D2" w:rsidP="00C9380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umorzono postępowanie przygotowawcze przeciwko 37 podejrzanym.</w:t>
      </w:r>
    </w:p>
    <w:p w14:paraId="62AAC89F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F5A19" w14:textId="77777777" w:rsidR="00CB6EF6" w:rsidRPr="00127000" w:rsidRDefault="00CB6EF6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3EDC" w14:textId="77777777" w:rsidR="007635D2" w:rsidRPr="00127000" w:rsidRDefault="007E129C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apadło 61 orzeczeń sądowych:</w:t>
      </w:r>
    </w:p>
    <w:p w14:paraId="4BC8463A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53 sprawach zapadły wyroki skazujące wobec 87 osób;</w:t>
      </w:r>
    </w:p>
    <w:p w14:paraId="5D3B03C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sądy warunkowo umorzyły postępowanie wobec 9 osób;</w:t>
      </w:r>
    </w:p>
    <w:p w14:paraId="3C0CA191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zapadły wyroki uniewinniające wobec 7 osób.</w:t>
      </w:r>
    </w:p>
    <w:p w14:paraId="4B9EFAF6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D0E8D8E" w14:textId="77777777" w:rsidR="007E129C" w:rsidRPr="00127000" w:rsidRDefault="007664B3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2014 r.</w:t>
      </w:r>
    </w:p>
    <w:p w14:paraId="2259406D" w14:textId="77777777" w:rsidR="00307E2E" w:rsidRPr="00127000" w:rsidRDefault="00307E2E" w:rsidP="00C93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96625" w14:textId="77777777" w:rsidR="007635D2" w:rsidRPr="00127000" w:rsidRDefault="00307E2E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205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 były w toku;</w:t>
      </w:r>
    </w:p>
    <w:p w14:paraId="64A07D65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zakończono ogółem </w:t>
      </w:r>
      <w:r w:rsidR="00307E2E">
        <w:rPr>
          <w:rFonts w:ascii="Times New Roman" w:eastAsia="Times New Roman" w:hAnsi="Times New Roman" w:cs="Times New Roman"/>
          <w:sz w:val="24"/>
          <w:szCs w:val="24"/>
          <w:lang w:eastAsia="pl-PL"/>
        </w:rPr>
        <w:t>1160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spraw, w tym:</w:t>
      </w:r>
    </w:p>
    <w:p w14:paraId="7BF7715E" w14:textId="77777777" w:rsidR="007635D2" w:rsidRPr="00127000" w:rsidRDefault="00307E2E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154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skierow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 akty oskarżenia przeciwko 228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osobom;</w:t>
      </w:r>
    </w:p>
    <w:p w14:paraId="5EC50FA5" w14:textId="77777777" w:rsidR="007635D2" w:rsidRPr="00127000" w:rsidRDefault="00307E2E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25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skierowano wnioski do sądu o warunkowe 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orzenie postępowania przeciwko 28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osobom;</w:t>
      </w:r>
    </w:p>
    <w:p w14:paraId="48F60761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</w:t>
      </w:r>
      <w:r w:rsidR="00307E2E">
        <w:rPr>
          <w:rFonts w:ascii="Times New Roman" w:eastAsia="Times New Roman" w:hAnsi="Times New Roman" w:cs="Times New Roman"/>
          <w:sz w:val="24"/>
          <w:szCs w:val="24"/>
          <w:lang w:eastAsia="pl-PL"/>
        </w:rPr>
        <w:t>299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odmówiono wszczęcia postępowania;</w:t>
      </w:r>
    </w:p>
    <w:p w14:paraId="2185F74C" w14:textId="77777777" w:rsidR="007635D2" w:rsidRPr="00127000" w:rsidRDefault="00307E2E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53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zawieszono postępowanie;</w:t>
      </w:r>
    </w:p>
    <w:p w14:paraId="2B6CD708" w14:textId="77777777" w:rsidR="007635D2" w:rsidRPr="00127000" w:rsidRDefault="00307E2E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zakończono w inny sposób (przekazano wg właściwości do Sądu Rodzinnego i Nieletnich, do innej prokuratury, połączono 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postępowaniem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9821F22" w14:textId="77777777" w:rsidR="007635D2" w:rsidRPr="00127000" w:rsidRDefault="00307E2E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596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umorzono.</w:t>
      </w:r>
    </w:p>
    <w:p w14:paraId="5FF10AEE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D336A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umorzono postępowanie przygotowawcze przeciwko </w:t>
      </w:r>
      <w:r w:rsidR="00EA2747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podejrzanym.</w:t>
      </w:r>
    </w:p>
    <w:p w14:paraId="6FEA3303" w14:textId="77777777" w:rsidR="005E2924" w:rsidRPr="00127000" w:rsidRDefault="005E2924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6B3DB33" w14:textId="77777777" w:rsidR="007635D2" w:rsidRPr="00127000" w:rsidRDefault="00EF40B3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apadło </w:t>
      </w:r>
      <w:r w:rsidR="006F41A4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orzeczeń sądowych w sprawach skierowanych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aktami oskarżenia</w:t>
      </w:r>
      <w:r w:rsidR="001555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ECF697" w14:textId="77777777" w:rsidR="007635D2" w:rsidRPr="00127000" w:rsidRDefault="00981467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107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apadły wyroki skazujące wobec 147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osób;</w:t>
      </w:r>
    </w:p>
    <w:p w14:paraId="69BCC822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sądy warunkowo umorzyły postępowanie w </w:t>
      </w:r>
      <w:r w:rsidR="00981467">
        <w:rPr>
          <w:rFonts w:ascii="Times New Roman" w:eastAsia="Times New Roman" w:hAnsi="Times New Roman" w:cs="Times New Roman"/>
          <w:sz w:val="24"/>
          <w:szCs w:val="24"/>
          <w:lang w:eastAsia="pl-PL"/>
        </w:rPr>
        <w:t>19 sprawach wobec 24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osób;</w:t>
      </w:r>
    </w:p>
    <w:p w14:paraId="0A56B2EC" w14:textId="77777777" w:rsidR="007635D2" w:rsidRPr="00127000" w:rsidRDefault="00981467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6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zapad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wyroki uniewinniające wobec 10</w:t>
      </w:r>
      <w:r w:rsidR="007635D2"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osób;</w:t>
      </w:r>
    </w:p>
    <w:p w14:paraId="3B1AB0CC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umorzył postępowanie wobec 1 oskarżonego z uwagi na znikomy stopień społecznej szkodliwości czynu;</w:t>
      </w:r>
    </w:p>
    <w:p w14:paraId="09FD4A45" w14:textId="77777777" w:rsidR="007635D2" w:rsidRPr="00127000" w:rsidRDefault="007635D2" w:rsidP="00C9380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umorzył postępowanie wobec 1 oskarżonego z uwagi na jego niepoczytalność w chwili czynu;</w:t>
      </w:r>
    </w:p>
    <w:p w14:paraId="5516E978" w14:textId="77777777" w:rsidR="007635D2" w:rsidRPr="00127000" w:rsidRDefault="007635D2" w:rsidP="00C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2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1 sprawie sąd umorzył postępowanie wobec 1 oskarżonego wobec jego śmierci.</w:t>
      </w:r>
    </w:p>
    <w:p w14:paraId="6B078778" w14:textId="77777777" w:rsidR="00981467" w:rsidRPr="00127000" w:rsidRDefault="00981467" w:rsidP="00C93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4EF7F" w14:textId="77777777" w:rsidR="00844897" w:rsidRPr="00127000" w:rsidRDefault="00844897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 xml:space="preserve">Prawomocne skazania </w:t>
      </w:r>
      <w:r w:rsidR="00013795" w:rsidRPr="00127000">
        <w:rPr>
          <w:rFonts w:ascii="Times New Roman" w:hAnsi="Times New Roman" w:cs="Times New Roman"/>
          <w:b/>
          <w:sz w:val="24"/>
          <w:szCs w:val="24"/>
        </w:rPr>
        <w:t>(przestępstwa z nienawiści)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6"/>
        <w:gridCol w:w="696"/>
        <w:gridCol w:w="696"/>
        <w:gridCol w:w="696"/>
        <w:gridCol w:w="696"/>
        <w:gridCol w:w="696"/>
      </w:tblGrid>
      <w:tr w:rsidR="00C162EF" w:rsidRPr="00127000" w14:paraId="72644E85" w14:textId="77777777" w:rsidTr="006C5933">
        <w:trPr>
          <w:trHeight w:val="315"/>
        </w:trPr>
        <w:tc>
          <w:tcPr>
            <w:tcW w:w="1976" w:type="dxa"/>
            <w:vMerge w:val="restart"/>
            <w:shd w:val="clear" w:color="auto" w:fill="D9D9D9" w:themeFill="background1" w:themeFillShade="D9"/>
            <w:hideMark/>
          </w:tcPr>
          <w:p w14:paraId="5BC49A00" w14:textId="77777777" w:rsidR="00C162EF" w:rsidRPr="00127000" w:rsidRDefault="00C162EF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Wyszczególnienie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2054DB0D" w14:textId="77777777" w:rsidR="00C162EF" w:rsidRPr="00127000" w:rsidRDefault="00C162EF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LATA</w:t>
            </w:r>
          </w:p>
        </w:tc>
      </w:tr>
      <w:tr w:rsidR="00044211" w:rsidRPr="00127000" w14:paraId="7CA4A1E4" w14:textId="77777777" w:rsidTr="00094C82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0D254B7E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6ACDC7F5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737D0221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1DC79D35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0DE6BF6B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684A1215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044211" w:rsidRPr="00127000" w14:paraId="2242AD9E" w14:textId="77777777" w:rsidTr="00094C82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52E3A81B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02B4EC74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1DFCD0B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1CA13F6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06CA39A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52CD1F9D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211" w:rsidRPr="00127000" w14:paraId="2E906628" w14:textId="77777777" w:rsidTr="00094C82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730B493B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13055D8A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FE22969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25B766A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9DA8F1B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50B0ED67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211" w:rsidRPr="00127000" w14:paraId="3636E265" w14:textId="77777777" w:rsidTr="00094C82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74ABC8EC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D47EF01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BA90182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DABB3B7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F1A4501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1DD602D2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2EF" w:rsidRPr="00127000" w14:paraId="44E2BF4E" w14:textId="77777777" w:rsidTr="00094C82">
        <w:trPr>
          <w:trHeight w:val="300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729807B1" w14:textId="77777777" w:rsidR="00C162EF" w:rsidRPr="00127000" w:rsidRDefault="00C162EF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4D6C0AAF" w14:textId="77777777" w:rsidR="00C162EF" w:rsidRPr="00127000" w:rsidRDefault="00C162EF" w:rsidP="00C9380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iCs/>
                <w:sz w:val="24"/>
                <w:szCs w:val="24"/>
              </w:rPr>
              <w:t>w liczbach bezwzględnych</w:t>
            </w:r>
          </w:p>
        </w:tc>
      </w:tr>
      <w:tr w:rsidR="00044211" w:rsidRPr="00127000" w14:paraId="47E058D7" w14:textId="77777777" w:rsidTr="006C5933">
        <w:trPr>
          <w:trHeight w:val="360"/>
        </w:trPr>
        <w:tc>
          <w:tcPr>
            <w:tcW w:w="1976" w:type="dxa"/>
            <w:hideMark/>
          </w:tcPr>
          <w:p w14:paraId="49D1E41C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Art.118 kk              </w:t>
            </w:r>
          </w:p>
        </w:tc>
        <w:tc>
          <w:tcPr>
            <w:tcW w:w="696" w:type="dxa"/>
            <w:noWrap/>
            <w:hideMark/>
          </w:tcPr>
          <w:p w14:paraId="1428D8AC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7E0CF16F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51971CF2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2D3E3FDD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4824D3DB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44211" w:rsidRPr="00127000" w14:paraId="39088129" w14:textId="77777777" w:rsidTr="006C5933">
        <w:trPr>
          <w:trHeight w:val="315"/>
        </w:trPr>
        <w:tc>
          <w:tcPr>
            <w:tcW w:w="1976" w:type="dxa"/>
            <w:hideMark/>
          </w:tcPr>
          <w:p w14:paraId="04BD199C" w14:textId="77777777" w:rsidR="00044211" w:rsidRPr="00127000" w:rsidRDefault="00044211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Art.118a kk              </w:t>
            </w:r>
          </w:p>
        </w:tc>
        <w:tc>
          <w:tcPr>
            <w:tcW w:w="696" w:type="dxa"/>
            <w:noWrap/>
            <w:hideMark/>
          </w:tcPr>
          <w:p w14:paraId="658C1F8E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4BA37908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5966F7B4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5E399F63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63A4817D" w14:textId="77777777" w:rsidR="00044211" w:rsidRPr="00127000" w:rsidRDefault="00044211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86A26" w:rsidRPr="00127000" w14:paraId="5C12B85A" w14:textId="77777777" w:rsidTr="001A4B15">
        <w:trPr>
          <w:trHeight w:val="435"/>
        </w:trPr>
        <w:tc>
          <w:tcPr>
            <w:tcW w:w="1976" w:type="dxa"/>
          </w:tcPr>
          <w:p w14:paraId="164FD930" w14:textId="77777777" w:rsidR="00A86A26" w:rsidRPr="00127000" w:rsidRDefault="00A86A26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119 §1 kk</w:t>
            </w:r>
          </w:p>
        </w:tc>
        <w:tc>
          <w:tcPr>
            <w:tcW w:w="696" w:type="dxa"/>
            <w:noWrap/>
          </w:tcPr>
          <w:p w14:paraId="104BD15E" w14:textId="77777777" w:rsidR="00A86A26" w:rsidRPr="00127000" w:rsidRDefault="00A86A26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  <w:noWrap/>
          </w:tcPr>
          <w:p w14:paraId="47ABCF33" w14:textId="77777777" w:rsidR="00A86A26" w:rsidRPr="00127000" w:rsidRDefault="00A86A26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</w:tcPr>
          <w:p w14:paraId="2538BF61" w14:textId="77777777" w:rsidR="00A86A26" w:rsidRPr="00127000" w:rsidRDefault="00A86A26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noWrap/>
          </w:tcPr>
          <w:p w14:paraId="0D12BCA4" w14:textId="77777777" w:rsidR="00A86A26" w:rsidRPr="00127000" w:rsidRDefault="00A86A26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</w:tcPr>
          <w:p w14:paraId="22DB8F3C" w14:textId="77777777" w:rsidR="00A86A26" w:rsidRPr="00127000" w:rsidRDefault="00A86A26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4B15" w:rsidRPr="00127000" w14:paraId="15980849" w14:textId="77777777" w:rsidTr="001A4B15">
        <w:trPr>
          <w:trHeight w:val="315"/>
        </w:trPr>
        <w:tc>
          <w:tcPr>
            <w:tcW w:w="1976" w:type="dxa"/>
          </w:tcPr>
          <w:p w14:paraId="55374071" w14:textId="77777777" w:rsidR="001A4B15" w:rsidRPr="00127000" w:rsidRDefault="001A4B15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Art.256 kk                 </w:t>
            </w:r>
          </w:p>
        </w:tc>
        <w:tc>
          <w:tcPr>
            <w:tcW w:w="696" w:type="dxa"/>
            <w:noWrap/>
          </w:tcPr>
          <w:p w14:paraId="43B01088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  <w:noWrap/>
          </w:tcPr>
          <w:p w14:paraId="5477174F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noWrap/>
          </w:tcPr>
          <w:p w14:paraId="77C60CBC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03E37CBD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49351CA0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A4B15" w:rsidRPr="00127000" w14:paraId="7A4113C8" w14:textId="77777777" w:rsidTr="001A4B15">
        <w:trPr>
          <w:trHeight w:val="300"/>
        </w:trPr>
        <w:tc>
          <w:tcPr>
            <w:tcW w:w="1976" w:type="dxa"/>
          </w:tcPr>
          <w:p w14:paraId="04828A0D" w14:textId="77777777" w:rsidR="001A4B15" w:rsidRPr="00127000" w:rsidRDefault="001A4B15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Art.256 §1 kk</w:t>
            </w:r>
          </w:p>
        </w:tc>
        <w:tc>
          <w:tcPr>
            <w:tcW w:w="696" w:type="dxa"/>
            <w:noWrap/>
          </w:tcPr>
          <w:p w14:paraId="1EF6CAAC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7CC9F9EE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14:paraId="6B860A4E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14:paraId="10465371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  <w:noWrap/>
          </w:tcPr>
          <w:p w14:paraId="74FBC853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4B15" w:rsidRPr="00127000" w14:paraId="02653AAC" w14:textId="77777777" w:rsidTr="006C5933">
        <w:trPr>
          <w:trHeight w:val="300"/>
        </w:trPr>
        <w:tc>
          <w:tcPr>
            <w:tcW w:w="1976" w:type="dxa"/>
          </w:tcPr>
          <w:p w14:paraId="2DA0D4C5" w14:textId="77777777" w:rsidR="001A4B15" w:rsidRPr="00127000" w:rsidRDefault="001A4B15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Art.256 §2 kk</w:t>
            </w:r>
          </w:p>
        </w:tc>
        <w:tc>
          <w:tcPr>
            <w:tcW w:w="696" w:type="dxa"/>
            <w:noWrap/>
          </w:tcPr>
          <w:p w14:paraId="0E0F5FD0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7EDB64A8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41B186C7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</w:tcPr>
          <w:p w14:paraId="528C62F9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14:paraId="6EBDCCC3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B15" w:rsidRPr="00127000" w14:paraId="4FF40614" w14:textId="77777777" w:rsidTr="006C5933">
        <w:trPr>
          <w:trHeight w:val="300"/>
        </w:trPr>
        <w:tc>
          <w:tcPr>
            <w:tcW w:w="1976" w:type="dxa"/>
          </w:tcPr>
          <w:p w14:paraId="00888645" w14:textId="77777777" w:rsidR="001A4B15" w:rsidRPr="00127000" w:rsidRDefault="001A4B15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Art.257 kk                 </w:t>
            </w:r>
          </w:p>
        </w:tc>
        <w:tc>
          <w:tcPr>
            <w:tcW w:w="696" w:type="dxa"/>
            <w:noWrap/>
          </w:tcPr>
          <w:p w14:paraId="1093B7E0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  <w:noWrap/>
          </w:tcPr>
          <w:p w14:paraId="0E01B655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  <w:noWrap/>
          </w:tcPr>
          <w:p w14:paraId="72BC96CD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  <w:noWrap/>
          </w:tcPr>
          <w:p w14:paraId="47F22426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  <w:noWrap/>
          </w:tcPr>
          <w:p w14:paraId="2F61A497" w14:textId="77777777" w:rsidR="001A4B15" w:rsidRPr="00127000" w:rsidRDefault="001A4B15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5F9A0335" w14:textId="77777777" w:rsidR="00391790" w:rsidRPr="00127000" w:rsidRDefault="00391790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9EF35" w14:textId="77777777" w:rsidR="003B048F" w:rsidRPr="00127000" w:rsidRDefault="003B048F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sz w:val="20"/>
          <w:szCs w:val="20"/>
        </w:rPr>
      </w:pPr>
      <w:r w:rsidRPr="00127000">
        <w:rPr>
          <w:bCs/>
          <w:i/>
          <w:sz w:val="20"/>
          <w:szCs w:val="20"/>
        </w:rPr>
        <w:t>Kodeks karny</w:t>
      </w:r>
    </w:p>
    <w:p w14:paraId="0ADA8DC3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t xml:space="preserve">Art. 118. </w:t>
      </w:r>
      <w:r w:rsidRPr="00127000">
        <w:rPr>
          <w:sz w:val="20"/>
          <w:szCs w:val="20"/>
        </w:rPr>
        <w:t xml:space="preserve">§ 1. Kto, w celu wyniszczenia w całości albo w części grupy narodowej, etnicznej, rasowej, politycznej, wyznaniowej lub grupy o określonym światopoglądzie, dopuszcza się zabójstwa albo powoduje ciężki uszczerbek na zdrowiu osoby należącej do takiej grupy, </w:t>
      </w:r>
    </w:p>
    <w:p w14:paraId="7D7D2C95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karze pozbawienia wolności na czas nie krótszy od lat 12, karze 25 lat pozbawienia wolności albo karze dożywotniego pozbawienia wolności. </w:t>
      </w:r>
    </w:p>
    <w:p w14:paraId="4624398E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2. Kto, w celu określonym w § 1, stwarza dla osób należących do takiej grupy warunki życia grożące jej biologicznym wyniszczeniem, stosuje środki mające służyć do wstrzymania urodzeń w obrębie grupy lub przymusowo odbiera dzieci osobom do niej należącym, </w:t>
      </w:r>
    </w:p>
    <w:p w14:paraId="76C0C5F0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karze pozbawienia wolności na czas nie krótszy od lat 5 albo karze 25 lat pozbawienia wolności. </w:t>
      </w:r>
    </w:p>
    <w:p w14:paraId="5C7681B8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3. Kto czyni przygotowania do przestępstwa określonego w § 1 lub 2, </w:t>
      </w:r>
    </w:p>
    <w:p w14:paraId="495B61A9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>podlega karze pozbawienia wolności na czas nie krótszy od lat 3</w:t>
      </w:r>
    </w:p>
    <w:p w14:paraId="51BE66DC" w14:textId="77777777" w:rsidR="005551A0" w:rsidRPr="00127000" w:rsidRDefault="005551A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107CF74B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t xml:space="preserve">Art. 118a. </w:t>
      </w:r>
      <w:r w:rsidRPr="00127000">
        <w:rPr>
          <w:sz w:val="20"/>
          <w:szCs w:val="20"/>
        </w:rPr>
        <w:t xml:space="preserve">§ 1. Kto, biorąc udział w masowym zamachu lub choćby w jednym z powtarzających się zamachów skierowanych przeciwko grupie ludności podjętych w celu wykonania lub wsparcia polityki państwa lub organizacji: </w:t>
      </w:r>
    </w:p>
    <w:p w14:paraId="2527A4E8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1) dopuszcza się zabójstwa, </w:t>
      </w:r>
    </w:p>
    <w:p w14:paraId="7CEE15A5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2) powoduje ciężki uszczerbek na zdrowiu człowieka, </w:t>
      </w:r>
    </w:p>
    <w:p w14:paraId="54C15214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3) stwarza dla osób należących do grupy ludności warunki życia grożące ich biologicznej egzystencji, w szczególności przez pozbawienie dostępu do żywności lub opieki medycznej, które są obliczone na ich wyniszczenie, </w:t>
      </w:r>
    </w:p>
    <w:p w14:paraId="17769BEA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karze pozbawienia wolności na czas nie krótszy od lat 12, karze 25 lat pozbawienia wolności albo karze dożywotniego pozbawienia wolności. </w:t>
      </w:r>
    </w:p>
    <w:p w14:paraId="3C4820E5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2. Kto, biorąc udział w masowym zamachu lub choćby w jednym z powtarzających się zamachów skierowanych przeciwko grupie ludności podjętych w celu wykonania lub wsparcia polityki państwa lub organizacji: </w:t>
      </w:r>
    </w:p>
    <w:p w14:paraId="3622D692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1) powoduje oddanie osoby w stan niewolnictwa lub utrzymuje ją w tym stanie, </w:t>
      </w:r>
    </w:p>
    <w:p w14:paraId="718E6FA9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2) pozbawia osobę wolności na czas przekraczający 7 dni lub ze szczególnym udręczeniem, </w:t>
      </w:r>
    </w:p>
    <w:p w14:paraId="005E9152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3) stosuje tortury lub poddaje osobę okrutnemu lub nieludzkiemu traktowaniu, </w:t>
      </w:r>
    </w:p>
    <w:p w14:paraId="46F9B20F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4) dopuszcza się zgwałcenia albo stosując przemoc, groźbę bezprawną lub podstęp w inny sposób narusza wolność seksualną osoby, </w:t>
      </w:r>
    </w:p>
    <w:p w14:paraId="7430B6EC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5) stosując przemoc lub groźbę bezprawną powoduje zajście przez kobietę w ciążę w zamiarze wpłynięcia na skład etniczny grupy ludności lub dokonania innych poważnych naruszeń prawa międzynarodowego, </w:t>
      </w:r>
    </w:p>
    <w:p w14:paraId="0BE68348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6) pozbawia osobę wolności i odmawia udzielenia informacji dotyczących tej osoby lub miejsca jej pobytu lub przekazuje nieprawdziwe informacje dotyczące tej osoby lub miejsca jej pobytu, w zamiarze pozbawienia takiej osoby ochrony prawnej przez dłuższy okres, </w:t>
      </w:r>
    </w:p>
    <w:p w14:paraId="25472B43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karze pozbawienia wolności na czas nie krótszy od lat 5 albo karze 25 lat pozbawienia wolności. </w:t>
      </w:r>
    </w:p>
    <w:p w14:paraId="36537578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3. Kto, biorąc udział w masowym zamachu lub choćby w jednym z powtarzających się zamachów skierowanych przeciwko grupie ludności podjętych w celu wykonania lub wsparcia polityki państwa lub organizacji: </w:t>
      </w:r>
    </w:p>
    <w:p w14:paraId="3ACE450D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>1) naruszając prawo międzynarodowe zmusza osoby do zmiany ich zgodnego z prawem miejsca zamieszkania,</w:t>
      </w:r>
    </w:p>
    <w:p w14:paraId="163BD001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>2) dopuszcza się poważnego prześladowania grupy ludności z powodów uznanych za niedopuszczalne na podstawie prawa międzynarodowego, w szczególności politycznych, rasowych, narodowych, etnicznych, kulturowych, wyznaniowych lub z powodu bezwyznaniowości, światopoglądu lub płci, powodując pozbawienie praw podstawowych, podlega karze pozbawienia wolności na czas nie krótszy od lat 3.</w:t>
      </w:r>
    </w:p>
    <w:p w14:paraId="0FA76665" w14:textId="77777777" w:rsidR="0055133A" w:rsidRPr="00127000" w:rsidRDefault="0055133A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240FF4BA" w14:textId="77777777" w:rsidR="006011CA" w:rsidRPr="00127000" w:rsidRDefault="006011CA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sz w:val="20"/>
          <w:szCs w:val="20"/>
        </w:rPr>
        <w:t>Art. 119.</w:t>
      </w:r>
      <w:r w:rsidRPr="00127000">
        <w:rPr>
          <w:sz w:val="20"/>
          <w:szCs w:val="20"/>
        </w:rPr>
        <w:t xml:space="preserve"> § 1. Kto stosuje przemoc lub groźbę bezprawną wobec grupy osób lub poszczególnej osoby z powodu jej przynależności narodowej, etnicznej, rasowej, politycznej, wyznaniowej lub z powodu jej bezwyznaniowości,</w:t>
      </w:r>
    </w:p>
    <w:p w14:paraId="132C5AB7" w14:textId="77777777" w:rsidR="00392CF2" w:rsidRPr="00127000" w:rsidRDefault="006011CA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>podlega karze pozbawienia wolności od 3 miesięcy do lat 5.</w:t>
      </w:r>
    </w:p>
    <w:p w14:paraId="27A0DB79" w14:textId="77777777" w:rsidR="00392CF2" w:rsidRPr="00127000" w:rsidRDefault="00392CF2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1108540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lastRenderedPageBreak/>
        <w:t xml:space="preserve">Art. 256. </w:t>
      </w:r>
      <w:r w:rsidRPr="00127000">
        <w:rPr>
          <w:sz w:val="20"/>
          <w:szCs w:val="20"/>
        </w:rPr>
        <w:t xml:space="preserve">§ 1. Kto publicznie propaguje faszystowski lub inny totalitarny ustrój państwa lub nawołuje do nienawiści na tle różnic narodowościowych, etnicznych, rasowych, wyznaniowych albo ze względu na bezwyznaniowość, </w:t>
      </w:r>
    </w:p>
    <w:p w14:paraId="51D4CF5A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grzywnie, karze ograniczenia wolności albo pozbawienia wolności do lat 2. </w:t>
      </w:r>
    </w:p>
    <w:p w14:paraId="6C238722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2.6) Tej samej karze podlega, kto w celu rozpowszechniania produkuje, utrwala lub sprowadza, nabywa, przechowuje, posiada, prezentuje, przewozi lub przesyła druk, nagranie lub inny przedmiot, zawierające treść określoną w § 1 albo będące nośnikiem symboliki faszystowskiej, komunistycznej lub innej totalitarnej. </w:t>
      </w:r>
    </w:p>
    <w:p w14:paraId="2A042295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3. Nie popełnia przestępstwa sprawca czynu zabronionego określonego w § 2, jeżeli dopuścił się tego czynu w ramach działalności artystycznej, edukacyjnej, kolekcjonerskiej lub naukowej. </w:t>
      </w:r>
    </w:p>
    <w:p w14:paraId="7BAF7216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4. W razie skazania za przestępstwo określone w § 2 sąd orzeka przepadek przedmiotów, o których mowa w § 2, chociażby nie stanowiły własności sprawcy. </w:t>
      </w:r>
    </w:p>
    <w:p w14:paraId="14B8AC88" w14:textId="77777777" w:rsidR="005551A0" w:rsidRPr="00127000" w:rsidRDefault="005551A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0BBF9EAC" w14:textId="77777777" w:rsidR="00391790" w:rsidRPr="00127000" w:rsidRDefault="00391790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t xml:space="preserve">Art. 257. </w:t>
      </w:r>
      <w:r w:rsidRPr="00127000">
        <w:rPr>
          <w:sz w:val="20"/>
          <w:szCs w:val="20"/>
        </w:rPr>
        <w:t>Kto publicznie znieważa grupę ludności albo poszczególną osobę z powodu jej przynależności narodowej, etnicznej, rasowej, wyznaniowej albo z powodu jej bezwyznaniowości lub z takich powodów narusza nietykalność cielesną innej osoby, podlega karze pozbawienia wolności do lat 3.</w:t>
      </w:r>
    </w:p>
    <w:p w14:paraId="5136E7FA" w14:textId="77777777" w:rsidR="007029F8" w:rsidRDefault="007029F8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E4434" w14:textId="77777777" w:rsidR="00FE188A" w:rsidRPr="000265B4" w:rsidRDefault="00FE188A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5B4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 w:rsidR="001655B1" w:rsidRPr="000265B4">
        <w:rPr>
          <w:rFonts w:ascii="Times New Roman" w:hAnsi="Times New Roman" w:cs="Times New Roman"/>
          <w:b/>
          <w:sz w:val="24"/>
          <w:szCs w:val="24"/>
        </w:rPr>
        <w:t xml:space="preserve">monitorowane przez Zespół </w:t>
      </w:r>
      <w:r w:rsidR="00A96277" w:rsidRPr="000265B4">
        <w:rPr>
          <w:rFonts w:ascii="Times New Roman" w:hAnsi="Times New Roman" w:cs="Times New Roman"/>
          <w:b/>
          <w:sz w:val="24"/>
          <w:szCs w:val="24"/>
        </w:rPr>
        <w:t>ds. Ochrony Praw Człowieka MSW</w:t>
      </w:r>
    </w:p>
    <w:p w14:paraId="1B3B4553" w14:textId="77777777" w:rsidR="00FE188A" w:rsidRDefault="00583D07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2011 r. monitorowano 85 spraw;</w:t>
      </w:r>
    </w:p>
    <w:p w14:paraId="4BDF511A" w14:textId="77777777" w:rsidR="00583D07" w:rsidRDefault="00583D07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2012 r, monitorowano 89 spraw;</w:t>
      </w:r>
    </w:p>
    <w:p w14:paraId="51372504" w14:textId="77777777" w:rsidR="00583D07" w:rsidRDefault="00583D07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2013 r. monitorowani 175 spraw;</w:t>
      </w:r>
    </w:p>
    <w:p w14:paraId="4B93EABC" w14:textId="77777777" w:rsidR="00583D07" w:rsidRPr="00127000" w:rsidRDefault="00583D07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2014 r. monitorowano 315 spraw. </w:t>
      </w:r>
    </w:p>
    <w:p w14:paraId="04A117CD" w14:textId="77777777" w:rsidR="00726DBB" w:rsidRPr="00653DB4" w:rsidRDefault="00653DB4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DB4">
        <w:rPr>
          <w:rFonts w:ascii="Times New Roman" w:hAnsi="Times New Roman" w:cs="Times New Roman"/>
          <w:b/>
          <w:sz w:val="24"/>
          <w:szCs w:val="24"/>
          <w:u w:val="single"/>
        </w:rPr>
        <w:t>Dotyczy p</w:t>
      </w:r>
      <w:r w:rsidR="00D6416F" w:rsidRPr="00653DB4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. 61</w:t>
      </w:r>
    </w:p>
    <w:p w14:paraId="331ABD5C" w14:textId="77777777" w:rsidR="005E3621" w:rsidRPr="00127000" w:rsidRDefault="00DF7391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Prawomocne skazania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696"/>
        <w:gridCol w:w="696"/>
        <w:gridCol w:w="696"/>
        <w:gridCol w:w="696"/>
        <w:gridCol w:w="696"/>
      </w:tblGrid>
      <w:tr w:rsidR="00B4390D" w:rsidRPr="00127000" w14:paraId="7941DC64" w14:textId="77777777" w:rsidTr="006C5933">
        <w:trPr>
          <w:trHeight w:val="315"/>
        </w:trPr>
        <w:tc>
          <w:tcPr>
            <w:tcW w:w="1934" w:type="dxa"/>
            <w:vMerge w:val="restart"/>
            <w:shd w:val="clear" w:color="auto" w:fill="D9D9D9" w:themeFill="background1" w:themeFillShade="D9"/>
            <w:hideMark/>
          </w:tcPr>
          <w:p w14:paraId="23DF3A81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Wyszczególnienie</w:t>
            </w:r>
          </w:p>
        </w:tc>
        <w:tc>
          <w:tcPr>
            <w:tcW w:w="3456" w:type="dxa"/>
            <w:gridSpan w:val="5"/>
            <w:shd w:val="clear" w:color="auto" w:fill="D9D9D9" w:themeFill="background1" w:themeFillShade="D9"/>
            <w:noWrap/>
            <w:hideMark/>
          </w:tcPr>
          <w:p w14:paraId="45D436A9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</w:t>
            </w:r>
          </w:p>
        </w:tc>
      </w:tr>
      <w:tr w:rsidR="00FB702B" w:rsidRPr="00127000" w14:paraId="481A26FE" w14:textId="77777777" w:rsidTr="006C5933">
        <w:trPr>
          <w:trHeight w:val="509"/>
        </w:trPr>
        <w:tc>
          <w:tcPr>
            <w:tcW w:w="1934" w:type="dxa"/>
            <w:vMerge/>
            <w:shd w:val="clear" w:color="auto" w:fill="D9D9D9" w:themeFill="background1" w:themeFillShade="D9"/>
            <w:hideMark/>
          </w:tcPr>
          <w:p w14:paraId="6EB0D0DA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shd w:val="clear" w:color="auto" w:fill="D9D9D9" w:themeFill="background1" w:themeFillShade="D9"/>
            <w:noWrap/>
            <w:hideMark/>
          </w:tcPr>
          <w:p w14:paraId="1049240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91" w:type="dxa"/>
            <w:vMerge w:val="restart"/>
            <w:shd w:val="clear" w:color="auto" w:fill="D9D9D9" w:themeFill="background1" w:themeFillShade="D9"/>
            <w:noWrap/>
            <w:hideMark/>
          </w:tcPr>
          <w:p w14:paraId="60F7B22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691" w:type="dxa"/>
            <w:vMerge w:val="restart"/>
            <w:shd w:val="clear" w:color="auto" w:fill="D9D9D9" w:themeFill="background1" w:themeFillShade="D9"/>
            <w:hideMark/>
          </w:tcPr>
          <w:p w14:paraId="197A4FF2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691" w:type="dxa"/>
            <w:vMerge w:val="restart"/>
            <w:shd w:val="clear" w:color="auto" w:fill="D9D9D9" w:themeFill="background1" w:themeFillShade="D9"/>
            <w:hideMark/>
          </w:tcPr>
          <w:p w14:paraId="0459BF3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691" w:type="dxa"/>
            <w:vMerge w:val="restart"/>
            <w:shd w:val="clear" w:color="auto" w:fill="D9D9D9" w:themeFill="background1" w:themeFillShade="D9"/>
            <w:hideMark/>
          </w:tcPr>
          <w:p w14:paraId="0209AC0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FB702B" w:rsidRPr="00127000" w14:paraId="2FB02FF2" w14:textId="77777777" w:rsidTr="006C5933">
        <w:trPr>
          <w:trHeight w:val="509"/>
        </w:trPr>
        <w:tc>
          <w:tcPr>
            <w:tcW w:w="1934" w:type="dxa"/>
            <w:vMerge/>
            <w:shd w:val="clear" w:color="auto" w:fill="D9D9D9" w:themeFill="background1" w:themeFillShade="D9"/>
            <w:hideMark/>
          </w:tcPr>
          <w:p w14:paraId="2E56C7E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hideMark/>
          </w:tcPr>
          <w:p w14:paraId="52409DE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13F743E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0FF3936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0E69FA7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12BB1F6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2B" w:rsidRPr="00127000" w14:paraId="3643DB8F" w14:textId="77777777" w:rsidTr="006C5933">
        <w:trPr>
          <w:trHeight w:val="509"/>
        </w:trPr>
        <w:tc>
          <w:tcPr>
            <w:tcW w:w="1934" w:type="dxa"/>
            <w:vMerge/>
            <w:shd w:val="clear" w:color="auto" w:fill="D9D9D9" w:themeFill="background1" w:themeFillShade="D9"/>
            <w:hideMark/>
          </w:tcPr>
          <w:p w14:paraId="152C30FB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hideMark/>
          </w:tcPr>
          <w:p w14:paraId="5B5FCD6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05578F1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0B18E7FB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5588495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68739C6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2B" w:rsidRPr="00127000" w14:paraId="6731F958" w14:textId="77777777" w:rsidTr="006C5933">
        <w:trPr>
          <w:trHeight w:val="509"/>
        </w:trPr>
        <w:tc>
          <w:tcPr>
            <w:tcW w:w="1934" w:type="dxa"/>
            <w:vMerge/>
            <w:shd w:val="clear" w:color="auto" w:fill="D9D9D9" w:themeFill="background1" w:themeFillShade="D9"/>
            <w:hideMark/>
          </w:tcPr>
          <w:p w14:paraId="644AC30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hideMark/>
          </w:tcPr>
          <w:p w14:paraId="2327F73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4F43205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5D3C880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763AD632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  <w:hideMark/>
          </w:tcPr>
          <w:p w14:paraId="4A3826B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0D" w:rsidRPr="00127000" w14:paraId="6E4CE835" w14:textId="77777777" w:rsidTr="006C5933">
        <w:trPr>
          <w:trHeight w:val="300"/>
        </w:trPr>
        <w:tc>
          <w:tcPr>
            <w:tcW w:w="1934" w:type="dxa"/>
            <w:vMerge/>
            <w:shd w:val="clear" w:color="auto" w:fill="D9D9D9" w:themeFill="background1" w:themeFillShade="D9"/>
            <w:hideMark/>
          </w:tcPr>
          <w:p w14:paraId="03378E06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shd w:val="clear" w:color="auto" w:fill="D9D9D9" w:themeFill="background1" w:themeFillShade="D9"/>
            <w:noWrap/>
            <w:hideMark/>
          </w:tcPr>
          <w:p w14:paraId="0550229F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liczbach bezwzględnych</w:t>
            </w:r>
          </w:p>
        </w:tc>
      </w:tr>
      <w:tr w:rsidR="00FB702B" w:rsidRPr="00127000" w14:paraId="66894CF6" w14:textId="77777777" w:rsidTr="00FB702B">
        <w:trPr>
          <w:trHeight w:val="435"/>
        </w:trPr>
        <w:tc>
          <w:tcPr>
            <w:tcW w:w="1934" w:type="dxa"/>
            <w:hideMark/>
          </w:tcPr>
          <w:p w14:paraId="17751DC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Art.207 §1 kk              </w:t>
            </w:r>
          </w:p>
        </w:tc>
        <w:tc>
          <w:tcPr>
            <w:tcW w:w="692" w:type="dxa"/>
            <w:noWrap/>
            <w:hideMark/>
          </w:tcPr>
          <w:p w14:paraId="0305030A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14 025</w:t>
            </w:r>
          </w:p>
        </w:tc>
        <w:tc>
          <w:tcPr>
            <w:tcW w:w="691" w:type="dxa"/>
            <w:noWrap/>
            <w:hideMark/>
          </w:tcPr>
          <w:p w14:paraId="725247A2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13 485</w:t>
            </w:r>
          </w:p>
        </w:tc>
        <w:tc>
          <w:tcPr>
            <w:tcW w:w="691" w:type="dxa"/>
            <w:noWrap/>
            <w:hideMark/>
          </w:tcPr>
          <w:p w14:paraId="59930A1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13 153</w:t>
            </w:r>
          </w:p>
        </w:tc>
        <w:tc>
          <w:tcPr>
            <w:tcW w:w="691" w:type="dxa"/>
            <w:noWrap/>
            <w:hideMark/>
          </w:tcPr>
          <w:p w14:paraId="78F7D97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12 318</w:t>
            </w:r>
          </w:p>
        </w:tc>
        <w:tc>
          <w:tcPr>
            <w:tcW w:w="691" w:type="dxa"/>
            <w:noWrap/>
            <w:hideMark/>
          </w:tcPr>
          <w:p w14:paraId="575EAFC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</w:tr>
      <w:tr w:rsidR="00FB702B" w:rsidRPr="00127000" w14:paraId="49E17177" w14:textId="77777777" w:rsidTr="00FB702B">
        <w:trPr>
          <w:trHeight w:val="300"/>
        </w:trPr>
        <w:tc>
          <w:tcPr>
            <w:tcW w:w="1934" w:type="dxa"/>
            <w:hideMark/>
          </w:tcPr>
          <w:p w14:paraId="3C5A6F0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Art.207 §2 kk              </w:t>
            </w:r>
          </w:p>
        </w:tc>
        <w:tc>
          <w:tcPr>
            <w:tcW w:w="692" w:type="dxa"/>
            <w:noWrap/>
            <w:hideMark/>
          </w:tcPr>
          <w:p w14:paraId="746159F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noWrap/>
            <w:hideMark/>
          </w:tcPr>
          <w:p w14:paraId="55C477E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" w:type="dxa"/>
            <w:noWrap/>
            <w:hideMark/>
          </w:tcPr>
          <w:p w14:paraId="6D397ED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  <w:noWrap/>
            <w:hideMark/>
          </w:tcPr>
          <w:p w14:paraId="51C4ADD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" w:type="dxa"/>
            <w:noWrap/>
            <w:hideMark/>
          </w:tcPr>
          <w:p w14:paraId="014EDF84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702B" w:rsidRPr="00127000" w14:paraId="5FFF5F28" w14:textId="77777777" w:rsidTr="00FB702B">
        <w:trPr>
          <w:trHeight w:val="300"/>
        </w:trPr>
        <w:tc>
          <w:tcPr>
            <w:tcW w:w="1934" w:type="dxa"/>
            <w:hideMark/>
          </w:tcPr>
          <w:p w14:paraId="68CACA0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Art.207 §3 kk              </w:t>
            </w:r>
          </w:p>
        </w:tc>
        <w:tc>
          <w:tcPr>
            <w:tcW w:w="692" w:type="dxa"/>
            <w:noWrap/>
            <w:hideMark/>
          </w:tcPr>
          <w:p w14:paraId="46B4839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" w:type="dxa"/>
            <w:noWrap/>
            <w:hideMark/>
          </w:tcPr>
          <w:p w14:paraId="162A3CE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" w:type="dxa"/>
            <w:noWrap/>
            <w:hideMark/>
          </w:tcPr>
          <w:p w14:paraId="6D6E86E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" w:type="dxa"/>
            <w:noWrap/>
            <w:hideMark/>
          </w:tcPr>
          <w:p w14:paraId="443B810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1" w:type="dxa"/>
            <w:noWrap/>
            <w:hideMark/>
          </w:tcPr>
          <w:p w14:paraId="39D29DE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702B" w:rsidRPr="00127000" w14:paraId="150CDF87" w14:textId="77777777" w:rsidTr="00FB702B">
        <w:trPr>
          <w:trHeight w:val="300"/>
        </w:trPr>
        <w:tc>
          <w:tcPr>
            <w:tcW w:w="1934" w:type="dxa"/>
            <w:hideMark/>
          </w:tcPr>
          <w:p w14:paraId="62F277FE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Art.207 §3 kk w zw. z §1   </w:t>
            </w:r>
          </w:p>
        </w:tc>
        <w:tc>
          <w:tcPr>
            <w:tcW w:w="692" w:type="dxa"/>
            <w:noWrap/>
            <w:hideMark/>
          </w:tcPr>
          <w:p w14:paraId="0AF22BC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noWrap/>
            <w:hideMark/>
          </w:tcPr>
          <w:p w14:paraId="07866FB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" w:type="dxa"/>
            <w:noWrap/>
            <w:hideMark/>
          </w:tcPr>
          <w:p w14:paraId="4B77E9E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  <w:noWrap/>
            <w:hideMark/>
          </w:tcPr>
          <w:p w14:paraId="52557F3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  <w:noWrap/>
            <w:hideMark/>
          </w:tcPr>
          <w:p w14:paraId="34FE263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702B" w:rsidRPr="00127000" w14:paraId="7C389063" w14:textId="77777777" w:rsidTr="00FB702B">
        <w:trPr>
          <w:trHeight w:val="315"/>
        </w:trPr>
        <w:tc>
          <w:tcPr>
            <w:tcW w:w="1934" w:type="dxa"/>
            <w:hideMark/>
          </w:tcPr>
          <w:p w14:paraId="29E805D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Art.207 §3 kk w zw. z §2   </w:t>
            </w:r>
          </w:p>
        </w:tc>
        <w:tc>
          <w:tcPr>
            <w:tcW w:w="692" w:type="dxa"/>
            <w:noWrap/>
            <w:hideMark/>
          </w:tcPr>
          <w:p w14:paraId="453449F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" w:type="dxa"/>
            <w:noWrap/>
            <w:hideMark/>
          </w:tcPr>
          <w:p w14:paraId="020577A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noWrap/>
            <w:hideMark/>
          </w:tcPr>
          <w:p w14:paraId="26CCC22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" w:type="dxa"/>
            <w:noWrap/>
            <w:hideMark/>
          </w:tcPr>
          <w:p w14:paraId="1840FC48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" w:type="dxa"/>
            <w:noWrap/>
            <w:hideMark/>
          </w:tcPr>
          <w:p w14:paraId="101B23C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210812EA" w14:textId="77777777" w:rsidR="00B4390D" w:rsidRDefault="00B4390D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A52AE" w14:textId="77777777" w:rsidR="00D82074" w:rsidRDefault="00D82074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B579" w14:textId="77777777" w:rsidR="00957052" w:rsidRDefault="002A0566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E4BAB">
        <w:rPr>
          <w:rFonts w:ascii="Times New Roman" w:hAnsi="Times New Roman" w:cs="Times New Roman"/>
          <w:b/>
          <w:sz w:val="24"/>
          <w:szCs w:val="24"/>
        </w:rPr>
        <w:t>akazanie</w:t>
      </w:r>
      <w:r w:rsidR="00E05438" w:rsidRPr="00F31C1C">
        <w:rPr>
          <w:rFonts w:ascii="Times New Roman" w:hAnsi="Times New Roman" w:cs="Times New Roman"/>
          <w:b/>
          <w:sz w:val="24"/>
          <w:szCs w:val="24"/>
        </w:rPr>
        <w:t xml:space="preserve"> opuszczenia lokalu zajmo</w:t>
      </w:r>
      <w:r w:rsidR="0007601D" w:rsidRPr="00F31C1C">
        <w:rPr>
          <w:rFonts w:ascii="Times New Roman" w:hAnsi="Times New Roman" w:cs="Times New Roman"/>
          <w:b/>
          <w:sz w:val="24"/>
          <w:szCs w:val="24"/>
        </w:rPr>
        <w:t>wanego wspólnie z pokrzywdzonym</w:t>
      </w:r>
      <w:r w:rsidR="0022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438" w:rsidRPr="00221291">
        <w:rPr>
          <w:rFonts w:ascii="Times New Roman" w:hAnsi="Times New Roman" w:cs="Times New Roman"/>
          <w:b/>
          <w:sz w:val="24"/>
          <w:szCs w:val="24"/>
        </w:rPr>
        <w:t>(art. 275a k</w:t>
      </w:r>
      <w:r w:rsidR="00221291">
        <w:rPr>
          <w:rFonts w:ascii="Times New Roman" w:hAnsi="Times New Roman" w:cs="Times New Roman"/>
          <w:b/>
          <w:sz w:val="24"/>
          <w:szCs w:val="24"/>
        </w:rPr>
        <w:t>.</w:t>
      </w:r>
      <w:r w:rsidR="00E05438" w:rsidRPr="00221291">
        <w:rPr>
          <w:rFonts w:ascii="Times New Roman" w:hAnsi="Times New Roman" w:cs="Times New Roman"/>
          <w:b/>
          <w:sz w:val="24"/>
          <w:szCs w:val="24"/>
        </w:rPr>
        <w:t>p</w:t>
      </w:r>
      <w:r w:rsidR="00221291">
        <w:rPr>
          <w:rFonts w:ascii="Times New Roman" w:hAnsi="Times New Roman" w:cs="Times New Roman"/>
          <w:b/>
          <w:sz w:val="24"/>
          <w:szCs w:val="24"/>
        </w:rPr>
        <w:t>.</w:t>
      </w:r>
      <w:r w:rsidR="00E05438" w:rsidRPr="00221291">
        <w:rPr>
          <w:rFonts w:ascii="Times New Roman" w:hAnsi="Times New Roman" w:cs="Times New Roman"/>
          <w:b/>
          <w:sz w:val="24"/>
          <w:szCs w:val="24"/>
        </w:rPr>
        <w:t>k</w:t>
      </w:r>
      <w:r w:rsidR="00221291">
        <w:rPr>
          <w:rFonts w:ascii="Times New Roman" w:hAnsi="Times New Roman" w:cs="Times New Roman"/>
          <w:b/>
          <w:sz w:val="24"/>
          <w:szCs w:val="24"/>
        </w:rPr>
        <w:t>.</w:t>
      </w:r>
      <w:r w:rsidR="00E05438" w:rsidRPr="00221291">
        <w:rPr>
          <w:rFonts w:ascii="Times New Roman" w:hAnsi="Times New Roman" w:cs="Times New Roman"/>
          <w:b/>
          <w:sz w:val="24"/>
          <w:szCs w:val="24"/>
        </w:rPr>
        <w:t>)</w:t>
      </w:r>
      <w:r w:rsidR="002F7F95">
        <w:rPr>
          <w:rFonts w:ascii="Times New Roman" w:hAnsi="Times New Roman" w:cs="Times New Roman"/>
          <w:b/>
          <w:sz w:val="24"/>
          <w:szCs w:val="24"/>
        </w:rPr>
        <w:t xml:space="preserve"> – zastosowanie środka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921"/>
        <w:gridCol w:w="922"/>
      </w:tblGrid>
      <w:tr w:rsidR="00C105AE" w14:paraId="1DF05091" w14:textId="77777777" w:rsidTr="00741CFA">
        <w:tc>
          <w:tcPr>
            <w:tcW w:w="2093" w:type="dxa"/>
          </w:tcPr>
          <w:p w14:paraId="5F88E21C" w14:textId="77777777" w:rsidR="00C105AE" w:rsidRPr="00C105AE" w:rsidRDefault="00C105AE" w:rsidP="00C9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Lata</w:t>
            </w:r>
          </w:p>
        </w:tc>
        <w:tc>
          <w:tcPr>
            <w:tcW w:w="921" w:type="dxa"/>
          </w:tcPr>
          <w:p w14:paraId="21572F61" w14:textId="77777777" w:rsidR="00C105AE" w:rsidRPr="00B73D70" w:rsidRDefault="00C105AE" w:rsidP="00C9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7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22" w:type="dxa"/>
          </w:tcPr>
          <w:p w14:paraId="28C16299" w14:textId="77777777" w:rsidR="00C105AE" w:rsidRPr="00B73D70" w:rsidRDefault="00C105AE" w:rsidP="00C9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7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C105AE" w14:paraId="78E901D8" w14:textId="77777777" w:rsidTr="00741CFA">
        <w:tc>
          <w:tcPr>
            <w:tcW w:w="2093" w:type="dxa"/>
          </w:tcPr>
          <w:p w14:paraId="274F7B02" w14:textId="77777777" w:rsidR="00C105AE" w:rsidRPr="00C105AE" w:rsidRDefault="00C105AE" w:rsidP="00C9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AE">
              <w:rPr>
                <w:rFonts w:ascii="Times New Roman" w:hAnsi="Times New Roman" w:cs="Times New Roman"/>
                <w:b/>
                <w:sz w:val="24"/>
                <w:szCs w:val="24"/>
              </w:rPr>
              <w:t>L. zastosowanych środków</w:t>
            </w:r>
          </w:p>
        </w:tc>
        <w:tc>
          <w:tcPr>
            <w:tcW w:w="921" w:type="dxa"/>
          </w:tcPr>
          <w:p w14:paraId="2F2EB546" w14:textId="77777777" w:rsidR="00C105AE" w:rsidRDefault="00B73D70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922" w:type="dxa"/>
          </w:tcPr>
          <w:p w14:paraId="2DED0517" w14:textId="77777777" w:rsidR="00C105AE" w:rsidRDefault="00B73D70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</w:tbl>
    <w:p w14:paraId="1DF8A80B" w14:textId="77777777" w:rsidR="00C105AE" w:rsidRDefault="00C105AE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3691D" w14:textId="77777777" w:rsidR="00957052" w:rsidRPr="00127000" w:rsidRDefault="00957052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46371" w14:textId="77777777" w:rsidR="00715117" w:rsidRPr="00127000" w:rsidRDefault="00715117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20"/>
          <w:szCs w:val="23"/>
        </w:rPr>
      </w:pPr>
      <w:r w:rsidRPr="00127000">
        <w:rPr>
          <w:bCs/>
          <w:i/>
          <w:sz w:val="20"/>
          <w:szCs w:val="23"/>
        </w:rPr>
        <w:t>Kodeks karny</w:t>
      </w:r>
    </w:p>
    <w:p w14:paraId="0B979ABB" w14:textId="77777777" w:rsidR="004C085C" w:rsidRPr="00127000" w:rsidRDefault="004C085C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3"/>
        </w:rPr>
      </w:pPr>
      <w:r w:rsidRPr="00127000">
        <w:rPr>
          <w:b/>
          <w:bCs/>
          <w:sz w:val="20"/>
          <w:szCs w:val="23"/>
        </w:rPr>
        <w:t xml:space="preserve">Art. 207. </w:t>
      </w:r>
      <w:r w:rsidRPr="00127000">
        <w:rPr>
          <w:sz w:val="20"/>
          <w:szCs w:val="23"/>
        </w:rPr>
        <w:t xml:space="preserve">§ 1. Kto znęca się fizycznie lub psychicznie nad osobą najbliższą lub nad inną osobą pozostającą w stałym lub przemijającym stosunku zależności od sprawcy albo nad małoletnim lub osobą nieporadną ze względu na jej stan psychiczny lub fizyczny, </w:t>
      </w:r>
      <w:r w:rsidR="00476777" w:rsidRPr="00127000">
        <w:rPr>
          <w:sz w:val="20"/>
          <w:szCs w:val="23"/>
        </w:rPr>
        <w:t xml:space="preserve"> </w:t>
      </w:r>
      <w:r w:rsidRPr="00127000">
        <w:rPr>
          <w:sz w:val="20"/>
          <w:szCs w:val="23"/>
        </w:rPr>
        <w:t xml:space="preserve">podlega karze pozbawienia wolności od 3 miesięcy do lat 5. </w:t>
      </w:r>
    </w:p>
    <w:p w14:paraId="52179FA5" w14:textId="77777777" w:rsidR="004C085C" w:rsidRPr="00127000" w:rsidRDefault="004C085C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3"/>
        </w:rPr>
      </w:pPr>
      <w:r w:rsidRPr="00127000">
        <w:rPr>
          <w:sz w:val="20"/>
          <w:szCs w:val="23"/>
        </w:rPr>
        <w:t xml:space="preserve">§ 2. Jeżeli czyn określony w § 1 połączony jest ze stosowaniem szczególnego okrucieństwa, sprawca podlega karze pozbawienia wolności od roku do lat 10. </w:t>
      </w:r>
    </w:p>
    <w:p w14:paraId="6F54611E" w14:textId="77777777" w:rsidR="004C085C" w:rsidRDefault="004C085C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3"/>
        </w:rPr>
      </w:pPr>
      <w:r w:rsidRPr="00127000">
        <w:rPr>
          <w:sz w:val="20"/>
          <w:szCs w:val="23"/>
        </w:rPr>
        <w:t>§ 3. Jeżeli następstwem czynu określonego w § 1 lub 2 jest targnięcie się pokrzywdzonego na własne życie, sprawca podlega karze pozbawienia wolności od lat 2 do 12.</w:t>
      </w:r>
    </w:p>
    <w:p w14:paraId="131EB67C" w14:textId="77777777" w:rsidR="00A01F11" w:rsidRDefault="00A01F11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3"/>
        </w:rPr>
      </w:pPr>
    </w:p>
    <w:p w14:paraId="1C4B6CD2" w14:textId="77777777" w:rsidR="00A01F11" w:rsidRDefault="00A01F11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3"/>
        </w:rPr>
      </w:pPr>
      <w:r w:rsidRPr="00A01F11">
        <w:rPr>
          <w:i/>
          <w:sz w:val="20"/>
          <w:szCs w:val="23"/>
        </w:rPr>
        <w:t>Kodeks postępowania karnego</w:t>
      </w:r>
    </w:p>
    <w:p w14:paraId="149A697E" w14:textId="77777777" w:rsidR="00A01F11" w:rsidRPr="00A01F11" w:rsidRDefault="00454F1F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454F1F">
        <w:rPr>
          <w:b/>
          <w:sz w:val="20"/>
        </w:rPr>
        <w:t>Art. 275a</w:t>
      </w:r>
      <w:r>
        <w:rPr>
          <w:sz w:val="20"/>
        </w:rPr>
        <w:t xml:space="preserve"> </w:t>
      </w:r>
      <w:r w:rsidR="00A01F11" w:rsidRPr="00A01F11">
        <w:rPr>
          <w:sz w:val="20"/>
        </w:rPr>
        <w:t>§ 1. Tytułem środka zapobiegawczego można nakazać oskarżonemu o przestępstwo popełnione z użyciem przemocy na szkodę osoby wspólnie zamieszkującej okresowe opuszczenie lokalu zajmowanego wspólnie z pokrzywdzonym, jeżeli zachodzi uzasadniona obawa, że oskarżony ponownie popełni przestępstwo z użyciem przemocy wobec tej osoby, zwłaszcza gdy popełnieniem takiego przestępstwa groził.</w:t>
      </w:r>
    </w:p>
    <w:p w14:paraId="02CDB8E8" w14:textId="77777777" w:rsidR="00A0078D" w:rsidRPr="00127000" w:rsidRDefault="00A0078D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B3D40" w14:textId="77777777" w:rsidR="00347093" w:rsidRPr="00A275E7" w:rsidRDefault="007F0CAB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5E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Dotyczy par. 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</w:p>
    <w:p w14:paraId="60A99718" w14:textId="77777777" w:rsidR="00B1144B" w:rsidRPr="00127000" w:rsidRDefault="00B1144B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Prawomocne skazania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696"/>
        <w:gridCol w:w="696"/>
        <w:gridCol w:w="696"/>
        <w:gridCol w:w="696"/>
        <w:gridCol w:w="696"/>
      </w:tblGrid>
      <w:tr w:rsidR="00B4390D" w:rsidRPr="00127000" w14:paraId="0958AA60" w14:textId="77777777" w:rsidTr="006C5933">
        <w:trPr>
          <w:trHeight w:val="315"/>
        </w:trPr>
        <w:tc>
          <w:tcPr>
            <w:tcW w:w="1950" w:type="dxa"/>
            <w:vMerge w:val="restart"/>
            <w:shd w:val="clear" w:color="auto" w:fill="D9D9D9" w:themeFill="background1" w:themeFillShade="D9"/>
            <w:hideMark/>
          </w:tcPr>
          <w:p w14:paraId="65165234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Wyszczególnienie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245C709B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</w:t>
            </w:r>
          </w:p>
        </w:tc>
      </w:tr>
      <w:tr w:rsidR="00FB702B" w:rsidRPr="00127000" w14:paraId="4EAFA0FA" w14:textId="77777777" w:rsidTr="006C5933">
        <w:trPr>
          <w:trHeight w:val="509"/>
        </w:trPr>
        <w:tc>
          <w:tcPr>
            <w:tcW w:w="1950" w:type="dxa"/>
            <w:vMerge/>
            <w:shd w:val="clear" w:color="auto" w:fill="D9D9D9" w:themeFill="background1" w:themeFillShade="D9"/>
            <w:hideMark/>
          </w:tcPr>
          <w:p w14:paraId="298CE3F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1D12525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62ECFA9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385654CA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62FF8C5E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00B8DAD4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FB702B" w:rsidRPr="00127000" w14:paraId="794D3F31" w14:textId="77777777" w:rsidTr="006C5933">
        <w:trPr>
          <w:trHeight w:val="509"/>
        </w:trPr>
        <w:tc>
          <w:tcPr>
            <w:tcW w:w="1950" w:type="dxa"/>
            <w:vMerge/>
            <w:shd w:val="clear" w:color="auto" w:fill="D9D9D9" w:themeFill="background1" w:themeFillShade="D9"/>
            <w:hideMark/>
          </w:tcPr>
          <w:p w14:paraId="42BF65D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3B3F32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6984028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0861A2FA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4B6118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7CC726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2B" w:rsidRPr="00127000" w14:paraId="0B57B127" w14:textId="77777777" w:rsidTr="006C5933">
        <w:trPr>
          <w:trHeight w:val="509"/>
        </w:trPr>
        <w:tc>
          <w:tcPr>
            <w:tcW w:w="1950" w:type="dxa"/>
            <w:vMerge/>
            <w:shd w:val="clear" w:color="auto" w:fill="D9D9D9" w:themeFill="background1" w:themeFillShade="D9"/>
            <w:hideMark/>
          </w:tcPr>
          <w:p w14:paraId="237E252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9630CE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7F1B57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ECB194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509689F8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A37D79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2B" w:rsidRPr="00127000" w14:paraId="0FE0BB1C" w14:textId="77777777" w:rsidTr="006C5933">
        <w:trPr>
          <w:trHeight w:val="509"/>
        </w:trPr>
        <w:tc>
          <w:tcPr>
            <w:tcW w:w="1950" w:type="dxa"/>
            <w:vMerge/>
            <w:shd w:val="clear" w:color="auto" w:fill="D9D9D9" w:themeFill="background1" w:themeFillShade="D9"/>
            <w:hideMark/>
          </w:tcPr>
          <w:p w14:paraId="3E33D61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65A94802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A3C672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6A4DB7E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295F5D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0E05CEF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0D" w:rsidRPr="00127000" w14:paraId="1AB6ED15" w14:textId="77777777" w:rsidTr="006C5933">
        <w:trPr>
          <w:trHeight w:val="300"/>
        </w:trPr>
        <w:tc>
          <w:tcPr>
            <w:tcW w:w="1950" w:type="dxa"/>
            <w:vMerge/>
            <w:shd w:val="clear" w:color="auto" w:fill="D9D9D9" w:themeFill="background1" w:themeFillShade="D9"/>
            <w:hideMark/>
          </w:tcPr>
          <w:p w14:paraId="3B76E68E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5B77B711" w14:textId="77777777" w:rsidR="00B4390D" w:rsidRPr="00127000" w:rsidRDefault="00B4390D" w:rsidP="00C938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liczbach bezwzględnych</w:t>
            </w:r>
          </w:p>
        </w:tc>
      </w:tr>
      <w:tr w:rsidR="00FB702B" w:rsidRPr="00127000" w14:paraId="3F0B21E0" w14:textId="77777777" w:rsidTr="00FD28CD">
        <w:trPr>
          <w:trHeight w:val="405"/>
        </w:trPr>
        <w:tc>
          <w:tcPr>
            <w:tcW w:w="1950" w:type="dxa"/>
            <w:hideMark/>
          </w:tcPr>
          <w:p w14:paraId="76B1F34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Art.152 §1 kk              </w:t>
            </w:r>
          </w:p>
        </w:tc>
        <w:tc>
          <w:tcPr>
            <w:tcW w:w="696" w:type="dxa"/>
            <w:noWrap/>
            <w:hideMark/>
          </w:tcPr>
          <w:p w14:paraId="23CFC56A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noWrap/>
            <w:hideMark/>
          </w:tcPr>
          <w:p w14:paraId="74D53178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noWrap/>
            <w:hideMark/>
          </w:tcPr>
          <w:p w14:paraId="31D7D11D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noWrap/>
            <w:hideMark/>
          </w:tcPr>
          <w:p w14:paraId="3F7E1D94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  <w:hideMark/>
          </w:tcPr>
          <w:p w14:paraId="64417AA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702B" w:rsidRPr="00127000" w14:paraId="75D97B24" w14:textId="77777777" w:rsidTr="00FD28CD">
        <w:trPr>
          <w:trHeight w:val="300"/>
        </w:trPr>
        <w:tc>
          <w:tcPr>
            <w:tcW w:w="1950" w:type="dxa"/>
            <w:hideMark/>
          </w:tcPr>
          <w:p w14:paraId="291F539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Art.152 §2 kk              </w:t>
            </w:r>
          </w:p>
        </w:tc>
        <w:tc>
          <w:tcPr>
            <w:tcW w:w="696" w:type="dxa"/>
            <w:noWrap/>
            <w:hideMark/>
          </w:tcPr>
          <w:p w14:paraId="31D75B38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  <w:hideMark/>
          </w:tcPr>
          <w:p w14:paraId="2DD33B2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  <w:noWrap/>
            <w:hideMark/>
          </w:tcPr>
          <w:p w14:paraId="1B9014EB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  <w:noWrap/>
            <w:hideMark/>
          </w:tcPr>
          <w:p w14:paraId="017F2A21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noWrap/>
            <w:hideMark/>
          </w:tcPr>
          <w:p w14:paraId="067FF4A8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702B" w:rsidRPr="00127000" w14:paraId="254AF533" w14:textId="77777777" w:rsidTr="00FD28CD">
        <w:trPr>
          <w:trHeight w:val="315"/>
        </w:trPr>
        <w:tc>
          <w:tcPr>
            <w:tcW w:w="1950" w:type="dxa"/>
            <w:hideMark/>
          </w:tcPr>
          <w:p w14:paraId="3355FC9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Art.152 §3 kk</w:t>
            </w:r>
          </w:p>
        </w:tc>
        <w:tc>
          <w:tcPr>
            <w:tcW w:w="696" w:type="dxa"/>
            <w:noWrap/>
            <w:hideMark/>
          </w:tcPr>
          <w:p w14:paraId="04C6EAD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5E2D163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02BA5ECE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42D3ACFF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4DA09A44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702B" w:rsidRPr="00127000" w14:paraId="59859758" w14:textId="77777777" w:rsidTr="00FD28CD">
        <w:trPr>
          <w:trHeight w:val="315"/>
        </w:trPr>
        <w:tc>
          <w:tcPr>
            <w:tcW w:w="1950" w:type="dxa"/>
            <w:hideMark/>
          </w:tcPr>
          <w:p w14:paraId="47AD7ED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Art.153 §1 kk              </w:t>
            </w:r>
          </w:p>
        </w:tc>
        <w:tc>
          <w:tcPr>
            <w:tcW w:w="696" w:type="dxa"/>
            <w:noWrap/>
            <w:hideMark/>
          </w:tcPr>
          <w:p w14:paraId="65E7EBB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14:paraId="0D4B0E73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noWrap/>
            <w:hideMark/>
          </w:tcPr>
          <w:p w14:paraId="1375F705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noWrap/>
            <w:hideMark/>
          </w:tcPr>
          <w:p w14:paraId="2F9238DC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79C12B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02B" w:rsidRPr="00127000" w14:paraId="5C841654" w14:textId="77777777" w:rsidTr="00FD28CD">
        <w:trPr>
          <w:trHeight w:val="315"/>
        </w:trPr>
        <w:tc>
          <w:tcPr>
            <w:tcW w:w="1950" w:type="dxa"/>
            <w:hideMark/>
          </w:tcPr>
          <w:p w14:paraId="750BE7A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Art.153 §2 kk              </w:t>
            </w:r>
          </w:p>
        </w:tc>
        <w:tc>
          <w:tcPr>
            <w:tcW w:w="696" w:type="dxa"/>
            <w:noWrap/>
            <w:hideMark/>
          </w:tcPr>
          <w:p w14:paraId="64C2E5F4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23FCBE40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321B5359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5D595CB7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4846BB16" w14:textId="77777777" w:rsidR="00FB702B" w:rsidRPr="00127000" w:rsidRDefault="00FB702B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597E77" w14:textId="77777777" w:rsidR="00FD28CD" w:rsidRPr="00127000" w:rsidRDefault="00FD28CD" w:rsidP="00C93801">
      <w:pPr>
        <w:pStyle w:val="Default"/>
        <w:rPr>
          <w:b/>
          <w:bCs/>
          <w:sz w:val="23"/>
          <w:szCs w:val="23"/>
        </w:rPr>
      </w:pPr>
    </w:p>
    <w:p w14:paraId="4E556EED" w14:textId="77777777" w:rsidR="008A075B" w:rsidRPr="00127000" w:rsidRDefault="008A075B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sz w:val="20"/>
          <w:szCs w:val="20"/>
        </w:rPr>
      </w:pPr>
      <w:r w:rsidRPr="00127000">
        <w:rPr>
          <w:bCs/>
          <w:i/>
          <w:sz w:val="20"/>
          <w:szCs w:val="20"/>
        </w:rPr>
        <w:t>Kodeks karny</w:t>
      </w:r>
    </w:p>
    <w:p w14:paraId="3E8D4FD1" w14:textId="77777777" w:rsidR="00FD28CD" w:rsidRPr="00127000" w:rsidRDefault="00FD28CD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t xml:space="preserve">Art. 152. </w:t>
      </w:r>
      <w:r w:rsidRPr="00127000">
        <w:rPr>
          <w:sz w:val="20"/>
          <w:szCs w:val="20"/>
        </w:rPr>
        <w:t xml:space="preserve">§ 1. Kto za zgodą kobiety przerywa jej ciążę z naruszeniem przepisów ustawy, podlega karze pozbawienia wolności do lat 3. </w:t>
      </w:r>
    </w:p>
    <w:p w14:paraId="4E3BD6F9" w14:textId="77777777" w:rsidR="00FD28CD" w:rsidRPr="00127000" w:rsidRDefault="00FD28CD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2. Tej samej karze podlega, kto udziela kobiecie ciężarnej pomocy w przerwaniu ciąży z naruszeniem przepisów ustawy lub ją do tego nakłania. </w:t>
      </w:r>
    </w:p>
    <w:p w14:paraId="68B2E453" w14:textId="77777777" w:rsidR="00B4390D" w:rsidRPr="00127000" w:rsidRDefault="00FD28CD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§ 3. Kto dopuszcza się czynu określonego w § 1 lub 2, gdy dziecko poczęte osiągnęło zdolność do </w:t>
      </w:r>
      <w:r w:rsidR="004B1D15" w:rsidRPr="00127000">
        <w:rPr>
          <w:sz w:val="20"/>
          <w:szCs w:val="20"/>
        </w:rPr>
        <w:t>s</w:t>
      </w:r>
      <w:r w:rsidRPr="00127000">
        <w:rPr>
          <w:sz w:val="20"/>
          <w:szCs w:val="20"/>
        </w:rPr>
        <w:t>amodzielnego życia poza organizmem kobiety ciężarnej, podlega karze pozbawienia wolności od 6 miesięcy do lat 8.</w:t>
      </w:r>
    </w:p>
    <w:p w14:paraId="31EE2423" w14:textId="77777777" w:rsidR="00D45DF3" w:rsidRPr="00127000" w:rsidRDefault="00D45DF3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17ED2058" w14:textId="77777777" w:rsidR="00D45DF3" w:rsidRPr="00127000" w:rsidRDefault="00D45DF3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b/>
          <w:bCs/>
          <w:sz w:val="20"/>
          <w:szCs w:val="20"/>
        </w:rPr>
        <w:t xml:space="preserve">Art. 153. </w:t>
      </w:r>
      <w:r w:rsidRPr="00127000">
        <w:rPr>
          <w:sz w:val="20"/>
          <w:szCs w:val="20"/>
        </w:rPr>
        <w:t xml:space="preserve">§ 1. Kto stosując przemoc wobec kobiety ciężarnej lub w inny sposób bez jej zgody przerywa ciążę albo przemocą, groźbą bezprawną lub podstępem doprowadza kobietę ciężarną do przerwania ciąży, </w:t>
      </w:r>
    </w:p>
    <w:p w14:paraId="7EFE8A56" w14:textId="77777777" w:rsidR="00D45DF3" w:rsidRPr="00127000" w:rsidRDefault="00D45DF3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t xml:space="preserve">podlega karze pozbawienia wolności od 6 miesięcy do lat 8. </w:t>
      </w:r>
    </w:p>
    <w:p w14:paraId="060DF231" w14:textId="77777777" w:rsidR="00D45DF3" w:rsidRPr="00127000" w:rsidRDefault="00D45DF3" w:rsidP="00C938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27000">
        <w:rPr>
          <w:sz w:val="20"/>
          <w:szCs w:val="20"/>
        </w:rPr>
        <w:lastRenderedPageBreak/>
        <w:t>§ 2. Kto dopuszcza się czynu określonego w § 1, gdy dziecko poczęte osiągnęło zdolność do samodzielnego życia poza organizmem kobiety ciężarnej, podlega karze pozbawienia wolności od roku do lat 10.</w:t>
      </w:r>
    </w:p>
    <w:p w14:paraId="6010F979" w14:textId="77777777" w:rsidR="006E75E7" w:rsidRPr="00127000" w:rsidRDefault="006E75E7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F6F3A" w14:textId="77777777" w:rsidR="00A275E7" w:rsidRPr="00A275E7" w:rsidRDefault="00A275E7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5E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Dotyczy par. 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99</w:t>
      </w:r>
    </w:p>
    <w:p w14:paraId="4A9AB67F" w14:textId="77777777" w:rsidR="008673B1" w:rsidRPr="00127000" w:rsidRDefault="008673B1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Dane dot. Policji</w:t>
      </w:r>
    </w:p>
    <w:p w14:paraId="2C580958" w14:textId="77777777" w:rsidR="008D3FBD" w:rsidRPr="00127000" w:rsidRDefault="008D3FBD" w:rsidP="00C9380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W 2012 r. 43 funkcjonariuszom Policji przedstawiono 60 zarzutów popełnienia przestępstw, polegających na użyciu przemocy lub niedopełnieniu obowiązków poprzez niepodjęcie działań w celu przeciwdziałania stosowaniu przemocy przez innego policjanta. W tym</w:t>
      </w:r>
      <w:r w:rsidR="00F02DC3" w:rsidRPr="00127000">
        <w:rPr>
          <w:rFonts w:ascii="Times New Roman" w:hAnsi="Times New Roman" w:cs="Times New Roman"/>
          <w:sz w:val="24"/>
          <w:szCs w:val="24"/>
        </w:rPr>
        <w:t xml:space="preserve"> samym</w:t>
      </w:r>
      <w:r w:rsidRPr="00127000">
        <w:rPr>
          <w:rFonts w:ascii="Times New Roman" w:hAnsi="Times New Roman" w:cs="Times New Roman"/>
          <w:sz w:val="24"/>
          <w:szCs w:val="24"/>
        </w:rPr>
        <w:t xml:space="preserve"> roku wydano 2 prawomocne wyroki skazujące 5 funkcjonariuszy Policji (w tym 1 wyrok skazujący 4 policjantów na kary pozbawienia wolności w zawieszeniu i zakaz wykonywania zawodu oraz 1 warunkowo umarzający postępowanie wobec 1 policjanta).</w:t>
      </w:r>
    </w:p>
    <w:p w14:paraId="486B3B54" w14:textId="77777777" w:rsidR="008D3FBD" w:rsidRPr="00127000" w:rsidRDefault="008D3FBD" w:rsidP="00C9380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 xml:space="preserve">Dane za 2013 r. wskazują, że w sprawach dotyczących stosowania przemocy przez funkcjonariuszy w związku z wykonywaniem obowiązków służbowych miało miejsce: </w:t>
      </w:r>
    </w:p>
    <w:p w14:paraId="54CFCE7F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531 przypadków złożenia zawiadomi</w:t>
      </w:r>
      <w:r w:rsidR="001555DA">
        <w:rPr>
          <w:rFonts w:ascii="Times New Roman" w:hAnsi="Times New Roman" w:cs="Times New Roman"/>
          <w:sz w:val="24"/>
          <w:szCs w:val="24"/>
        </w:rPr>
        <w:t>enia o popełnieniu przestępstwa;</w:t>
      </w:r>
    </w:p>
    <w:p w14:paraId="4331B4D4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33 przy</w:t>
      </w:r>
      <w:r w:rsidR="001555DA">
        <w:rPr>
          <w:rFonts w:ascii="Times New Roman" w:hAnsi="Times New Roman" w:cs="Times New Roman"/>
          <w:sz w:val="24"/>
          <w:szCs w:val="24"/>
        </w:rPr>
        <w:t>padki odmowy wszczęcia śledztwa;</w:t>
      </w:r>
    </w:p>
    <w:p w14:paraId="64F308EC" w14:textId="77777777" w:rsidR="008D3FBD" w:rsidRPr="00127000" w:rsidRDefault="001555DA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 prowadzonych śledztw;</w:t>
      </w:r>
    </w:p>
    <w:p w14:paraId="5AAA32C1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291 wydanych posta</w:t>
      </w:r>
      <w:r w:rsidR="001555DA">
        <w:rPr>
          <w:rFonts w:ascii="Times New Roman" w:hAnsi="Times New Roman" w:cs="Times New Roman"/>
          <w:sz w:val="24"/>
          <w:szCs w:val="24"/>
        </w:rPr>
        <w:t>nowień o umorzeniu postępowania;</w:t>
      </w:r>
    </w:p>
    <w:p w14:paraId="4E69FAF7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 xml:space="preserve">przedstawienie w 20 śledztwach 42 podejrzanym </w:t>
      </w:r>
      <w:r w:rsidR="001555DA">
        <w:rPr>
          <w:rFonts w:ascii="Times New Roman" w:hAnsi="Times New Roman" w:cs="Times New Roman"/>
          <w:sz w:val="24"/>
          <w:szCs w:val="24"/>
        </w:rPr>
        <w:t>policjantom łącznie 57 zarzutów;</w:t>
      </w:r>
    </w:p>
    <w:p w14:paraId="52CDC24D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skierowanie 26 aktów oskarżenia (dot. zdarzeń z 2012 i 2013 r.) przeciwko łączni</w:t>
      </w:r>
      <w:r w:rsidR="001555DA">
        <w:rPr>
          <w:rFonts w:ascii="Times New Roman" w:hAnsi="Times New Roman" w:cs="Times New Roman"/>
          <w:sz w:val="24"/>
          <w:szCs w:val="24"/>
        </w:rPr>
        <w:t>e 47 policjantom o 57 czynów;</w:t>
      </w:r>
    </w:p>
    <w:p w14:paraId="3AA3E561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5 wyroków, w których sądy uznały winnymi popełnienia przestępstwa 6 funkcjonariuszy Policji, (w tym 3 wyroki skazujące 4 policjantów na kary pozbawienia wolności w zawieszeniu, grzywnę i zakaz wykonywania zawodu oraz 2 warunkowe umorzenia wobec 2 policjantów).</w:t>
      </w:r>
    </w:p>
    <w:p w14:paraId="3CA3992C" w14:textId="77777777" w:rsidR="008D3FBD" w:rsidRPr="00127000" w:rsidRDefault="008D3FBD" w:rsidP="00C9380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 xml:space="preserve"> W pierwszym półroczu 2014 r. zgodnie z posiadanymi przez Policję danymi miało miejsce: </w:t>
      </w:r>
    </w:p>
    <w:p w14:paraId="6B380C24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314  zawiado</w:t>
      </w:r>
      <w:r w:rsidR="001555DA">
        <w:rPr>
          <w:rFonts w:ascii="Times New Roman" w:hAnsi="Times New Roman" w:cs="Times New Roman"/>
          <w:sz w:val="24"/>
          <w:szCs w:val="24"/>
        </w:rPr>
        <w:t>mień o popełnieniu przestępstwa;</w:t>
      </w:r>
    </w:p>
    <w:p w14:paraId="6036B524" w14:textId="77777777" w:rsidR="008D3FBD" w:rsidRPr="00127000" w:rsidRDefault="001555DA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odmów wszczęcia śledztwa;</w:t>
      </w:r>
    </w:p>
    <w:p w14:paraId="2DD00DDB" w14:textId="77777777" w:rsidR="008D3FBD" w:rsidRPr="00127000" w:rsidRDefault="001555DA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 prowadzonych śledztw;</w:t>
      </w:r>
    </w:p>
    <w:p w14:paraId="21B053FE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162 wydane postano</w:t>
      </w:r>
      <w:r w:rsidR="001555DA">
        <w:rPr>
          <w:rFonts w:ascii="Times New Roman" w:hAnsi="Times New Roman" w:cs="Times New Roman"/>
          <w:sz w:val="24"/>
          <w:szCs w:val="24"/>
        </w:rPr>
        <w:t>wienia o umorzeniu postępowania;</w:t>
      </w:r>
    </w:p>
    <w:p w14:paraId="0492EB0E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przedstawienie w 16 śledztwach 25 podejrzanym policjantom łącznie 57 zarzutów,</w:t>
      </w:r>
    </w:p>
    <w:p w14:paraId="135018E8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>skierowanie 13 aktów oskarżenia (dotyczących zdarzeń z lat 2012-2014) przeciwko łączni</w:t>
      </w:r>
      <w:r w:rsidR="001555DA">
        <w:rPr>
          <w:rFonts w:ascii="Times New Roman" w:hAnsi="Times New Roman" w:cs="Times New Roman"/>
          <w:sz w:val="24"/>
          <w:szCs w:val="24"/>
        </w:rPr>
        <w:t>e 20 policjantom o 26 czynów;</w:t>
      </w:r>
    </w:p>
    <w:p w14:paraId="02D84531" w14:textId="77777777" w:rsidR="008D3FBD" w:rsidRPr="00127000" w:rsidRDefault="008D3FBD" w:rsidP="00C9380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000">
        <w:rPr>
          <w:rFonts w:ascii="Times New Roman" w:hAnsi="Times New Roman" w:cs="Times New Roman"/>
          <w:sz w:val="24"/>
          <w:szCs w:val="24"/>
        </w:rPr>
        <w:t xml:space="preserve">1 wyrok, którym sąd uznał winnym popełnienia przestępstwa 1 funkcjonariusza Policji (jednocześnie warunkowo umarzając postępowanie). </w:t>
      </w:r>
    </w:p>
    <w:p w14:paraId="3DE31229" w14:textId="77777777" w:rsidR="00BF5176" w:rsidRPr="00127000" w:rsidRDefault="00BF5176" w:rsidP="00C9380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C92ED" w14:textId="77777777" w:rsidR="00BF5176" w:rsidRPr="00127000" w:rsidRDefault="00BF5176" w:rsidP="00C9380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Dane dot. SW</w:t>
      </w:r>
    </w:p>
    <w:p w14:paraId="6DDD6B62" w14:textId="77777777" w:rsidR="008D3FBD" w:rsidRPr="00127000" w:rsidRDefault="008D3FBD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D6DE9" w14:textId="77777777" w:rsidR="00231C89" w:rsidRPr="00127000" w:rsidRDefault="00231C89" w:rsidP="00C93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270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Dane statystyczne w zakresie ilości zarzutów zawartych w rozpatrywanych przez poszczególne organy Służby Więziennej skargach osób osadzonych w przedmiocie traktowania przez funkcjonariuszy i pracowników Służby Więziennej</w:t>
      </w:r>
    </w:p>
    <w:p w14:paraId="1B1E5F49" w14:textId="77777777" w:rsidR="00231C89" w:rsidRPr="00127000" w:rsidRDefault="00231C89" w:rsidP="00C938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773A2C9D" w14:textId="77777777" w:rsidR="00231C89" w:rsidRPr="00127000" w:rsidRDefault="00231C89" w:rsidP="00C938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DCE6C9D" w14:textId="77777777" w:rsidR="00231C89" w:rsidRPr="00127000" w:rsidRDefault="00231C89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 roku 2009</w:t>
      </w:r>
      <w:r w:rsidRPr="00127000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osoby wnoszące skargi formułowały zarzuty dotyczące: zaniechania określonego działania (1.014, w tym 7 zasadnych), agresji werbalnej (680, w tym 1 zasadna), sporządzenia wniosku o wymierzenie kary dyscyplinarnej (595, brak zasadnych), sposobu przeprowadzenia kontroli osobistej/celi mieszkalnej (488, w tym 2 zasadne), zapewnienia bezpieczeństwa (278, w tym 1 zasadna), pobicia (164, brak 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zasadnych), użycia środków przymusu bezpośredniego (68, brak zasadnych). Wśród zarzutów zawartych w skargach na traktowanie przez funkcjonariuszy i pracowników SW odnotowano także 7 zarzutów dotyczących dyskryminacji na tle rasowym i etnicznym, 69 zarzutów dotyczących dyskryminacji na tle wyznaniowym oraz 52 zarzuty dotyczące dyskryminacji na tle orientacji seksualnej. Ogółem wniesiono 128 zarzutów dotyczących dyskryminacji na tle rasowym i etnicznym, wyznaniowym i orientacji seksualnej, w tym 5 skarg wnieśli członkowie mniejszości romskiej. Jedną z tych skarg, dotyczącą wyżywienia, uznano za zasadną (CZSW). Ponadto organy Służby Więziennej udzieliły wyjaśnień i informacji w 42 sprawach dotyczących dyskryminacji na tle rasowym i etnicznym (11), wyznaniowym (16) i orientacji seksualnej (15). </w:t>
      </w:r>
    </w:p>
    <w:p w14:paraId="432973F7" w14:textId="77777777" w:rsidR="00231C89" w:rsidRPr="00127000" w:rsidRDefault="00231C89" w:rsidP="00C9380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</w:p>
    <w:p w14:paraId="285295A9" w14:textId="77777777" w:rsidR="00231C89" w:rsidRPr="00127000" w:rsidRDefault="00231C89" w:rsidP="00C93801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270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 roku 2010</w:t>
      </w:r>
      <w:r w:rsidRPr="001270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osadzeni wnoszący skargi na niewłaściwe traktowanie ich przez pracowników i funkcjonariuszy Służby Więziennej, formułowali zarzuty dotyczące: zaniechania określonego działania (843, w tym 11 zasadnych), agresji werbalnej (846, w tym nie uznano żadnego zarzutu za uzasadniony), sporządzenia wniosku o wymierzenie kary dyscyplinarnej (753, w tym 2 zasadne), sposobu przeprowadzenia kontroli osobistej/celi mieszkalnej (680, brak zasadnych), zapewnienia bezpieczeństwa (293, brak zasadnych), pobicia (231, w tym 1 zasadna), użycia środków przymusu bezpośredniego (124, brak zasadnych). Wśród zarzutów zawartych w skargach na traktowanie przez funkcjonariuszy i pracowników SW odnotowano także 20 zarzutów dotyczących dyskryminacji na tle rasowym i etnicznym (brak zasadnych), 37 zarzutów dotyczących dyskryminacji na tle wyznaniowym (jedna zasadna) oraz 8 zarzutów dotyczących dyskryminacji na tle orientacji seksualnej (brak zasadnych).</w:t>
      </w:r>
    </w:p>
    <w:p w14:paraId="03444073" w14:textId="77777777" w:rsidR="00231C89" w:rsidRPr="00127000" w:rsidRDefault="00231C89" w:rsidP="00C938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C693D43" w14:textId="77777777" w:rsidR="00231C89" w:rsidRPr="00127000" w:rsidRDefault="00231C89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00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 2011 roku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osadzeni podnieśli: 106 zarzutów, dotyczących użycia środków przymusu bezpośredniego, z czego 1 uznano za zasadny, 277 zarzutów dotyczących pobicia, spośród których żaden nie został uznany za zasadny, 656 zarzutów, dotyczących agresji werbalnej, z czego 1 został uznany za zasadny. Na zaniechanie określonego działania przez funkcjonariuszy i pracowników osadzeni wnieśli 787 zarzutów, spośród których 3 zostały uznane za zasadne, 828 zarzuty dotyczyły sporządzenia wniosku o wymierzenie kary dyscyplinarnej (w tym 1 zarzut zasadny), 491 zarzutów dotyczyło zapewnienia bezpieczeństwa – nie uznano żadnego z nich za zasadny, 675 dotyczyło sposobu przeprowadzenia kontroli osobistej lub celi mieszkalnej i 1 zarzut z tej grupy uznano za zasadny. Zarzuty, dotyczące innych form niewłaściwego traktowania skarżący podnieśli 3792 razy. W zakresie dyskryminacji na tle rasowym i etnicznym osadzeni skarżyli się 15 razy, dyskryminacji na tle wyznaniowym 41 razy, dyskryminacji na tle orientacji seksualnej 14 – w tym zakresie nie uznano żadnych zarzutów za zasadne. </w:t>
      </w:r>
    </w:p>
    <w:p w14:paraId="1C602A1B" w14:textId="77777777" w:rsidR="00231C89" w:rsidRPr="00127000" w:rsidRDefault="00231C89" w:rsidP="00C938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3C1478" w14:textId="77777777" w:rsidR="00231C89" w:rsidRPr="00127000" w:rsidRDefault="00231C89" w:rsidP="00C938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Wśród zarzutów, dotyczących traktowania przez funkcjonariuszy i pracowników Służby Więziennej </w:t>
      </w:r>
      <w:r w:rsidRPr="0012700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 2012 roku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ich problematyka dotyczyła: użycia środków przymusu bezpośredniego – 78 (w tym jeden zarzut uznano za zasadny), pobicia – 290, agresji werbalnej – 636, zaniechania określonego działania – 821 (w tym 7 zarzutów uznano za uzasadnione), sporządzenia wniosku o wymierzenie kary dyscyplinarnej – 788 (w tym 6 zarzutów uznano za uzasadnione), zapewnienia bezpieczeństwa – 553, sposobu przeprowadzania kontroli osobistej/celi mieszkalnej – 684 (w tym jeden zarzut uznano za uzasadniony), dyskryminacji na tle rasowym i etnicznym – 14, dyskryminacji na tle wyznaniowym – 51, dyskryminacji na tle 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orientacji seksualnej – 6, innych form niewłaściwego traktowania – 4494 (w tym 5 zarzutów uznano za uzasadnione). Dodatkowo, organy Służby Więziennej udzieliły wyjaśnień i informacji w zakresie 1521 zarzutów dotyczących traktowania osadzonych przez funkcjonariuszy i pracowników SW, m.in. w zakresie użycia środków przymusu bezpośredniego (44), pobicia (80), agresji werbalnej (107), zaniechania określonego działania (121), sporządzenia wniosku o wymierzenie kary dyscyplinarnej (240), zapewnienia bezpieczeństwa (90), sposobu przeprowadzania kontroli osobistej/celi mieszkalnej (98), dyskryminacji na tle rasowym i etnicznym (4), dyskryminacji na tle wyznaniowym (11), innych form niewłaściwego traktowania (72).</w:t>
      </w:r>
    </w:p>
    <w:p w14:paraId="0BE9FE16" w14:textId="77777777" w:rsidR="00231C89" w:rsidRPr="00127000" w:rsidRDefault="00231C89" w:rsidP="00C9380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AC55834" w14:textId="77777777" w:rsidR="00231C89" w:rsidRPr="00127000" w:rsidRDefault="00231C89" w:rsidP="00C93801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270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Wśród zarzutów rozpatrzonych </w:t>
      </w:r>
      <w:r w:rsidRPr="001270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 2013 roku</w:t>
      </w:r>
      <w:r w:rsidRPr="001270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przez kierowników jednostek organizacyjnych SW, w zakresie problematyki traktowania osadzonych przez funkcjonariuszy badano okoliczności: użycia środków przymusu bezpośredniego – 70 (żaden zarzut nie został uznany za zasadny), pobicia – 215 (1 zarzut został uznany za zasadny), agresji werbalnej – 791 (2 zarzuty uznano za zasadne), zaniechania określonego działania – 1336 (w tym 8 zarzutów uznano za uzasadnione), sporządzenia wniosku o wymierzenie kary dyscyplinarnej – 785 (w tym 3 zarzuty uznano za uzasadnione), niezapewnienia bezpieczeństwa – 514 (1 zarzut został uznany za zasadny), sposobu przeprowadzania kontroli osobistej/celi mieszkalnej – 764 (w tym 2 zarzuty uznano za uzasadnione), dyskryminacji na tle rasowym i etnicznym – 17, dyskryminacji na tle wyznaniowym – 45, dyskryminacji na tle orientacji seksualnej – 5, innych form niewłaściwego traktowania – 4.750 (w tym 4 zarzuty uznano za uzasadnione). </w:t>
      </w:r>
    </w:p>
    <w:p w14:paraId="6FD57DEE" w14:textId="77777777" w:rsidR="00231C89" w:rsidRPr="00127000" w:rsidRDefault="00231C89" w:rsidP="00C938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C4D18C2" w14:textId="77777777" w:rsidR="00BF5176" w:rsidRPr="00127000" w:rsidRDefault="00231C89" w:rsidP="00C9380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 2014 roku</w:t>
      </w:r>
      <w:r w:rsidRPr="001270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odnotowano największy wzrost ilości stawianych zarzutów przez osoby osadzone w zakładach karnych i aresztach śledczych – o 1.048 (o 11,28% w porównaniu do roku 2013) – w zakresie zarzutów związanych z traktowaniem przez funkcjonariuszy i pracowników Służby Więziennej. Wśród zarzutów rozpatrzonych przez kierowników jednostek organizacyjnych SW we własnym zakresie, w przedmiocie tej problematyki badano okoliczności: użycia środków przymusu bezpośredniego – 84 (żaden zarzut nie został uznany za zasadny), pobicia – 261 (żaden zarzut nie został uznany za zasadny), agresji werbalnej – 816 (3 zarzuty uznano za zasadne), zaniechania określonego działania – 1.739 (w tym 10 zarzutów uznano za uzasadnione), sporządzenia wniosku o wymierzenie kary dyscyplinarnej – 908 (w tym 2 zarzuty uznano za uzasadnione), zapewnienia bezpieczeństwa – 628 (żaden zarzut nie został uznany za zasadny), sposobu przeprowadzania kontroli osobistej/celi mieszkalnej – 854 (w tym 1 zarzut uznano za uzasadniony), dyskryminacji na tle rasowym i etnicznym – 18 (żaden zarzut nie został uznany za zasadny), dyskryminacji na tle wyznaniowym – 41 (w tym 2 zarzuty uznano za uzasadnione), dyskryminacji na tle orientacji seksualnej – 8 (żaden zarzut nie został uznany za zasadny), innych form niewłaściwego traktowania – 4.983 (w tym 3 zarzuty uznano za uzasadnione).</w:t>
      </w:r>
    </w:p>
    <w:p w14:paraId="64BBA9B5" w14:textId="77777777" w:rsidR="00C93801" w:rsidRDefault="00C93801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6A7FDD" w14:textId="77777777" w:rsidR="008E37BA" w:rsidRPr="008E37BA" w:rsidRDefault="008E37BA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7B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Dotyczy par. 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103</w:t>
      </w:r>
    </w:p>
    <w:p w14:paraId="26B80579" w14:textId="77777777" w:rsidR="001B0D77" w:rsidRPr="00553226" w:rsidRDefault="001B0D77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553226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Kodeks karny</w:t>
      </w:r>
    </w:p>
    <w:p w14:paraId="7CB6B1AB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93a</w:t>
      </w:r>
      <w:r w:rsidRPr="00C93801">
        <w:rPr>
          <w:rFonts w:ascii="Times New Roman" w:hAnsi="Times New Roman" w:cs="Times New Roman"/>
          <w:sz w:val="20"/>
          <w:szCs w:val="20"/>
        </w:rPr>
        <w:t>. § 1. Środkami zabezpieczającymi są:</w:t>
      </w:r>
    </w:p>
    <w:p w14:paraId="07CAEE9A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1) elektroniczna kontrola miejsca pobytu,</w:t>
      </w:r>
    </w:p>
    <w:p w14:paraId="0F3038A1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2) terapia,</w:t>
      </w:r>
    </w:p>
    <w:p w14:paraId="47F9322F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3) terapia uzależnień,</w:t>
      </w:r>
    </w:p>
    <w:p w14:paraId="3E0709AB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lastRenderedPageBreak/>
        <w:t>4) pobyt w zakładzie psychiatrycznym.</w:t>
      </w:r>
    </w:p>
    <w:p w14:paraId="2F0AC1BC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2. Jeżeli ustawa tak stanowi, tytułem środka zabezpieczającego można orzec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nakaz i zakazy określone w art. 39 pkt 2–3.</w:t>
      </w:r>
    </w:p>
    <w:p w14:paraId="4AB71041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767F9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93b</w:t>
      </w:r>
      <w:r w:rsidRPr="00C93801">
        <w:rPr>
          <w:rFonts w:ascii="Times New Roman" w:hAnsi="Times New Roman" w:cs="Times New Roman"/>
          <w:sz w:val="20"/>
          <w:szCs w:val="20"/>
        </w:rPr>
        <w:t>. §1. Sąd może orzec środek zabezpieczający, gdy jest to konieczne,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aby zapobiec ponownemu popełnieniu przez sprawcę czynu zabronionego, a inne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środki prawne określone w tym kodeksie lub orzeczone na podstawie innych ustaw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nie są wystarczające. Środek zabezpieczający, o którym mowa w art. 93a § 1 pkt 4,</w:t>
      </w:r>
    </w:p>
    <w:p w14:paraId="0D5CBDE9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można orzec jedynie, aby zapobiec ponownemu popełnieniu przez sprawcę czynu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zabronionego o znacznej społecznej szkodliwości.</w:t>
      </w:r>
    </w:p>
    <w:p w14:paraId="39EE5043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2. Sąd uchyla środek zabezpieczający, gdy dalsze jego stosowanie nie jest już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konieczne.</w:t>
      </w:r>
    </w:p>
    <w:p w14:paraId="0689F229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3. Środek zabezpieczający i sposób jego wykonywania powinien być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odpowiedni do stopnia społecznej szkodliwości czynu zabronionego, który sprawca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może popełnić, oraz prawdopodobieństwa jego popełnienia, a także uwzględniać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potrzeby i postępy w terapii lub terapii uzależnień. Sąd może zmienić orzeczony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wobec sprawcy środek zabezpieczający lub sposób jego wykonywania, jeżeli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poprzednio orzeczony środek stał się nieodpowiedni lub jego wykonywanie nie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możliwe.</w:t>
      </w:r>
    </w:p>
    <w:p w14:paraId="751BBDDF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4. Wobec tego samego sprawcy można orzec więcej niż jeden środek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zabezpieczający; przepisy § 1 i 3 stosuje się, biorąc pod uwagę wszystkie orzekane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środki zabezpieczające.</w:t>
      </w:r>
    </w:p>
    <w:p w14:paraId="44500FF1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5. Sąd orzeka pobyt w zakładzie psychiatrycznym tylko wtedy, gdy ustawa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tak stanowi.</w:t>
      </w:r>
    </w:p>
    <w:p w14:paraId="4E807B2C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23308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93c</w:t>
      </w:r>
      <w:r w:rsidRPr="00C93801">
        <w:rPr>
          <w:rFonts w:ascii="Times New Roman" w:hAnsi="Times New Roman" w:cs="Times New Roman"/>
          <w:sz w:val="20"/>
          <w:szCs w:val="20"/>
        </w:rPr>
        <w:t>. Środki zabezpieczające można orzec wobec sprawcy:</w:t>
      </w:r>
    </w:p>
    <w:p w14:paraId="196C90E7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1) co do którego umorzono postępowanie o czyn zabroniony popełniony w stanie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niepoczytalności określonej w art. 31 § 1,</w:t>
      </w:r>
    </w:p>
    <w:p w14:paraId="74FF9CF8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2) w razie skazania za przestępstwo popełnione w stanie ograniczonej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poczytalności określonej w art. 31 § 2,</w:t>
      </w:r>
    </w:p>
    <w:p w14:paraId="0D35D8FF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3) w razie skazania za przestępstwo określone w art. 148, art. 156, art. 197,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art. 198, art. 199 § 2 lub art. 200 § 1, popełnione w związku z zaburzeniem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preferencji seksualnych,</w:t>
      </w:r>
    </w:p>
    <w:p w14:paraId="65D26EB3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4) w razie skazania na karę pozbawienia wolności bez warunkowego jej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zawieszenia za umyślne przestępstwo określone w rozdziale XIX, XXIII, XXV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lub XXVI, popełnione w związku z zaburzeniem osobowości o takim</w:t>
      </w:r>
    </w:p>
    <w:p w14:paraId="54EDAE7B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charakterze lub nasileniu, że zachodzi co najmniej wysokie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prawdopodobieństwo popełnienia czynu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zabronionego z użyciem przemocy lub</w:t>
      </w:r>
      <w:r w:rsidR="000744E7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groźbą jej użycia,</w:t>
      </w:r>
    </w:p>
    <w:p w14:paraId="3D4B7C46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5) w razie skazania za przestępstwo popełnione w związku z uzależnieniem od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alkoholu, środka odurzającego lub innego podobnie działającego środka.</w:t>
      </w:r>
    </w:p>
    <w:p w14:paraId="13EB703C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D695D" w14:textId="77777777" w:rsidR="00965E65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93d</w:t>
      </w:r>
      <w:r w:rsidRPr="00C93801">
        <w:rPr>
          <w:rFonts w:ascii="Times New Roman" w:hAnsi="Times New Roman" w:cs="Times New Roman"/>
          <w:sz w:val="20"/>
          <w:szCs w:val="20"/>
        </w:rPr>
        <w:t>. § 1. Czasu stosowania środka zabezpieczającego nie określa się</w:t>
      </w:r>
      <w:r w:rsidR="008D087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 góry.</w:t>
      </w:r>
    </w:p>
    <w:p w14:paraId="30FFFE23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2. Uchylając środek zabezpieczający w postaci pobytu w zakładzie</w:t>
      </w:r>
      <w:r w:rsidR="008D087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psychiatrycznym, sąd może orzec jeden lub więcej ze środków zabezpieczających,</w:t>
      </w:r>
      <w:r w:rsidR="008D087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o których mowa w art. 93a § 1 pkt 1–3.</w:t>
      </w:r>
    </w:p>
    <w:p w14:paraId="67C54706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3. Sąd ustala potrzebę i możliwości wykonania orzeczonego środka</w:t>
      </w:r>
      <w:r w:rsidR="008D087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zabezpieczającego nie wcześniej niż na 6 miesięcy przed przewidywanym</w:t>
      </w:r>
      <w:r w:rsidR="008D087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warunkowym zwolnieniem lub odbyciem kary pozbawienia wolności.</w:t>
      </w:r>
    </w:p>
    <w:p w14:paraId="1642A7DE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4. Jeżeli wobec sprawcy wykonywana jest kara pozbawienia wolności, środki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zabezpieczające, o których mowa w art. 93a § 1 pkt 1–3, można orzec również do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czasu wykonania tej kary, jednak nie wcześniej niż na 6 miesięcy przed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przewidywanym warunkowym zwolnieniem lub odbyciem kary pozbawienia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wolności.</w:t>
      </w:r>
    </w:p>
    <w:p w14:paraId="162EBEB3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5. Jeżeli sprawca został skazany na karę pozbawienia wolności bez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warunkowego zawieszenia jej wykonania, karę 25 lat pozbawienia wolności lub karę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dożywotniego pozbawienia wolności, orzeczony środek zabezpieczający stosuje się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po odbyciu kary lub warunkowym zwolnieniu, chyba że ustawa stanowi inaczej.</w:t>
      </w:r>
    </w:p>
    <w:p w14:paraId="1A56A4B5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6. Jeżeli zachowanie sprawcy po uchyleniu środka zabezpieczającego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wskazuje, że zachodzi konieczność stosowania środków zabezpieczających, sąd, nie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później niż w ciągu 3 lat od uchylenia środka, może ponownie orzec ten sam środek</w:t>
      </w:r>
      <w:r w:rsidR="00E772B8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zabezpieczający lub inny środek, o którym mowa w art. 93a § 1 pkt 1–3.</w:t>
      </w:r>
    </w:p>
    <w:p w14:paraId="08F978C4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AB5D7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93e.</w:t>
      </w:r>
      <w:r w:rsidRPr="00C93801">
        <w:rPr>
          <w:rFonts w:ascii="Times New Roman" w:hAnsi="Times New Roman" w:cs="Times New Roman"/>
          <w:sz w:val="20"/>
          <w:szCs w:val="20"/>
        </w:rPr>
        <w:t xml:space="preserve"> Sprawca, wobec którego orzeczono elektroniczną kontrolę miejsca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pobytu, ma obowiązek poddania się nieprzerwanej kontroli miejsca swojego pobytu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sprawowanej za pomocą urządzeń technicznych, w tym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noszonego nadajnika.</w:t>
      </w:r>
    </w:p>
    <w:p w14:paraId="7B3EF39C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14A733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t>Art. 93f</w:t>
      </w:r>
      <w:r w:rsidRPr="00C93801">
        <w:rPr>
          <w:rFonts w:ascii="Times New Roman" w:hAnsi="Times New Roman" w:cs="Times New Roman"/>
          <w:sz w:val="20"/>
          <w:szCs w:val="20"/>
        </w:rPr>
        <w:t>. § 1. Sprawca, wobec którego orzeczono terapię, ma obowiązek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stawiennictwa we wskazanej przez sąd placówce w terminach wyznaczonych przez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lekarza psychiatrę, seksuologa lub terapeutę i poddania się terapii farmakologicznej</w:t>
      </w:r>
      <w:r w:rsidR="008B7701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zmierzającej do osłabienia popędu seksualnego, psychoterapii lub psychoedukacji</w:t>
      </w:r>
    </w:p>
    <w:p w14:paraId="685F2F5C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w celu poprawy jego funkcjonowania w społeczeństwie.</w:t>
      </w:r>
    </w:p>
    <w:p w14:paraId="26A8C27A" w14:textId="77777777" w:rsid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2. Sprawca, wobec którego orzeczono terapię uzależnień, ma obowiązek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stawiennictwa we wskazanej przez sąd placówce leczenia odwykowego w terminach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wyznaczonych przez lekarza i poddania się leczeniu uzależnienia od alkoholu,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środka odurzającego lub innego podobnie działającego środka.</w:t>
      </w:r>
    </w:p>
    <w:p w14:paraId="333984EF" w14:textId="77777777" w:rsidR="00965E65" w:rsidRPr="00C93801" w:rsidRDefault="00965E65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AD8AA8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3226">
        <w:rPr>
          <w:rFonts w:ascii="Times New Roman" w:hAnsi="Times New Roman" w:cs="Times New Roman"/>
          <w:b/>
          <w:sz w:val="20"/>
          <w:szCs w:val="20"/>
        </w:rPr>
        <w:lastRenderedPageBreak/>
        <w:t>Art. 93g</w:t>
      </w:r>
      <w:r w:rsidRPr="00C93801">
        <w:rPr>
          <w:rFonts w:ascii="Times New Roman" w:hAnsi="Times New Roman" w:cs="Times New Roman"/>
          <w:sz w:val="20"/>
          <w:szCs w:val="20"/>
        </w:rPr>
        <w:t>. § 1. Sąd orzeka pobyt w odpowiednim zakładzie psychiatrycznym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wobec sprawcy określonego w art. 93c pkt 1, jeżeli istnieje wysokie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prawdopodobieństwo, że popełni on ponownie czyn zabroniony o znacznej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społecznej szkodliwości w związku z chorobą psychiczną lub upośledzeniem</w:t>
      </w:r>
      <w:r w:rsidR="00974BE6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umysłowym.</w:t>
      </w:r>
    </w:p>
    <w:p w14:paraId="5CAD33F5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2. Skazując sprawcę określonego w art. 93c pkt 2 na karę pozbawienia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wolności bez warunkowego zawieszenia jej wykonania, karę 25 lat pozbawienia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wolności lub karę dożywotniego pozbawienia wolności, sąd orzeka pobyt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 odpowiednim zakładzie psychiatrycznym, jeżeli istnieje wysokie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prawdopodobieństwo, że popełni on czyn zabroniony o znacznej społecznej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szkodliwości w związku z chorobą psychiczną lub upośledzeniem umysłowym.</w:t>
      </w:r>
    </w:p>
    <w:p w14:paraId="7BAF318A" w14:textId="77777777" w:rsidR="00C93801" w:rsidRPr="00C93801" w:rsidRDefault="00C93801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801">
        <w:rPr>
          <w:rFonts w:ascii="Times New Roman" w:hAnsi="Times New Roman" w:cs="Times New Roman"/>
          <w:sz w:val="20"/>
          <w:szCs w:val="20"/>
        </w:rPr>
        <w:t>§ 3. Skazując sprawcę określonego w art. 93c pkt 3 na karę pozbawienia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wolności bez warunkowego zawieszenia jej wykonania, karę 25 lat pozbawienia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wolności lub karę dożywotniego pozbawienia wolności, sąd orzeka pobyt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w odpowiednim zakładzie psychiatrycznym, jeżeli istnieje wysokie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prawdopodobieństwo, że skazany popełni przestępstwo przeciwko życiu, zdrowiu</w:t>
      </w:r>
      <w:r w:rsidR="00B6704E">
        <w:rPr>
          <w:rFonts w:ascii="Times New Roman" w:hAnsi="Times New Roman" w:cs="Times New Roman"/>
          <w:sz w:val="20"/>
          <w:szCs w:val="20"/>
        </w:rPr>
        <w:t xml:space="preserve"> </w:t>
      </w:r>
      <w:r w:rsidRPr="00C93801">
        <w:rPr>
          <w:rFonts w:ascii="Times New Roman" w:hAnsi="Times New Roman" w:cs="Times New Roman"/>
          <w:sz w:val="20"/>
          <w:szCs w:val="20"/>
        </w:rPr>
        <w:t>lub wolności seksualnej w związku z zaburzeniem preferencji seksualnych.</w:t>
      </w:r>
    </w:p>
    <w:p w14:paraId="0B0C7EC9" w14:textId="77777777" w:rsidR="008E37BA" w:rsidRDefault="008E37BA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89E09" w14:textId="77777777" w:rsidR="008E37BA" w:rsidRPr="008E37BA" w:rsidRDefault="008E37BA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5E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Dotyczy par.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14:paraId="3D83C83D" w14:textId="77777777" w:rsidR="00462C8E" w:rsidRPr="00127000" w:rsidRDefault="008569FE" w:rsidP="00C93801">
      <w:pPr>
        <w:tabs>
          <w:tab w:val="left" w:pos="467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000">
        <w:rPr>
          <w:rFonts w:ascii="Times New Roman" w:eastAsia="Calibri" w:hAnsi="Times New Roman" w:cs="Times New Roman"/>
          <w:b/>
          <w:sz w:val="24"/>
          <w:szCs w:val="24"/>
        </w:rPr>
        <w:t>Dan</w:t>
      </w:r>
      <w:r w:rsidR="008C7838" w:rsidRPr="00127000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1270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3E6" w:rsidRPr="00127000">
        <w:rPr>
          <w:rFonts w:ascii="Times New Roman" w:eastAsia="Calibri" w:hAnsi="Times New Roman" w:cs="Times New Roman"/>
          <w:b/>
          <w:sz w:val="24"/>
          <w:szCs w:val="24"/>
        </w:rPr>
        <w:t xml:space="preserve">dotyczące działalności </w:t>
      </w:r>
      <w:r w:rsidRPr="0012700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B273E6" w:rsidRPr="00127000">
        <w:rPr>
          <w:rFonts w:ascii="Times New Roman" w:eastAsia="Calibri" w:hAnsi="Times New Roman" w:cs="Times New Roman"/>
          <w:b/>
          <w:sz w:val="24"/>
          <w:szCs w:val="24"/>
        </w:rPr>
        <w:t>olicji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6"/>
        <w:gridCol w:w="1440"/>
        <w:gridCol w:w="1853"/>
        <w:gridCol w:w="1616"/>
        <w:gridCol w:w="1616"/>
      </w:tblGrid>
      <w:tr w:rsidR="007D0918" w:rsidRPr="00127000" w14:paraId="1A8A1E62" w14:textId="77777777" w:rsidTr="006C5933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A5A78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14:paraId="05179D17" w14:textId="77777777" w:rsidR="00462C8E" w:rsidRPr="00127000" w:rsidRDefault="0024083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Stwierdzone </w:t>
            </w:r>
            <w:r w:rsidR="00462C8E"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przestępstw</w:t>
            </w:r>
            <w:r w:rsidR="008C7838"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462C8E"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F228AF" w14:textId="77777777" w:rsidR="00462C8E" w:rsidRPr="00127000" w:rsidRDefault="0024083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Podejrzani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660FBDA7" w14:textId="77777777" w:rsidR="00462C8E" w:rsidRPr="00127000" w:rsidRDefault="00C14EA7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Pokrzywdzeni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04EBA81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w tym</w:t>
            </w:r>
          </w:p>
          <w:p w14:paraId="5F9BDD22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pokrzywdzeni – ob. RP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797F415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w tym</w:t>
            </w:r>
          </w:p>
          <w:p w14:paraId="21FA4DD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pokrzywdzeni – cudzoziemcy</w:t>
            </w:r>
          </w:p>
        </w:tc>
      </w:tr>
      <w:tr w:rsidR="007D0918" w:rsidRPr="00127000" w14:paraId="61A5D295" w14:textId="77777777" w:rsidTr="00B276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BC5C2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82954F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AD2BB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22722CB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1298B1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1CAF1A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D0918" w:rsidRPr="00127000" w14:paraId="5889BC9D" w14:textId="77777777" w:rsidTr="00B276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8C977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99A977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B108F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4B1E50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7AC8D6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1B9309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D0918" w:rsidRPr="00127000" w14:paraId="3504F04D" w14:textId="77777777" w:rsidTr="00B276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15AFD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5608D9D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9B346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935241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6B6385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79BF4A2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0918" w:rsidRPr="00127000" w14:paraId="5ACE83FA" w14:textId="77777777" w:rsidTr="00B276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380C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4F0451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971AF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FF20B2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3A2FBF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EA7EA27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0918" w:rsidRPr="00127000" w14:paraId="7A7DE40F" w14:textId="77777777" w:rsidTr="00B2769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A9F54C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6343887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697DA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606CEE2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E3B6BB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89F835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D0918" w:rsidRPr="00127000" w14:paraId="2E7A034B" w14:textId="77777777" w:rsidTr="00B2769F">
        <w:trPr>
          <w:trHeight w:val="444"/>
          <w:jc w:val="center"/>
        </w:trPr>
        <w:tc>
          <w:tcPr>
            <w:tcW w:w="1134" w:type="dxa"/>
            <w:shd w:val="clear" w:color="auto" w:fill="E6E6E6"/>
            <w:vAlign w:val="center"/>
          </w:tcPr>
          <w:p w14:paraId="4AA31CA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566" w:type="dxa"/>
            <w:shd w:val="clear" w:color="auto" w:fill="E6E6E6"/>
          </w:tcPr>
          <w:p w14:paraId="6E8EAFE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40" w:type="dxa"/>
            <w:shd w:val="clear" w:color="auto" w:fill="E6E6E6"/>
          </w:tcPr>
          <w:p w14:paraId="72FEC8BE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53" w:type="dxa"/>
            <w:shd w:val="clear" w:color="auto" w:fill="E6E6E6"/>
          </w:tcPr>
          <w:p w14:paraId="3368183C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616" w:type="dxa"/>
            <w:shd w:val="clear" w:color="auto" w:fill="E6E6E6"/>
          </w:tcPr>
          <w:p w14:paraId="3B768F5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616" w:type="dxa"/>
            <w:shd w:val="clear" w:color="auto" w:fill="E6E6E6"/>
          </w:tcPr>
          <w:p w14:paraId="4E65B267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</w:tbl>
    <w:p w14:paraId="19DD20FA" w14:textId="77777777" w:rsidR="00462C8E" w:rsidRPr="00127000" w:rsidRDefault="00462C8E" w:rsidP="00C93801">
      <w:pPr>
        <w:tabs>
          <w:tab w:val="left" w:pos="467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6CA4C" w14:textId="77777777" w:rsidR="00462C8E" w:rsidRPr="00127000" w:rsidRDefault="00462C8E" w:rsidP="00C93801">
      <w:pPr>
        <w:tabs>
          <w:tab w:val="left" w:pos="467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000">
        <w:rPr>
          <w:rFonts w:ascii="Times New Roman" w:eastAsia="Calibri" w:hAnsi="Times New Roman" w:cs="Times New Roman"/>
          <w:b/>
          <w:sz w:val="24"/>
          <w:szCs w:val="24"/>
        </w:rPr>
        <w:t>Dane Prokuratury Generalnej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236"/>
        <w:gridCol w:w="1275"/>
        <w:gridCol w:w="1418"/>
        <w:gridCol w:w="1417"/>
        <w:gridCol w:w="1276"/>
        <w:gridCol w:w="1537"/>
      </w:tblGrid>
      <w:tr w:rsidR="007D0918" w:rsidRPr="00127000" w14:paraId="66777E8B" w14:textId="77777777" w:rsidTr="005312C6">
        <w:trPr>
          <w:cantSplit/>
          <w:jc w:val="center"/>
        </w:trPr>
        <w:tc>
          <w:tcPr>
            <w:tcW w:w="9074" w:type="dxa"/>
            <w:gridSpan w:val="7"/>
            <w:shd w:val="clear" w:color="auto" w:fill="E6E6E6"/>
            <w:vAlign w:val="center"/>
          </w:tcPr>
          <w:p w14:paraId="5DCB974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Wyniki postępowań przygotowawczych w sprawach o handel ludźmi w okresie 2009-2013</w:t>
            </w:r>
          </w:p>
        </w:tc>
      </w:tr>
      <w:tr w:rsidR="007D0918" w:rsidRPr="00127000" w14:paraId="6F59C34D" w14:textId="77777777" w:rsidTr="005312C6">
        <w:trPr>
          <w:cantSplit/>
          <w:trHeight w:val="360"/>
          <w:jc w:val="center"/>
        </w:trPr>
        <w:tc>
          <w:tcPr>
            <w:tcW w:w="915" w:type="dxa"/>
            <w:vMerge w:val="restart"/>
            <w:shd w:val="clear" w:color="auto" w:fill="E6E6E6"/>
            <w:textDirection w:val="btLr"/>
            <w:vAlign w:val="center"/>
          </w:tcPr>
          <w:p w14:paraId="113E8F1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36" w:type="dxa"/>
            <w:vMerge w:val="restart"/>
            <w:shd w:val="clear" w:color="auto" w:fill="E6E6E6"/>
            <w:textDirection w:val="btLr"/>
            <w:vAlign w:val="center"/>
          </w:tcPr>
          <w:p w14:paraId="28040AB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L. wszczętych postępowań</w:t>
            </w:r>
          </w:p>
          <w:p w14:paraId="3E1D0D5D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przygotowawczych</w:t>
            </w:r>
            <w:r w:rsidRPr="001270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75" w:type="dxa"/>
            <w:vMerge w:val="restart"/>
            <w:shd w:val="clear" w:color="auto" w:fill="E6E6E6"/>
            <w:textDirection w:val="btLr"/>
            <w:vAlign w:val="center"/>
          </w:tcPr>
          <w:p w14:paraId="7B9689A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L. zakończonych postępowań</w:t>
            </w:r>
          </w:p>
        </w:tc>
        <w:tc>
          <w:tcPr>
            <w:tcW w:w="1418" w:type="dxa"/>
            <w:vMerge w:val="restart"/>
            <w:shd w:val="clear" w:color="auto" w:fill="E6E6E6"/>
            <w:textDirection w:val="btLr"/>
            <w:vAlign w:val="center"/>
          </w:tcPr>
          <w:p w14:paraId="592C39A4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L. spraw zakończonych wniesieniem</w:t>
            </w:r>
          </w:p>
          <w:p w14:paraId="10AC1E39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aktu oskarżenia</w:t>
            </w:r>
          </w:p>
        </w:tc>
        <w:tc>
          <w:tcPr>
            <w:tcW w:w="1417" w:type="dxa"/>
            <w:vMerge w:val="restart"/>
            <w:shd w:val="clear" w:color="auto" w:fill="E6E6E6"/>
            <w:textDirection w:val="btLr"/>
            <w:vAlign w:val="center"/>
          </w:tcPr>
          <w:p w14:paraId="36103BC9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L. spraw zakończonych</w:t>
            </w:r>
          </w:p>
          <w:p w14:paraId="27D2680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umorzeniem</w:t>
            </w:r>
          </w:p>
          <w:p w14:paraId="4DECF45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shd w:val="clear" w:color="auto" w:fill="E6E6E6"/>
            <w:vAlign w:val="center"/>
          </w:tcPr>
          <w:p w14:paraId="16665864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L. osób</w:t>
            </w:r>
          </w:p>
        </w:tc>
      </w:tr>
      <w:tr w:rsidR="007D0918" w:rsidRPr="00127000" w14:paraId="4BE62CCF" w14:textId="77777777" w:rsidTr="005312C6">
        <w:trPr>
          <w:cantSplit/>
          <w:trHeight w:val="1793"/>
          <w:jc w:val="center"/>
        </w:trPr>
        <w:tc>
          <w:tcPr>
            <w:tcW w:w="915" w:type="dxa"/>
            <w:vMerge/>
            <w:textDirection w:val="btLr"/>
          </w:tcPr>
          <w:p w14:paraId="61A64C0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extDirection w:val="btLr"/>
            <w:vAlign w:val="center"/>
          </w:tcPr>
          <w:p w14:paraId="43C0319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F3A4CE9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3AA55A3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6E6E6"/>
            <w:textDirection w:val="btLr"/>
            <w:vAlign w:val="center"/>
          </w:tcPr>
          <w:p w14:paraId="7481D194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  <w:textDirection w:val="btLr"/>
            <w:vAlign w:val="center"/>
          </w:tcPr>
          <w:p w14:paraId="33521B6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Oskarżonych</w:t>
            </w:r>
          </w:p>
        </w:tc>
        <w:tc>
          <w:tcPr>
            <w:tcW w:w="1537" w:type="dxa"/>
            <w:shd w:val="clear" w:color="auto" w:fill="E6E6E6"/>
            <w:textDirection w:val="btLr"/>
            <w:vAlign w:val="center"/>
          </w:tcPr>
          <w:p w14:paraId="6FF2AD1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Pokrzywdzonych</w:t>
            </w:r>
          </w:p>
        </w:tc>
      </w:tr>
      <w:tr w:rsidR="007D0918" w:rsidRPr="00127000" w14:paraId="3339A512" w14:textId="77777777" w:rsidTr="005312C6">
        <w:trPr>
          <w:jc w:val="center"/>
        </w:trPr>
        <w:tc>
          <w:tcPr>
            <w:tcW w:w="915" w:type="dxa"/>
          </w:tcPr>
          <w:p w14:paraId="5851CD8D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36" w:type="dxa"/>
          </w:tcPr>
          <w:p w14:paraId="5547779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275" w:type="dxa"/>
          </w:tcPr>
          <w:p w14:paraId="31C3756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327BEE4C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5771B97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E40A1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7" w:type="dxa"/>
          </w:tcPr>
          <w:p w14:paraId="0764706C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</w:tr>
      <w:tr w:rsidR="007D0918" w:rsidRPr="00127000" w14:paraId="1537856E" w14:textId="77777777" w:rsidTr="005312C6">
        <w:trPr>
          <w:jc w:val="center"/>
        </w:trPr>
        <w:tc>
          <w:tcPr>
            <w:tcW w:w="915" w:type="dxa"/>
          </w:tcPr>
          <w:p w14:paraId="457E621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36" w:type="dxa"/>
          </w:tcPr>
          <w:p w14:paraId="1C8672FD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275" w:type="dxa"/>
          </w:tcPr>
          <w:p w14:paraId="6CF60AD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14:paraId="360A6CB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8F87793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7F1021DC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7" w:type="dxa"/>
          </w:tcPr>
          <w:p w14:paraId="28EFDE7F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</w:tc>
      </w:tr>
      <w:tr w:rsidR="007D0918" w:rsidRPr="00127000" w14:paraId="739203BA" w14:textId="77777777" w:rsidTr="005312C6">
        <w:trPr>
          <w:jc w:val="center"/>
        </w:trPr>
        <w:tc>
          <w:tcPr>
            <w:tcW w:w="915" w:type="dxa"/>
          </w:tcPr>
          <w:p w14:paraId="0E0697E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36" w:type="dxa"/>
          </w:tcPr>
          <w:p w14:paraId="2DFDD1E2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1270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275" w:type="dxa"/>
          </w:tcPr>
          <w:p w14:paraId="7D698C9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55434D4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1F78CB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0DDCA47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</w:tcPr>
          <w:p w14:paraId="37A5ED6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</w:tr>
      <w:tr w:rsidR="007D0918" w:rsidRPr="00127000" w14:paraId="7F6A6E67" w14:textId="77777777" w:rsidTr="005312C6">
        <w:trPr>
          <w:jc w:val="center"/>
        </w:trPr>
        <w:tc>
          <w:tcPr>
            <w:tcW w:w="915" w:type="dxa"/>
          </w:tcPr>
          <w:p w14:paraId="43A5D8F4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236" w:type="dxa"/>
          </w:tcPr>
          <w:p w14:paraId="4C80CF2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1270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275" w:type="dxa"/>
          </w:tcPr>
          <w:p w14:paraId="0497BBB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4C0976A8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219EBB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773A4EA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7" w:type="dxa"/>
          </w:tcPr>
          <w:p w14:paraId="0A8A8705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462C8E" w:rsidRPr="00127000" w14:paraId="30E48CA2" w14:textId="77777777" w:rsidTr="005312C6">
        <w:trPr>
          <w:jc w:val="center"/>
        </w:trPr>
        <w:tc>
          <w:tcPr>
            <w:tcW w:w="915" w:type="dxa"/>
          </w:tcPr>
          <w:p w14:paraId="311A7056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236" w:type="dxa"/>
          </w:tcPr>
          <w:p w14:paraId="5E546417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1270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275" w:type="dxa"/>
          </w:tcPr>
          <w:p w14:paraId="66909FD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5550107B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7B952CAD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4DFDB91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7" w:type="dxa"/>
          </w:tcPr>
          <w:p w14:paraId="3AF700C0" w14:textId="77777777" w:rsidR="00462C8E" w:rsidRPr="00127000" w:rsidRDefault="00462C8E" w:rsidP="00C93801">
            <w:pPr>
              <w:tabs>
                <w:tab w:val="left" w:pos="467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</w:tbl>
    <w:p w14:paraId="4AF3F63F" w14:textId="77777777" w:rsidR="00101D6F" w:rsidRDefault="00101D6F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AF19" w14:textId="77777777" w:rsidR="007A4286" w:rsidRDefault="007A4286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0E40" w14:textId="77777777" w:rsidR="007A4286" w:rsidRPr="00127000" w:rsidRDefault="007A4286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B819E" w14:textId="77777777" w:rsidR="000B3197" w:rsidRPr="00127000" w:rsidRDefault="000B3197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7000">
        <w:rPr>
          <w:rFonts w:ascii="Times New Roman" w:hAnsi="Times New Roman" w:cs="Times New Roman"/>
          <w:bCs/>
          <w:i/>
          <w:color w:val="000000"/>
          <w:sz w:val="20"/>
          <w:szCs w:val="20"/>
        </w:rPr>
        <w:t>Kodeks karny</w:t>
      </w:r>
    </w:p>
    <w:p w14:paraId="48C87878" w14:textId="77777777" w:rsidR="000B3197" w:rsidRPr="00127000" w:rsidRDefault="000B3197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70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Art. 189a. </w:t>
      </w:r>
      <w:r w:rsidRPr="00127000">
        <w:rPr>
          <w:rFonts w:ascii="Times New Roman" w:hAnsi="Times New Roman" w:cs="Times New Roman"/>
          <w:color w:val="000000"/>
          <w:sz w:val="20"/>
          <w:szCs w:val="20"/>
        </w:rPr>
        <w:t>§ 1. Kto dopuszcza się handlu ludźmi, podlega karze pozbawienia wolnośc</w:t>
      </w:r>
      <w:r w:rsidR="00244477" w:rsidRPr="00127000">
        <w:rPr>
          <w:rFonts w:ascii="Times New Roman" w:hAnsi="Times New Roman" w:cs="Times New Roman"/>
          <w:color w:val="000000"/>
          <w:sz w:val="20"/>
          <w:szCs w:val="20"/>
        </w:rPr>
        <w:t>i na czas nie krótszy od lat 3.</w:t>
      </w:r>
    </w:p>
    <w:p w14:paraId="4DC266EA" w14:textId="77777777" w:rsidR="000B3197" w:rsidRPr="00127000" w:rsidRDefault="000B3197" w:rsidP="00C9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7000">
        <w:rPr>
          <w:rFonts w:ascii="Times New Roman" w:hAnsi="Times New Roman" w:cs="Times New Roman"/>
          <w:color w:val="000000"/>
          <w:sz w:val="20"/>
          <w:szCs w:val="20"/>
        </w:rPr>
        <w:t>§ 2. Kto czyni przygotowania do popełnienia przestępstwa określonego w § 1, podlega karze pozbawienia wolności od 3 miesięcy do lat 5.</w:t>
      </w:r>
    </w:p>
    <w:p w14:paraId="35F2F840" w14:textId="77777777" w:rsidR="000B3197" w:rsidRPr="00127000" w:rsidRDefault="000B3197" w:rsidP="00C93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A6F8A" w14:textId="77777777" w:rsidR="00305DD0" w:rsidRPr="00127000" w:rsidRDefault="00305DD0" w:rsidP="00C93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Prawomocne skazania</w:t>
      </w:r>
    </w:p>
    <w:p w14:paraId="0805D522" w14:textId="77777777" w:rsidR="00305DD0" w:rsidRPr="00127000" w:rsidRDefault="00305DD0" w:rsidP="00C93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0"/>
        <w:gridCol w:w="820"/>
        <w:gridCol w:w="995"/>
        <w:gridCol w:w="995"/>
        <w:gridCol w:w="995"/>
        <w:gridCol w:w="995"/>
      </w:tblGrid>
      <w:tr w:rsidR="00305DD0" w:rsidRPr="00127000" w14:paraId="37579AA6" w14:textId="77777777" w:rsidTr="001933DE">
        <w:trPr>
          <w:trHeight w:val="315"/>
        </w:trPr>
        <w:tc>
          <w:tcPr>
            <w:tcW w:w="2380" w:type="dxa"/>
            <w:vMerge w:val="restart"/>
            <w:shd w:val="clear" w:color="auto" w:fill="D9D9D9" w:themeFill="background1" w:themeFillShade="D9"/>
            <w:hideMark/>
          </w:tcPr>
          <w:p w14:paraId="62CE1E3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Wyszczególnienie</w:t>
            </w:r>
          </w:p>
        </w:tc>
        <w:tc>
          <w:tcPr>
            <w:tcW w:w="4800" w:type="dxa"/>
            <w:gridSpan w:val="5"/>
            <w:shd w:val="clear" w:color="auto" w:fill="D9D9D9" w:themeFill="background1" w:themeFillShade="D9"/>
            <w:noWrap/>
            <w:hideMark/>
          </w:tcPr>
          <w:p w14:paraId="186A0BE9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</w:t>
            </w:r>
          </w:p>
        </w:tc>
      </w:tr>
      <w:tr w:rsidR="00305DD0" w:rsidRPr="00127000" w14:paraId="4717577C" w14:textId="77777777" w:rsidTr="001933DE">
        <w:trPr>
          <w:trHeight w:val="509"/>
        </w:trPr>
        <w:tc>
          <w:tcPr>
            <w:tcW w:w="2380" w:type="dxa"/>
            <w:vMerge/>
            <w:shd w:val="clear" w:color="auto" w:fill="D9D9D9" w:themeFill="background1" w:themeFillShade="D9"/>
            <w:hideMark/>
          </w:tcPr>
          <w:p w14:paraId="36D4A434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shd w:val="clear" w:color="auto" w:fill="D9D9D9" w:themeFill="background1" w:themeFillShade="D9"/>
            <w:noWrap/>
            <w:hideMark/>
          </w:tcPr>
          <w:p w14:paraId="16AC26D3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hideMark/>
          </w:tcPr>
          <w:p w14:paraId="655A2E83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hideMark/>
          </w:tcPr>
          <w:p w14:paraId="4FB74AD4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hideMark/>
          </w:tcPr>
          <w:p w14:paraId="45BE8ECB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hideMark/>
          </w:tcPr>
          <w:p w14:paraId="3A78CB2D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305DD0" w:rsidRPr="00127000" w14:paraId="5700D809" w14:textId="77777777" w:rsidTr="001933DE">
        <w:trPr>
          <w:trHeight w:val="509"/>
        </w:trPr>
        <w:tc>
          <w:tcPr>
            <w:tcW w:w="2380" w:type="dxa"/>
            <w:vMerge/>
            <w:shd w:val="clear" w:color="auto" w:fill="D9D9D9" w:themeFill="background1" w:themeFillShade="D9"/>
            <w:hideMark/>
          </w:tcPr>
          <w:p w14:paraId="65841D9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D9D9D9" w:themeFill="background1" w:themeFillShade="D9"/>
            <w:hideMark/>
          </w:tcPr>
          <w:p w14:paraId="18701920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1F80B05A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26FA2A5D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6637F811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0C348C8E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DD0" w:rsidRPr="00127000" w14:paraId="272B89DF" w14:textId="77777777" w:rsidTr="001933DE">
        <w:trPr>
          <w:trHeight w:val="509"/>
        </w:trPr>
        <w:tc>
          <w:tcPr>
            <w:tcW w:w="2380" w:type="dxa"/>
            <w:vMerge/>
            <w:shd w:val="clear" w:color="auto" w:fill="D9D9D9" w:themeFill="background1" w:themeFillShade="D9"/>
            <w:hideMark/>
          </w:tcPr>
          <w:p w14:paraId="566CB0CD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D9D9D9" w:themeFill="background1" w:themeFillShade="D9"/>
            <w:hideMark/>
          </w:tcPr>
          <w:p w14:paraId="22C79904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5E46018C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3EB6428F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71243499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1502CAD2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DD0" w:rsidRPr="00127000" w14:paraId="7659945F" w14:textId="77777777" w:rsidTr="001933DE">
        <w:trPr>
          <w:trHeight w:val="509"/>
        </w:trPr>
        <w:tc>
          <w:tcPr>
            <w:tcW w:w="2380" w:type="dxa"/>
            <w:vMerge/>
            <w:shd w:val="clear" w:color="auto" w:fill="D9D9D9" w:themeFill="background1" w:themeFillShade="D9"/>
            <w:hideMark/>
          </w:tcPr>
          <w:p w14:paraId="4C54F099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D9D9D9" w:themeFill="background1" w:themeFillShade="D9"/>
            <w:hideMark/>
          </w:tcPr>
          <w:p w14:paraId="719F0D73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7DD3D5E2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42C1288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073C8C6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hideMark/>
          </w:tcPr>
          <w:p w14:paraId="38E2F83A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DD0" w:rsidRPr="00127000" w14:paraId="5F69AAD0" w14:textId="77777777" w:rsidTr="001933DE">
        <w:trPr>
          <w:trHeight w:val="300"/>
        </w:trPr>
        <w:tc>
          <w:tcPr>
            <w:tcW w:w="2380" w:type="dxa"/>
            <w:vMerge/>
            <w:shd w:val="clear" w:color="auto" w:fill="D9D9D9" w:themeFill="background1" w:themeFillShade="D9"/>
            <w:hideMark/>
          </w:tcPr>
          <w:p w14:paraId="659DEF6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shd w:val="clear" w:color="auto" w:fill="D9D9D9" w:themeFill="background1" w:themeFillShade="D9"/>
            <w:noWrap/>
            <w:hideMark/>
          </w:tcPr>
          <w:p w14:paraId="76F63C06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liczbach bezwzględnych</w:t>
            </w:r>
          </w:p>
        </w:tc>
      </w:tr>
      <w:tr w:rsidR="00305DD0" w:rsidRPr="00127000" w14:paraId="7170D709" w14:textId="77777777" w:rsidTr="00305DD0">
        <w:trPr>
          <w:trHeight w:val="300"/>
        </w:trPr>
        <w:tc>
          <w:tcPr>
            <w:tcW w:w="2380" w:type="dxa"/>
            <w:hideMark/>
          </w:tcPr>
          <w:p w14:paraId="73CAD87B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Art.189a §1 kk</w:t>
            </w:r>
          </w:p>
        </w:tc>
        <w:tc>
          <w:tcPr>
            <w:tcW w:w="820" w:type="dxa"/>
            <w:noWrap/>
            <w:hideMark/>
          </w:tcPr>
          <w:p w14:paraId="47DFEE9A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6    </w:t>
            </w:r>
          </w:p>
        </w:tc>
        <w:tc>
          <w:tcPr>
            <w:tcW w:w="995" w:type="dxa"/>
            <w:noWrap/>
            <w:hideMark/>
          </w:tcPr>
          <w:p w14:paraId="74D176F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15    </w:t>
            </w:r>
          </w:p>
        </w:tc>
        <w:tc>
          <w:tcPr>
            <w:tcW w:w="995" w:type="dxa"/>
            <w:noWrap/>
            <w:hideMark/>
          </w:tcPr>
          <w:p w14:paraId="22CDC696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16    </w:t>
            </w:r>
          </w:p>
        </w:tc>
        <w:tc>
          <w:tcPr>
            <w:tcW w:w="995" w:type="dxa"/>
            <w:noWrap/>
            <w:hideMark/>
          </w:tcPr>
          <w:p w14:paraId="4B482ED9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12    </w:t>
            </w:r>
          </w:p>
        </w:tc>
        <w:tc>
          <w:tcPr>
            <w:tcW w:w="995" w:type="dxa"/>
            <w:noWrap/>
            <w:hideMark/>
          </w:tcPr>
          <w:p w14:paraId="2B3A2A2D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 9    </w:t>
            </w:r>
          </w:p>
        </w:tc>
      </w:tr>
      <w:tr w:rsidR="00305DD0" w:rsidRPr="00127000" w14:paraId="72F48492" w14:textId="77777777" w:rsidTr="00305DD0">
        <w:trPr>
          <w:trHeight w:val="300"/>
        </w:trPr>
        <w:tc>
          <w:tcPr>
            <w:tcW w:w="2380" w:type="dxa"/>
            <w:noWrap/>
            <w:hideMark/>
          </w:tcPr>
          <w:p w14:paraId="10F67A8B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Art.189a §2 kk</w:t>
            </w:r>
          </w:p>
        </w:tc>
        <w:tc>
          <w:tcPr>
            <w:tcW w:w="820" w:type="dxa"/>
            <w:noWrap/>
            <w:hideMark/>
          </w:tcPr>
          <w:p w14:paraId="5AC7ED27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-    </w:t>
            </w:r>
          </w:p>
        </w:tc>
        <w:tc>
          <w:tcPr>
            <w:tcW w:w="995" w:type="dxa"/>
            <w:noWrap/>
            <w:hideMark/>
          </w:tcPr>
          <w:p w14:paraId="42E1D606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 1    </w:t>
            </w:r>
          </w:p>
        </w:tc>
        <w:tc>
          <w:tcPr>
            <w:tcW w:w="995" w:type="dxa"/>
            <w:noWrap/>
            <w:hideMark/>
          </w:tcPr>
          <w:p w14:paraId="6CDC6A63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 -    </w:t>
            </w:r>
          </w:p>
        </w:tc>
        <w:tc>
          <w:tcPr>
            <w:tcW w:w="995" w:type="dxa"/>
            <w:noWrap/>
            <w:hideMark/>
          </w:tcPr>
          <w:p w14:paraId="5EEA395F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 -    </w:t>
            </w:r>
          </w:p>
        </w:tc>
        <w:tc>
          <w:tcPr>
            <w:tcW w:w="995" w:type="dxa"/>
            <w:noWrap/>
            <w:hideMark/>
          </w:tcPr>
          <w:p w14:paraId="5AA7D072" w14:textId="77777777" w:rsidR="00305DD0" w:rsidRPr="00127000" w:rsidRDefault="00305DD0" w:rsidP="00C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         -    </w:t>
            </w:r>
          </w:p>
        </w:tc>
      </w:tr>
    </w:tbl>
    <w:p w14:paraId="298EC91B" w14:textId="77777777" w:rsidR="0016769F" w:rsidRPr="00127000" w:rsidRDefault="0016769F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6769F" w:rsidRPr="001270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5D238" w14:textId="77777777" w:rsidR="00F86E08" w:rsidRPr="00F86E08" w:rsidRDefault="00F86E08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E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Dotyczy par. 1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</w:p>
    <w:p w14:paraId="711E9E22" w14:textId="77777777" w:rsidR="0016769F" w:rsidRPr="00127000" w:rsidRDefault="00EE5870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Skazania w I instancji w sądach okręgowych według rodzajów przestępstw</w:t>
      </w:r>
    </w:p>
    <w:tbl>
      <w:tblPr>
        <w:tblpPr w:leftFromText="141" w:rightFromText="141" w:vertAnchor="text" w:horzAnchor="margin" w:tblpY="190"/>
        <w:tblW w:w="13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108"/>
        <w:gridCol w:w="1190"/>
        <w:gridCol w:w="676"/>
        <w:gridCol w:w="548"/>
        <w:gridCol w:w="548"/>
        <w:gridCol w:w="548"/>
        <w:gridCol w:w="831"/>
        <w:gridCol w:w="420"/>
        <w:gridCol w:w="548"/>
        <w:gridCol w:w="420"/>
        <w:gridCol w:w="831"/>
        <w:gridCol w:w="420"/>
        <w:gridCol w:w="548"/>
        <w:gridCol w:w="420"/>
        <w:gridCol w:w="831"/>
        <w:gridCol w:w="548"/>
        <w:gridCol w:w="831"/>
        <w:gridCol w:w="548"/>
        <w:gridCol w:w="548"/>
        <w:gridCol w:w="892"/>
      </w:tblGrid>
      <w:tr w:rsidR="0016769F" w:rsidRPr="00127000" w14:paraId="7CCD1D3D" w14:textId="77777777" w:rsidTr="0016769F">
        <w:trPr>
          <w:trHeight w:val="65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57EDB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Lata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05ED0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Skazani, odstąpienia ogółem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247CD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Dożywotnie pozbawienie wolności</w:t>
            </w:r>
          </w:p>
        </w:tc>
        <w:tc>
          <w:tcPr>
            <w:tcW w:w="100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94F3A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Pozbawienie wolności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1300C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Inne skazania</w:t>
            </w:r>
          </w:p>
        </w:tc>
      </w:tr>
      <w:tr w:rsidR="0016769F" w:rsidRPr="00127000" w14:paraId="5ABF27AA" w14:textId="77777777" w:rsidTr="0016769F">
        <w:trPr>
          <w:trHeight w:val="6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A80A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3A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F5A8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10806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razem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2BD876D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131BE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do 2 lat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4DE3B5D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8237E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powyżej 2 lat poniżej 3 lat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3968845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67D55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3 lata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B32FD8B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5AB43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powyżej 3 lat poniżej 5 lat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BF82D83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6E451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5 lat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CA1B64A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w  tym z warunkowym zawieszeniem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B1DEF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powyżej 5 lat poniżej 8 lat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826A0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8 lat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EA8EF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powyżej 8 lat poniżej 15 lat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3A660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15 lat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8AA4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25 lat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D8049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</w:tr>
      <w:tr w:rsidR="0016769F" w:rsidRPr="00127000" w14:paraId="696F1925" w14:textId="77777777" w:rsidTr="0016769F">
        <w:trPr>
          <w:trHeight w:val="6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98F8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57BC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1AB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43B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12E47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9241F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B9A4C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B11B3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2F3CB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F7E93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7A058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CF5318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394C3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EDCE6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D3825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FE66B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75DD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76861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C2D5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3AC0E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C8C4C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</w:tr>
      <w:tr w:rsidR="0016769F" w:rsidRPr="00127000" w14:paraId="2F93B892" w14:textId="77777777" w:rsidTr="0016769F">
        <w:trPr>
          <w:trHeight w:val="6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2F7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C79B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520A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1FD1B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7ECD8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60AF0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E656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47CC1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2C045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6EDD5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EEB42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40583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457D1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9D5FA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2A4C5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0850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3AA5F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BD907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1A534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B968D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B972E" w14:textId="77777777" w:rsidR="0016769F" w:rsidRPr="00127000" w:rsidRDefault="0016769F" w:rsidP="00C9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</w:p>
        </w:tc>
      </w:tr>
      <w:tr w:rsidR="0016769F" w:rsidRPr="00127000" w14:paraId="35A638D6" w14:textId="77777777" w:rsidTr="0016769F">
        <w:trPr>
          <w:trHeight w:val="6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26E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42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13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0C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32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0D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79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7C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764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FF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25D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88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5F0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DAD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FB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1B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1F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30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93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E6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1B1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</w:tr>
      <w:tr w:rsidR="0016769F" w:rsidRPr="00127000" w14:paraId="685ECFA8" w14:textId="77777777" w:rsidTr="0016769F">
        <w:trPr>
          <w:trHeight w:val="6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2CC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9C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65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81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BB1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6E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F3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4DA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5F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E0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3BD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F0C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A7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03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5C0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E7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90C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59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EE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91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C6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16769F" w:rsidRPr="00127000" w14:paraId="66B442E6" w14:textId="77777777" w:rsidTr="0016769F">
        <w:trPr>
          <w:trHeight w:val="6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5D3D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4A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C5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4AA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CE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84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37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D8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54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83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DF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61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EC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E0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6E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A0B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C5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114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A9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F6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3E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</w:tr>
      <w:tr w:rsidR="0016769F" w:rsidRPr="00127000" w14:paraId="6367D99F" w14:textId="77777777" w:rsidTr="0016769F">
        <w:trPr>
          <w:trHeight w:val="6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8EB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068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91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C8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66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08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22C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82C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63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07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F9A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4C1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2B2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B14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9B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F6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0CA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56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D7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9B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104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</w:tr>
      <w:tr w:rsidR="0016769F" w:rsidRPr="00127000" w14:paraId="2A4FD77B" w14:textId="77777777" w:rsidTr="0016769F">
        <w:trPr>
          <w:trHeight w:val="6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A6E" w14:textId="77777777" w:rsidR="0016769F" w:rsidRPr="00127000" w:rsidRDefault="0016769F" w:rsidP="00C9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67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305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91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BC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1E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A5A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15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514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09F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460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760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B7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716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9A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977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FC1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40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019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F53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0BE" w14:textId="77777777" w:rsidR="0016769F" w:rsidRPr="00127000" w:rsidRDefault="0016769F" w:rsidP="00C93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</w:tbl>
    <w:p w14:paraId="540A54D6" w14:textId="77777777" w:rsidR="0016769F" w:rsidRPr="00127000" w:rsidRDefault="0016769F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576B3" w14:textId="77777777" w:rsidR="0016769F" w:rsidRPr="00127000" w:rsidRDefault="0016769F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6769F" w:rsidRPr="00127000" w:rsidSect="0016769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E878C83" w14:textId="77777777" w:rsidR="00323923" w:rsidRPr="00F86E08" w:rsidRDefault="00323923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E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Dotyczy par. 1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</w:p>
    <w:p w14:paraId="61267579" w14:textId="77777777" w:rsidR="002D4D28" w:rsidRPr="00127000" w:rsidRDefault="002D4D28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00">
        <w:rPr>
          <w:rFonts w:ascii="Times New Roman" w:hAnsi="Times New Roman" w:cs="Times New Roman"/>
          <w:b/>
          <w:sz w:val="24"/>
          <w:szCs w:val="24"/>
        </w:rPr>
        <w:t>Liczba orzekających sędziów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0"/>
        <w:gridCol w:w="2810"/>
      </w:tblGrid>
      <w:tr w:rsidR="002D4D28" w:rsidRPr="00127000" w14:paraId="126E8210" w14:textId="77777777" w:rsidTr="00DB0CF4">
        <w:trPr>
          <w:trHeight w:val="276"/>
        </w:trPr>
        <w:tc>
          <w:tcPr>
            <w:tcW w:w="2810" w:type="dxa"/>
            <w:shd w:val="clear" w:color="auto" w:fill="D9D9D9" w:themeFill="background1" w:themeFillShade="D9"/>
          </w:tcPr>
          <w:p w14:paraId="1B7594C7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14:paraId="08D94667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sz w:val="24"/>
                <w:szCs w:val="24"/>
              </w:rPr>
              <w:t>L. sędziów</w:t>
            </w:r>
          </w:p>
        </w:tc>
      </w:tr>
      <w:tr w:rsidR="002D4D28" w:rsidRPr="00127000" w14:paraId="2F41EFED" w14:textId="77777777" w:rsidTr="00DB0CF4">
        <w:trPr>
          <w:trHeight w:val="276"/>
        </w:trPr>
        <w:tc>
          <w:tcPr>
            <w:tcW w:w="2810" w:type="dxa"/>
          </w:tcPr>
          <w:p w14:paraId="34804C79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10" w:type="dxa"/>
          </w:tcPr>
          <w:p w14:paraId="39027B53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9921</w:t>
            </w:r>
          </w:p>
        </w:tc>
      </w:tr>
      <w:tr w:rsidR="002D4D28" w:rsidRPr="00127000" w14:paraId="5F45A006" w14:textId="77777777" w:rsidTr="00DB0CF4">
        <w:trPr>
          <w:trHeight w:val="261"/>
        </w:trPr>
        <w:tc>
          <w:tcPr>
            <w:tcW w:w="2810" w:type="dxa"/>
          </w:tcPr>
          <w:p w14:paraId="0F9E2999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10" w:type="dxa"/>
          </w:tcPr>
          <w:p w14:paraId="41AE8589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9924</w:t>
            </w:r>
          </w:p>
        </w:tc>
      </w:tr>
      <w:tr w:rsidR="002D4D28" w:rsidRPr="00127000" w14:paraId="7AB9E65C" w14:textId="77777777" w:rsidTr="00DB0CF4">
        <w:trPr>
          <w:trHeight w:val="276"/>
        </w:trPr>
        <w:tc>
          <w:tcPr>
            <w:tcW w:w="2810" w:type="dxa"/>
          </w:tcPr>
          <w:p w14:paraId="0D18FC6C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10" w:type="dxa"/>
          </w:tcPr>
          <w:p w14:paraId="1298607A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9944</w:t>
            </w:r>
          </w:p>
        </w:tc>
      </w:tr>
      <w:tr w:rsidR="002D4D28" w:rsidRPr="00127000" w14:paraId="79B4F30B" w14:textId="77777777" w:rsidTr="00DB0CF4">
        <w:trPr>
          <w:trHeight w:val="261"/>
        </w:trPr>
        <w:tc>
          <w:tcPr>
            <w:tcW w:w="2810" w:type="dxa"/>
          </w:tcPr>
          <w:p w14:paraId="48C7408C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10" w:type="dxa"/>
          </w:tcPr>
          <w:p w14:paraId="1F040EB5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9958</w:t>
            </w:r>
          </w:p>
        </w:tc>
      </w:tr>
      <w:tr w:rsidR="002D4D28" w:rsidRPr="00127000" w14:paraId="3C9CCC30" w14:textId="77777777" w:rsidTr="00DB0CF4">
        <w:trPr>
          <w:trHeight w:val="276"/>
        </w:trPr>
        <w:tc>
          <w:tcPr>
            <w:tcW w:w="2810" w:type="dxa"/>
          </w:tcPr>
          <w:p w14:paraId="2DDCDD2A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10" w:type="dxa"/>
          </w:tcPr>
          <w:p w14:paraId="0D1D6AF4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9908</w:t>
            </w:r>
          </w:p>
        </w:tc>
      </w:tr>
      <w:tr w:rsidR="002D4D28" w:rsidRPr="00127000" w14:paraId="3DE3EA9C" w14:textId="77777777" w:rsidTr="00DB0CF4">
        <w:trPr>
          <w:trHeight w:val="276"/>
        </w:trPr>
        <w:tc>
          <w:tcPr>
            <w:tcW w:w="2810" w:type="dxa"/>
          </w:tcPr>
          <w:p w14:paraId="66521418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10" w:type="dxa"/>
          </w:tcPr>
          <w:p w14:paraId="75D9C192" w14:textId="77777777" w:rsidR="002D4D28" w:rsidRPr="00127000" w:rsidRDefault="002D4D28" w:rsidP="00C9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</w:tr>
    </w:tbl>
    <w:p w14:paraId="6BAC4427" w14:textId="77777777" w:rsidR="00DA7756" w:rsidRDefault="00DA7756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F7212" w14:textId="77777777" w:rsidR="00DA7756" w:rsidRPr="00DA7756" w:rsidRDefault="00DA7756" w:rsidP="00C938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Dotyczy par. 1</w:t>
      </w:r>
      <w:r w:rsidR="0007580E"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6"/>
        <w:gridCol w:w="696"/>
        <w:gridCol w:w="696"/>
        <w:gridCol w:w="696"/>
        <w:gridCol w:w="696"/>
        <w:gridCol w:w="696"/>
      </w:tblGrid>
      <w:tr w:rsidR="009650EC" w:rsidRPr="00127000" w14:paraId="12403A4A" w14:textId="77777777" w:rsidTr="006C5933">
        <w:trPr>
          <w:trHeight w:val="315"/>
        </w:trPr>
        <w:tc>
          <w:tcPr>
            <w:tcW w:w="1976" w:type="dxa"/>
            <w:vMerge w:val="restart"/>
            <w:shd w:val="clear" w:color="auto" w:fill="D9D9D9" w:themeFill="background1" w:themeFillShade="D9"/>
            <w:hideMark/>
          </w:tcPr>
          <w:p w14:paraId="2D87F794" w14:textId="77777777" w:rsidR="009650EC" w:rsidRPr="00127000" w:rsidRDefault="009650EC" w:rsidP="00C938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Wyszczególnienie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5431B6D7" w14:textId="77777777" w:rsidR="009650EC" w:rsidRPr="00127000" w:rsidRDefault="009650EC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LATA</w:t>
            </w:r>
          </w:p>
        </w:tc>
      </w:tr>
      <w:tr w:rsidR="001E7720" w:rsidRPr="00127000" w14:paraId="4E520C17" w14:textId="77777777" w:rsidTr="006C5933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4508D6BD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7F22F0CA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noWrap/>
            <w:hideMark/>
          </w:tcPr>
          <w:p w14:paraId="7A7C774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13F9EA58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759FE0F2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696" w:type="dxa"/>
            <w:vMerge w:val="restart"/>
            <w:shd w:val="clear" w:color="auto" w:fill="D9D9D9" w:themeFill="background1" w:themeFillShade="D9"/>
            <w:hideMark/>
          </w:tcPr>
          <w:p w14:paraId="11859FD9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1E7720" w:rsidRPr="00127000" w14:paraId="0F6E7AAA" w14:textId="77777777" w:rsidTr="006C5933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3CA6BA67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6349D868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3000991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537BB5D9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BFC2C2F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437E590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720" w:rsidRPr="00127000" w14:paraId="48CE4F0E" w14:textId="77777777" w:rsidTr="006C5933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1C648BD3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5854DCB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AA53C9D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401339D6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3C9EA8AD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2DB9B7D6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720" w:rsidRPr="00127000" w14:paraId="0912E2AB" w14:textId="77777777" w:rsidTr="006C5933">
        <w:trPr>
          <w:trHeight w:val="509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2DBB9C69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116C3732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7F8E44D7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0FF3D77B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189E4867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D9D9D9" w:themeFill="background1" w:themeFillShade="D9"/>
            <w:hideMark/>
          </w:tcPr>
          <w:p w14:paraId="0B4C4C2C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50EC" w:rsidRPr="00127000" w14:paraId="438DE3EE" w14:textId="77777777" w:rsidTr="006C5933">
        <w:trPr>
          <w:trHeight w:val="300"/>
        </w:trPr>
        <w:tc>
          <w:tcPr>
            <w:tcW w:w="1976" w:type="dxa"/>
            <w:vMerge/>
            <w:shd w:val="clear" w:color="auto" w:fill="D9D9D9" w:themeFill="background1" w:themeFillShade="D9"/>
            <w:hideMark/>
          </w:tcPr>
          <w:p w14:paraId="348E73D1" w14:textId="77777777" w:rsidR="009650EC" w:rsidRPr="00127000" w:rsidRDefault="009650EC" w:rsidP="00C9380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noWrap/>
            <w:hideMark/>
          </w:tcPr>
          <w:p w14:paraId="57FDED85" w14:textId="77777777" w:rsidR="009650EC" w:rsidRPr="00127000" w:rsidRDefault="009650EC" w:rsidP="00C9380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iCs/>
                <w:sz w:val="24"/>
                <w:szCs w:val="24"/>
              </w:rPr>
              <w:t>w liczbach bezwzględnych</w:t>
            </w:r>
          </w:p>
        </w:tc>
      </w:tr>
      <w:tr w:rsidR="001E7720" w:rsidRPr="00127000" w14:paraId="0252FBD9" w14:textId="77777777" w:rsidTr="003D7C9C">
        <w:trPr>
          <w:trHeight w:val="405"/>
        </w:trPr>
        <w:tc>
          <w:tcPr>
            <w:tcW w:w="1976" w:type="dxa"/>
            <w:hideMark/>
          </w:tcPr>
          <w:p w14:paraId="356DE86B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Art.212 §1 kk              </w:t>
            </w:r>
          </w:p>
        </w:tc>
        <w:tc>
          <w:tcPr>
            <w:tcW w:w="696" w:type="dxa"/>
            <w:noWrap/>
            <w:hideMark/>
          </w:tcPr>
          <w:p w14:paraId="547A2B3C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96" w:type="dxa"/>
            <w:noWrap/>
            <w:hideMark/>
          </w:tcPr>
          <w:p w14:paraId="6DD978E2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6" w:type="dxa"/>
            <w:noWrap/>
            <w:hideMark/>
          </w:tcPr>
          <w:p w14:paraId="4AFF5902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  <w:noWrap/>
            <w:hideMark/>
          </w:tcPr>
          <w:p w14:paraId="41067293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96" w:type="dxa"/>
            <w:noWrap/>
            <w:hideMark/>
          </w:tcPr>
          <w:p w14:paraId="2F664AD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7720" w:rsidRPr="00127000" w14:paraId="307C2FB6" w14:textId="77777777" w:rsidTr="003D7C9C">
        <w:trPr>
          <w:trHeight w:val="300"/>
        </w:trPr>
        <w:tc>
          <w:tcPr>
            <w:tcW w:w="1976" w:type="dxa"/>
            <w:hideMark/>
          </w:tcPr>
          <w:p w14:paraId="4494551A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Art.212 §2 kk              </w:t>
            </w:r>
          </w:p>
        </w:tc>
        <w:tc>
          <w:tcPr>
            <w:tcW w:w="696" w:type="dxa"/>
            <w:noWrap/>
            <w:hideMark/>
          </w:tcPr>
          <w:p w14:paraId="099192C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noWrap/>
            <w:hideMark/>
          </w:tcPr>
          <w:p w14:paraId="30B99079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  <w:noWrap/>
            <w:hideMark/>
          </w:tcPr>
          <w:p w14:paraId="59E84F2B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  <w:noWrap/>
            <w:hideMark/>
          </w:tcPr>
          <w:p w14:paraId="4031FCF6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noWrap/>
            <w:hideMark/>
          </w:tcPr>
          <w:p w14:paraId="58C24920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7720" w:rsidRPr="00127000" w14:paraId="7603AAC8" w14:textId="77777777" w:rsidTr="003D7C9C">
        <w:trPr>
          <w:trHeight w:val="315"/>
        </w:trPr>
        <w:tc>
          <w:tcPr>
            <w:tcW w:w="1976" w:type="dxa"/>
            <w:hideMark/>
          </w:tcPr>
          <w:p w14:paraId="273F1FDA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 xml:space="preserve">Art.212 §3 kk              </w:t>
            </w:r>
          </w:p>
        </w:tc>
        <w:tc>
          <w:tcPr>
            <w:tcW w:w="696" w:type="dxa"/>
            <w:noWrap/>
            <w:hideMark/>
          </w:tcPr>
          <w:p w14:paraId="3BB5B3A8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  <w:noWrap/>
            <w:hideMark/>
          </w:tcPr>
          <w:p w14:paraId="44B9F61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D23BEAE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4F56F49F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noWrap/>
            <w:hideMark/>
          </w:tcPr>
          <w:p w14:paraId="55F368AD" w14:textId="77777777" w:rsidR="001E7720" w:rsidRPr="00127000" w:rsidRDefault="001E7720" w:rsidP="00C9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5BBB71E" w14:textId="77777777" w:rsidR="00C72FF2" w:rsidRPr="00127000" w:rsidRDefault="00C72FF2" w:rsidP="00C9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CA223" w14:textId="77777777" w:rsidR="000267CE" w:rsidRPr="00127000" w:rsidRDefault="000267CE" w:rsidP="00C9380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7000">
        <w:rPr>
          <w:rFonts w:ascii="Times New Roman" w:hAnsi="Times New Roman" w:cs="Times New Roman"/>
          <w:i/>
          <w:sz w:val="20"/>
          <w:szCs w:val="20"/>
        </w:rPr>
        <w:t>Kodeks karny</w:t>
      </w:r>
    </w:p>
    <w:p w14:paraId="1B94E0F3" w14:textId="77777777" w:rsidR="00C72FF2" w:rsidRPr="00127000" w:rsidRDefault="00C72FF2" w:rsidP="00C9380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000">
        <w:rPr>
          <w:rFonts w:ascii="Times New Roman" w:hAnsi="Times New Roman" w:cs="Times New Roman"/>
          <w:b/>
          <w:sz w:val="20"/>
          <w:szCs w:val="20"/>
        </w:rPr>
        <w:t>Art. 212.</w:t>
      </w:r>
      <w:r w:rsidRPr="00127000">
        <w:rPr>
          <w:rFonts w:ascii="Times New Roman" w:hAnsi="Times New Roman" w:cs="Times New Roman"/>
          <w:sz w:val="20"/>
          <w:szCs w:val="20"/>
        </w:rPr>
        <w:t xml:space="preserve"> § 1. Kto pomawia inną osobę, grupę osób, instytucję, osobę prawną lub jednostkę organizacyjną niemającą osobowości prawnej o takie postępowanie lub właściwości, które mogą poniżyć ją w opinii publicznej lub narazić na utratę zaufania potrzebnego dla danego stanowiska, zawodu lub rodzaju działalności, podlega grzywnie albo karze ograniczenia wolności.</w:t>
      </w:r>
    </w:p>
    <w:p w14:paraId="398681A6" w14:textId="77777777" w:rsidR="00C72FF2" w:rsidRPr="00127000" w:rsidRDefault="00C72FF2" w:rsidP="00C9380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000">
        <w:rPr>
          <w:rFonts w:ascii="Times New Roman" w:hAnsi="Times New Roman" w:cs="Times New Roman"/>
          <w:sz w:val="20"/>
          <w:szCs w:val="20"/>
        </w:rPr>
        <w:t>§ 2. Jeżeli sprawca dopuszcza się czynu określonego w § 1 za pomocą środków masowego komunikowania, podlega grzywnie, karze ograniczenia wolności albo pozbawienia wolności do roku.</w:t>
      </w:r>
    </w:p>
    <w:p w14:paraId="7828A00F" w14:textId="77777777" w:rsidR="00C72FF2" w:rsidRPr="00127000" w:rsidRDefault="00C72FF2" w:rsidP="00C9380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000">
        <w:rPr>
          <w:rFonts w:ascii="Times New Roman" w:hAnsi="Times New Roman" w:cs="Times New Roman"/>
          <w:sz w:val="20"/>
          <w:szCs w:val="20"/>
        </w:rPr>
        <w:t>§ 3. W razie skazania za przestępstwo określone w § 1 lub 2 sąd może orzec nawiązkę na rzecz pokrzywdzonego, Polskiego Czerwonego Krzyża albo na inny cel społeczny wskazany przez pokrzywdzonego.</w:t>
      </w:r>
    </w:p>
    <w:p w14:paraId="499148B9" w14:textId="77777777" w:rsidR="00C72FF2" w:rsidRPr="00127000" w:rsidRDefault="00C72FF2" w:rsidP="00C9380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000">
        <w:rPr>
          <w:rFonts w:ascii="Times New Roman" w:hAnsi="Times New Roman" w:cs="Times New Roman"/>
          <w:sz w:val="20"/>
          <w:szCs w:val="20"/>
        </w:rPr>
        <w:t>§ 4. Ściganie przestępstwa określonego w § 1 lub 2 odbywa się z oskarżenia prywatnego.</w:t>
      </w:r>
    </w:p>
    <w:sectPr w:rsidR="00C72FF2" w:rsidRPr="0012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0B39" w14:textId="77777777" w:rsidR="0046734A" w:rsidRDefault="0046734A" w:rsidP="00462C8E">
      <w:pPr>
        <w:spacing w:after="0" w:line="240" w:lineRule="auto"/>
      </w:pPr>
      <w:r>
        <w:separator/>
      </w:r>
    </w:p>
  </w:endnote>
  <w:endnote w:type="continuationSeparator" w:id="0">
    <w:p w14:paraId="191DC8B5" w14:textId="77777777" w:rsidR="0046734A" w:rsidRDefault="0046734A" w:rsidP="0046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CDE7" w14:textId="77777777" w:rsidR="0046734A" w:rsidRDefault="0046734A" w:rsidP="00462C8E">
      <w:pPr>
        <w:spacing w:after="0" w:line="240" w:lineRule="auto"/>
      </w:pPr>
      <w:r>
        <w:separator/>
      </w:r>
    </w:p>
  </w:footnote>
  <w:footnote w:type="continuationSeparator" w:id="0">
    <w:p w14:paraId="668E3541" w14:textId="77777777" w:rsidR="0046734A" w:rsidRDefault="0046734A" w:rsidP="00462C8E">
      <w:pPr>
        <w:spacing w:after="0" w:line="240" w:lineRule="auto"/>
      </w:pPr>
      <w:r>
        <w:continuationSeparator/>
      </w:r>
    </w:p>
  </w:footnote>
  <w:footnote w:id="1">
    <w:p w14:paraId="2C46CC04" w14:textId="77777777" w:rsidR="00C055BF" w:rsidRPr="00DF2C59" w:rsidRDefault="00C055BF" w:rsidP="00DF2C59">
      <w:pPr>
        <w:pStyle w:val="Tekstprzypisudolnego"/>
        <w:jc w:val="both"/>
        <w:rPr>
          <w:rFonts w:ascii="Times New Roman" w:hAnsi="Times New Roman" w:cs="Times New Roman"/>
        </w:rPr>
      </w:pPr>
      <w:r w:rsidRPr="00DF2C59">
        <w:rPr>
          <w:rStyle w:val="Odwoanieprzypisudolnego"/>
          <w:rFonts w:ascii="Times New Roman" w:hAnsi="Times New Roman" w:cs="Times New Roman"/>
        </w:rPr>
        <w:footnoteRef/>
      </w:r>
      <w:r w:rsidRPr="00DF2C59">
        <w:rPr>
          <w:rFonts w:ascii="Times New Roman" w:hAnsi="Times New Roman" w:cs="Times New Roman"/>
        </w:rPr>
        <w:t xml:space="preserve"> Liczba spraw o przestępstwa popełniane z motywów rasistowskich, narodowościowych, etnicznych, wyznaniowych lub z powodu bezwyznaniowości (bez względu na przyjętą kwalifikację prawną czynu)</w:t>
      </w:r>
      <w:r>
        <w:rPr>
          <w:rFonts w:ascii="Times New Roman" w:hAnsi="Times New Roman" w:cs="Times New Roman"/>
        </w:rPr>
        <w:t>. Dane te dotyczą zdarzeń dotykających przedstawicieli różnych grup</w:t>
      </w:r>
      <w:r w:rsidRPr="000C05A9">
        <w:rPr>
          <w:rFonts w:ascii="Times New Roman" w:hAnsi="Times New Roman" w:cs="Times New Roman"/>
        </w:rPr>
        <w:t>,</w:t>
      </w:r>
    </w:p>
  </w:footnote>
  <w:footnote w:id="2">
    <w:p w14:paraId="330D87A7" w14:textId="77777777" w:rsidR="00C055BF" w:rsidRPr="002D7250" w:rsidRDefault="00C055BF" w:rsidP="00462C8E">
      <w:pPr>
        <w:pStyle w:val="Tekstprzypisudolnego"/>
        <w:contextualSpacing/>
        <w:rPr>
          <w:rFonts w:ascii="Times New Roman" w:hAnsi="Times New Roman" w:cs="Times New Roman"/>
          <w:sz w:val="18"/>
          <w:szCs w:val="18"/>
        </w:rPr>
      </w:pPr>
      <w:r w:rsidRPr="002D72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7250">
        <w:rPr>
          <w:rFonts w:ascii="Times New Roman" w:hAnsi="Times New Roman" w:cs="Times New Roman"/>
          <w:sz w:val="18"/>
          <w:szCs w:val="18"/>
        </w:rPr>
        <w:t xml:space="preserve"> Liczba wszczętych postępowań przygotowawczych w danym rok kalendarzowym.   </w:t>
      </w:r>
    </w:p>
  </w:footnote>
  <w:footnote w:id="3">
    <w:p w14:paraId="2919CF1C" w14:textId="77777777" w:rsidR="00C055BF" w:rsidRPr="002D7250" w:rsidRDefault="00C055BF" w:rsidP="00462C8E">
      <w:pPr>
        <w:pStyle w:val="Tekstprzypisudolnego"/>
        <w:contextualSpacing/>
        <w:rPr>
          <w:rFonts w:ascii="Times New Roman" w:hAnsi="Times New Roman" w:cs="Times New Roman"/>
          <w:sz w:val="18"/>
          <w:szCs w:val="18"/>
        </w:rPr>
      </w:pPr>
      <w:r w:rsidRPr="002D72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7250">
        <w:rPr>
          <w:rFonts w:ascii="Times New Roman" w:hAnsi="Times New Roman" w:cs="Times New Roman"/>
          <w:sz w:val="18"/>
          <w:szCs w:val="18"/>
        </w:rPr>
        <w:t xml:space="preserve"> W 2011 r. liczba zarejestrowanych spraw z art. </w:t>
      </w:r>
      <w:smartTag w:uri="urn:schemas-microsoft-com:office:smarttags" w:element="metricconverter">
        <w:smartTagPr>
          <w:attr w:name="ProductID" w:val="189 a"/>
        </w:smartTagPr>
        <w:r w:rsidRPr="002D7250">
          <w:rPr>
            <w:rFonts w:ascii="Times New Roman" w:hAnsi="Times New Roman" w:cs="Times New Roman"/>
            <w:sz w:val="18"/>
            <w:szCs w:val="18"/>
          </w:rPr>
          <w:t>189 a</w:t>
        </w:r>
      </w:smartTag>
      <w:r w:rsidRPr="002D7250">
        <w:rPr>
          <w:rFonts w:ascii="Times New Roman" w:hAnsi="Times New Roman" w:cs="Times New Roman"/>
          <w:sz w:val="18"/>
          <w:szCs w:val="18"/>
        </w:rPr>
        <w:t xml:space="preserve"> § 1 k.k. wynosiła 51, z art. 189 a § 2 </w:t>
      </w:r>
      <w:r w:rsidRPr="002D7250">
        <w:rPr>
          <w:rFonts w:ascii="Times New Roman" w:hAnsi="Times New Roman" w:cs="Times New Roman"/>
          <w:i/>
          <w:sz w:val="18"/>
          <w:szCs w:val="18"/>
        </w:rPr>
        <w:t>kk</w:t>
      </w:r>
      <w:r w:rsidRPr="002D7250">
        <w:rPr>
          <w:rFonts w:ascii="Times New Roman" w:hAnsi="Times New Roman" w:cs="Times New Roman"/>
          <w:sz w:val="18"/>
          <w:szCs w:val="18"/>
        </w:rPr>
        <w:t xml:space="preserve">. – 1. </w:t>
      </w:r>
    </w:p>
  </w:footnote>
  <w:footnote w:id="4">
    <w:p w14:paraId="5E2B3CE9" w14:textId="77777777" w:rsidR="00C055BF" w:rsidRPr="002D7250" w:rsidRDefault="00C055BF" w:rsidP="00462C8E">
      <w:pPr>
        <w:pStyle w:val="Tekstprzypisudolnego"/>
        <w:contextualSpacing/>
        <w:rPr>
          <w:rFonts w:ascii="Times New Roman" w:hAnsi="Times New Roman" w:cs="Times New Roman"/>
          <w:sz w:val="18"/>
          <w:szCs w:val="18"/>
        </w:rPr>
      </w:pPr>
      <w:r w:rsidRPr="002D72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7250">
        <w:rPr>
          <w:rFonts w:ascii="Times New Roman" w:hAnsi="Times New Roman" w:cs="Times New Roman"/>
          <w:sz w:val="18"/>
          <w:szCs w:val="18"/>
        </w:rPr>
        <w:t xml:space="preserve"> W 2012 r. liczba zarejestrowanych spraw z art. </w:t>
      </w:r>
      <w:smartTag w:uri="urn:schemas-microsoft-com:office:smarttags" w:element="metricconverter">
        <w:smartTagPr>
          <w:attr w:name="ProductID" w:val="189 a"/>
        </w:smartTagPr>
        <w:r w:rsidRPr="002D7250">
          <w:rPr>
            <w:rFonts w:ascii="Times New Roman" w:hAnsi="Times New Roman" w:cs="Times New Roman"/>
            <w:sz w:val="18"/>
            <w:szCs w:val="18"/>
          </w:rPr>
          <w:t>189 a</w:t>
        </w:r>
      </w:smartTag>
      <w:r w:rsidRPr="002D7250">
        <w:rPr>
          <w:rFonts w:ascii="Times New Roman" w:hAnsi="Times New Roman" w:cs="Times New Roman"/>
          <w:sz w:val="18"/>
          <w:szCs w:val="18"/>
        </w:rPr>
        <w:t xml:space="preserve"> § 1 k.k. wynosiła 62, z art. </w:t>
      </w:r>
      <w:smartTag w:uri="urn:schemas-microsoft-com:office:smarttags" w:element="metricconverter">
        <w:smartTagPr>
          <w:attr w:name="ProductID" w:val="189 a"/>
        </w:smartTagPr>
        <w:r w:rsidRPr="002D7250">
          <w:rPr>
            <w:rFonts w:ascii="Times New Roman" w:hAnsi="Times New Roman" w:cs="Times New Roman"/>
            <w:sz w:val="18"/>
            <w:szCs w:val="18"/>
          </w:rPr>
          <w:t>189 a</w:t>
        </w:r>
      </w:smartTag>
      <w:r w:rsidRPr="002D7250">
        <w:rPr>
          <w:rFonts w:ascii="Times New Roman" w:hAnsi="Times New Roman" w:cs="Times New Roman"/>
          <w:sz w:val="18"/>
          <w:szCs w:val="18"/>
        </w:rPr>
        <w:t xml:space="preserve"> § 2 </w:t>
      </w:r>
      <w:r w:rsidRPr="002D7250">
        <w:rPr>
          <w:rFonts w:ascii="Times New Roman" w:hAnsi="Times New Roman" w:cs="Times New Roman"/>
          <w:i/>
          <w:sz w:val="18"/>
          <w:szCs w:val="18"/>
        </w:rPr>
        <w:t>kk</w:t>
      </w:r>
      <w:r w:rsidRPr="002D7250">
        <w:rPr>
          <w:rFonts w:ascii="Times New Roman" w:hAnsi="Times New Roman" w:cs="Times New Roman"/>
          <w:sz w:val="18"/>
          <w:szCs w:val="18"/>
        </w:rPr>
        <w:t xml:space="preserve">. – 3. </w:t>
      </w:r>
    </w:p>
  </w:footnote>
  <w:footnote w:id="5">
    <w:p w14:paraId="3BCCAB62" w14:textId="77777777" w:rsidR="00C055BF" w:rsidRPr="002D7250" w:rsidRDefault="00C055BF" w:rsidP="00462C8E">
      <w:pPr>
        <w:pStyle w:val="Tekstprzypisudolnego"/>
        <w:contextualSpacing/>
        <w:rPr>
          <w:rFonts w:ascii="Times New Roman" w:hAnsi="Times New Roman" w:cs="Times New Roman"/>
          <w:sz w:val="18"/>
          <w:szCs w:val="18"/>
        </w:rPr>
      </w:pPr>
      <w:r w:rsidRPr="002D72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7250">
        <w:rPr>
          <w:rFonts w:ascii="Times New Roman" w:hAnsi="Times New Roman" w:cs="Times New Roman"/>
          <w:sz w:val="18"/>
          <w:szCs w:val="18"/>
        </w:rPr>
        <w:t xml:space="preserve"> W 2013 r. liczba zarejestrowanych spraw z art. </w:t>
      </w:r>
      <w:smartTag w:uri="urn:schemas-microsoft-com:office:smarttags" w:element="metricconverter">
        <w:smartTagPr>
          <w:attr w:name="ProductID" w:val="189 a"/>
        </w:smartTagPr>
        <w:r w:rsidRPr="002D7250">
          <w:rPr>
            <w:rFonts w:ascii="Times New Roman" w:hAnsi="Times New Roman" w:cs="Times New Roman"/>
            <w:sz w:val="18"/>
            <w:szCs w:val="18"/>
          </w:rPr>
          <w:t>189 a</w:t>
        </w:r>
      </w:smartTag>
      <w:r w:rsidRPr="002D7250">
        <w:rPr>
          <w:rFonts w:ascii="Times New Roman" w:hAnsi="Times New Roman" w:cs="Times New Roman"/>
          <w:sz w:val="18"/>
          <w:szCs w:val="18"/>
        </w:rPr>
        <w:t xml:space="preserve"> § 1 k.k. wynosiła 54, z art. </w:t>
      </w:r>
      <w:smartTag w:uri="urn:schemas-microsoft-com:office:smarttags" w:element="metricconverter">
        <w:smartTagPr>
          <w:attr w:name="ProductID" w:val="189 a"/>
        </w:smartTagPr>
        <w:r w:rsidRPr="002D7250">
          <w:rPr>
            <w:rFonts w:ascii="Times New Roman" w:hAnsi="Times New Roman" w:cs="Times New Roman"/>
            <w:sz w:val="18"/>
            <w:szCs w:val="18"/>
          </w:rPr>
          <w:t>189 a</w:t>
        </w:r>
      </w:smartTag>
      <w:r w:rsidRPr="002D7250">
        <w:rPr>
          <w:rFonts w:ascii="Times New Roman" w:hAnsi="Times New Roman" w:cs="Times New Roman"/>
          <w:sz w:val="18"/>
          <w:szCs w:val="18"/>
        </w:rPr>
        <w:t xml:space="preserve"> § 2 </w:t>
      </w:r>
      <w:r w:rsidRPr="002D7250">
        <w:rPr>
          <w:rFonts w:ascii="Times New Roman" w:hAnsi="Times New Roman" w:cs="Times New Roman"/>
          <w:i/>
          <w:sz w:val="18"/>
          <w:szCs w:val="18"/>
        </w:rPr>
        <w:t>kk</w:t>
      </w:r>
      <w:r w:rsidRPr="002D7250">
        <w:rPr>
          <w:rFonts w:ascii="Times New Roman" w:hAnsi="Times New Roman" w:cs="Times New Roman"/>
          <w:sz w:val="18"/>
          <w:szCs w:val="18"/>
        </w:rPr>
        <w:t xml:space="preserve">. – 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7506"/>
    <w:multiLevelType w:val="hybridMultilevel"/>
    <w:tmpl w:val="AC9E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F6A98"/>
    <w:multiLevelType w:val="hybridMultilevel"/>
    <w:tmpl w:val="3A565F1A"/>
    <w:lvl w:ilvl="0" w:tplc="A4D6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2E15"/>
    <w:multiLevelType w:val="hybridMultilevel"/>
    <w:tmpl w:val="1938B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205E"/>
    <w:multiLevelType w:val="hybridMultilevel"/>
    <w:tmpl w:val="9394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1CDB"/>
    <w:multiLevelType w:val="hybridMultilevel"/>
    <w:tmpl w:val="A8F4221E"/>
    <w:lvl w:ilvl="0" w:tplc="8706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08"/>
    <w:rsid w:val="00000A69"/>
    <w:rsid w:val="00013795"/>
    <w:rsid w:val="00013B3C"/>
    <w:rsid w:val="00015EAE"/>
    <w:rsid w:val="00016E24"/>
    <w:rsid w:val="000228BC"/>
    <w:rsid w:val="00024989"/>
    <w:rsid w:val="000265B4"/>
    <w:rsid w:val="000267CE"/>
    <w:rsid w:val="00034A23"/>
    <w:rsid w:val="00044211"/>
    <w:rsid w:val="000448E6"/>
    <w:rsid w:val="00050428"/>
    <w:rsid w:val="000556CD"/>
    <w:rsid w:val="000608B2"/>
    <w:rsid w:val="000744E7"/>
    <w:rsid w:val="00074B55"/>
    <w:rsid w:val="0007580E"/>
    <w:rsid w:val="00075BE6"/>
    <w:rsid w:val="0007601D"/>
    <w:rsid w:val="000827FC"/>
    <w:rsid w:val="00083245"/>
    <w:rsid w:val="00086604"/>
    <w:rsid w:val="00094C82"/>
    <w:rsid w:val="000B25CF"/>
    <w:rsid w:val="000B3197"/>
    <w:rsid w:val="000C05A9"/>
    <w:rsid w:val="000C7174"/>
    <w:rsid w:val="000D1A16"/>
    <w:rsid w:val="000E117A"/>
    <w:rsid w:val="00101D6F"/>
    <w:rsid w:val="00104EAE"/>
    <w:rsid w:val="00104EB5"/>
    <w:rsid w:val="00106BCF"/>
    <w:rsid w:val="00110C4D"/>
    <w:rsid w:val="00112332"/>
    <w:rsid w:val="00123873"/>
    <w:rsid w:val="00127000"/>
    <w:rsid w:val="001416DE"/>
    <w:rsid w:val="001453A1"/>
    <w:rsid w:val="001469D2"/>
    <w:rsid w:val="0015205A"/>
    <w:rsid w:val="001555DA"/>
    <w:rsid w:val="00155874"/>
    <w:rsid w:val="00156794"/>
    <w:rsid w:val="001655B1"/>
    <w:rsid w:val="0016769F"/>
    <w:rsid w:val="00167EEA"/>
    <w:rsid w:val="0018305E"/>
    <w:rsid w:val="00185668"/>
    <w:rsid w:val="00190A8E"/>
    <w:rsid w:val="001933DE"/>
    <w:rsid w:val="001A4B15"/>
    <w:rsid w:val="001A6A8F"/>
    <w:rsid w:val="001A78B0"/>
    <w:rsid w:val="001B0D77"/>
    <w:rsid w:val="001B26E7"/>
    <w:rsid w:val="001E3423"/>
    <w:rsid w:val="001E7720"/>
    <w:rsid w:val="001F1938"/>
    <w:rsid w:val="001F4303"/>
    <w:rsid w:val="001F723E"/>
    <w:rsid w:val="0020260D"/>
    <w:rsid w:val="002037CD"/>
    <w:rsid w:val="00213085"/>
    <w:rsid w:val="00221291"/>
    <w:rsid w:val="00224064"/>
    <w:rsid w:val="002257FC"/>
    <w:rsid w:val="00231C89"/>
    <w:rsid w:val="002334CF"/>
    <w:rsid w:val="00233ACA"/>
    <w:rsid w:val="0024083E"/>
    <w:rsid w:val="00244477"/>
    <w:rsid w:val="00254706"/>
    <w:rsid w:val="00257E23"/>
    <w:rsid w:val="00285D6B"/>
    <w:rsid w:val="002A0566"/>
    <w:rsid w:val="002A0AAD"/>
    <w:rsid w:val="002A0EEB"/>
    <w:rsid w:val="002A216B"/>
    <w:rsid w:val="002A4838"/>
    <w:rsid w:val="002B0AB6"/>
    <w:rsid w:val="002C5A94"/>
    <w:rsid w:val="002D4B46"/>
    <w:rsid w:val="002D4C3C"/>
    <w:rsid w:val="002D4D28"/>
    <w:rsid w:val="002F7F95"/>
    <w:rsid w:val="00302504"/>
    <w:rsid w:val="00305DD0"/>
    <w:rsid w:val="00307E2E"/>
    <w:rsid w:val="00310C5D"/>
    <w:rsid w:val="00323923"/>
    <w:rsid w:val="00323DDC"/>
    <w:rsid w:val="003406C4"/>
    <w:rsid w:val="00340BDB"/>
    <w:rsid w:val="00346624"/>
    <w:rsid w:val="00347093"/>
    <w:rsid w:val="00350431"/>
    <w:rsid w:val="003751D0"/>
    <w:rsid w:val="0037778C"/>
    <w:rsid w:val="003868D5"/>
    <w:rsid w:val="00391790"/>
    <w:rsid w:val="003922C4"/>
    <w:rsid w:val="00392CF2"/>
    <w:rsid w:val="003A2C39"/>
    <w:rsid w:val="003A39DA"/>
    <w:rsid w:val="003A3CDA"/>
    <w:rsid w:val="003A7D05"/>
    <w:rsid w:val="003B00BD"/>
    <w:rsid w:val="003B048F"/>
    <w:rsid w:val="003B0A6E"/>
    <w:rsid w:val="003B7217"/>
    <w:rsid w:val="003C2A7C"/>
    <w:rsid w:val="003C64F5"/>
    <w:rsid w:val="003C666C"/>
    <w:rsid w:val="003D7C9C"/>
    <w:rsid w:val="004034B6"/>
    <w:rsid w:val="0040716A"/>
    <w:rsid w:val="00414CF1"/>
    <w:rsid w:val="00423FA8"/>
    <w:rsid w:val="004347C4"/>
    <w:rsid w:val="004368FA"/>
    <w:rsid w:val="0043691A"/>
    <w:rsid w:val="00443550"/>
    <w:rsid w:val="00454F1F"/>
    <w:rsid w:val="004627A4"/>
    <w:rsid w:val="00462C8E"/>
    <w:rsid w:val="0046331E"/>
    <w:rsid w:val="0046734A"/>
    <w:rsid w:val="00476777"/>
    <w:rsid w:val="00484B98"/>
    <w:rsid w:val="004973E1"/>
    <w:rsid w:val="004A2E96"/>
    <w:rsid w:val="004A5A91"/>
    <w:rsid w:val="004B1D15"/>
    <w:rsid w:val="004B1FB0"/>
    <w:rsid w:val="004B3D1A"/>
    <w:rsid w:val="004C085C"/>
    <w:rsid w:val="004D0005"/>
    <w:rsid w:val="004D2B3A"/>
    <w:rsid w:val="004D57E4"/>
    <w:rsid w:val="004F259F"/>
    <w:rsid w:val="0050625C"/>
    <w:rsid w:val="00527BB6"/>
    <w:rsid w:val="005312C6"/>
    <w:rsid w:val="005333C7"/>
    <w:rsid w:val="00535C76"/>
    <w:rsid w:val="00550A3F"/>
    <w:rsid w:val="00550FBF"/>
    <w:rsid w:val="0055133A"/>
    <w:rsid w:val="00552CBB"/>
    <w:rsid w:val="00553226"/>
    <w:rsid w:val="005551A0"/>
    <w:rsid w:val="00562DF6"/>
    <w:rsid w:val="00566B9F"/>
    <w:rsid w:val="00581F84"/>
    <w:rsid w:val="00583D07"/>
    <w:rsid w:val="005849D5"/>
    <w:rsid w:val="005923BB"/>
    <w:rsid w:val="005A67C8"/>
    <w:rsid w:val="005B3F82"/>
    <w:rsid w:val="005C6621"/>
    <w:rsid w:val="005D2687"/>
    <w:rsid w:val="005D6959"/>
    <w:rsid w:val="005E19E7"/>
    <w:rsid w:val="005E2924"/>
    <w:rsid w:val="005E3621"/>
    <w:rsid w:val="005E542B"/>
    <w:rsid w:val="005E671F"/>
    <w:rsid w:val="005F2D09"/>
    <w:rsid w:val="005F34C3"/>
    <w:rsid w:val="006011CA"/>
    <w:rsid w:val="0061129B"/>
    <w:rsid w:val="00615CE3"/>
    <w:rsid w:val="00620E9F"/>
    <w:rsid w:val="00626826"/>
    <w:rsid w:val="0063497D"/>
    <w:rsid w:val="00640580"/>
    <w:rsid w:val="006413F2"/>
    <w:rsid w:val="00645187"/>
    <w:rsid w:val="00647566"/>
    <w:rsid w:val="00653DB4"/>
    <w:rsid w:val="00655BC1"/>
    <w:rsid w:val="00660527"/>
    <w:rsid w:val="006617FB"/>
    <w:rsid w:val="00673C6B"/>
    <w:rsid w:val="006B391C"/>
    <w:rsid w:val="006B7A8A"/>
    <w:rsid w:val="006C06F6"/>
    <w:rsid w:val="006C5933"/>
    <w:rsid w:val="006C76E9"/>
    <w:rsid w:val="006C7DA9"/>
    <w:rsid w:val="006D14C1"/>
    <w:rsid w:val="006D59BE"/>
    <w:rsid w:val="006E75E7"/>
    <w:rsid w:val="006F12D2"/>
    <w:rsid w:val="006F2572"/>
    <w:rsid w:val="006F41A4"/>
    <w:rsid w:val="006F7A70"/>
    <w:rsid w:val="007029F8"/>
    <w:rsid w:val="007100AA"/>
    <w:rsid w:val="007130F2"/>
    <w:rsid w:val="00713DB8"/>
    <w:rsid w:val="00714718"/>
    <w:rsid w:val="00715117"/>
    <w:rsid w:val="007230EB"/>
    <w:rsid w:val="0072432B"/>
    <w:rsid w:val="00726DBB"/>
    <w:rsid w:val="00731986"/>
    <w:rsid w:val="00735AD6"/>
    <w:rsid w:val="00741699"/>
    <w:rsid w:val="0074195E"/>
    <w:rsid w:val="00741CFA"/>
    <w:rsid w:val="007465D5"/>
    <w:rsid w:val="00747AB0"/>
    <w:rsid w:val="00752D0C"/>
    <w:rsid w:val="00752E0B"/>
    <w:rsid w:val="00756D89"/>
    <w:rsid w:val="00757A71"/>
    <w:rsid w:val="00757FA8"/>
    <w:rsid w:val="007635D2"/>
    <w:rsid w:val="00765C71"/>
    <w:rsid w:val="007664B3"/>
    <w:rsid w:val="007727C3"/>
    <w:rsid w:val="00772CCB"/>
    <w:rsid w:val="00776C25"/>
    <w:rsid w:val="007A3490"/>
    <w:rsid w:val="007A4286"/>
    <w:rsid w:val="007C628E"/>
    <w:rsid w:val="007C738D"/>
    <w:rsid w:val="007D0181"/>
    <w:rsid w:val="007D0918"/>
    <w:rsid w:val="007D0F29"/>
    <w:rsid w:val="007E129C"/>
    <w:rsid w:val="007F0CAB"/>
    <w:rsid w:val="008005CB"/>
    <w:rsid w:val="00810F1F"/>
    <w:rsid w:val="0081439D"/>
    <w:rsid w:val="00816090"/>
    <w:rsid w:val="0082093A"/>
    <w:rsid w:val="00825A0D"/>
    <w:rsid w:val="00834C55"/>
    <w:rsid w:val="008400BC"/>
    <w:rsid w:val="008402EE"/>
    <w:rsid w:val="00844897"/>
    <w:rsid w:val="00847272"/>
    <w:rsid w:val="00847C5F"/>
    <w:rsid w:val="00850314"/>
    <w:rsid w:val="00850E95"/>
    <w:rsid w:val="008569FE"/>
    <w:rsid w:val="00864599"/>
    <w:rsid w:val="008673B1"/>
    <w:rsid w:val="008740B1"/>
    <w:rsid w:val="00874BDD"/>
    <w:rsid w:val="00877C08"/>
    <w:rsid w:val="00882FE0"/>
    <w:rsid w:val="00887533"/>
    <w:rsid w:val="0089447B"/>
    <w:rsid w:val="008A075B"/>
    <w:rsid w:val="008A2C98"/>
    <w:rsid w:val="008A5895"/>
    <w:rsid w:val="008A69FC"/>
    <w:rsid w:val="008B1673"/>
    <w:rsid w:val="008B29A7"/>
    <w:rsid w:val="008B7701"/>
    <w:rsid w:val="008B7F61"/>
    <w:rsid w:val="008C7838"/>
    <w:rsid w:val="008D0876"/>
    <w:rsid w:val="008D1258"/>
    <w:rsid w:val="008D3FBD"/>
    <w:rsid w:val="008D5C34"/>
    <w:rsid w:val="008E0057"/>
    <w:rsid w:val="008E37BA"/>
    <w:rsid w:val="008F00B8"/>
    <w:rsid w:val="008F2472"/>
    <w:rsid w:val="008F4C2E"/>
    <w:rsid w:val="00900768"/>
    <w:rsid w:val="00901B00"/>
    <w:rsid w:val="009038E1"/>
    <w:rsid w:val="00911776"/>
    <w:rsid w:val="00912D8A"/>
    <w:rsid w:val="0092654B"/>
    <w:rsid w:val="00933E9C"/>
    <w:rsid w:val="0093526E"/>
    <w:rsid w:val="00940089"/>
    <w:rsid w:val="00946918"/>
    <w:rsid w:val="0095313B"/>
    <w:rsid w:val="00957052"/>
    <w:rsid w:val="00964568"/>
    <w:rsid w:val="009650EC"/>
    <w:rsid w:val="00965E65"/>
    <w:rsid w:val="009708E1"/>
    <w:rsid w:val="00974BE6"/>
    <w:rsid w:val="00981467"/>
    <w:rsid w:val="009976A1"/>
    <w:rsid w:val="009A2B82"/>
    <w:rsid w:val="009B6176"/>
    <w:rsid w:val="009B7AA9"/>
    <w:rsid w:val="009D0B0B"/>
    <w:rsid w:val="009D3AB5"/>
    <w:rsid w:val="009E62A2"/>
    <w:rsid w:val="009F4249"/>
    <w:rsid w:val="00A0078D"/>
    <w:rsid w:val="00A01F11"/>
    <w:rsid w:val="00A0213B"/>
    <w:rsid w:val="00A13CCB"/>
    <w:rsid w:val="00A15AB2"/>
    <w:rsid w:val="00A20190"/>
    <w:rsid w:val="00A275E7"/>
    <w:rsid w:val="00A3130E"/>
    <w:rsid w:val="00A31A2B"/>
    <w:rsid w:val="00A32D02"/>
    <w:rsid w:val="00A3369D"/>
    <w:rsid w:val="00A53BF6"/>
    <w:rsid w:val="00A60450"/>
    <w:rsid w:val="00A6304B"/>
    <w:rsid w:val="00A73A01"/>
    <w:rsid w:val="00A7632C"/>
    <w:rsid w:val="00A7746D"/>
    <w:rsid w:val="00A846D1"/>
    <w:rsid w:val="00A859A5"/>
    <w:rsid w:val="00A86A26"/>
    <w:rsid w:val="00A90AD8"/>
    <w:rsid w:val="00A96277"/>
    <w:rsid w:val="00AA2A6D"/>
    <w:rsid w:val="00AA4E09"/>
    <w:rsid w:val="00AB021B"/>
    <w:rsid w:val="00AB0F4A"/>
    <w:rsid w:val="00AB1F6D"/>
    <w:rsid w:val="00AC6520"/>
    <w:rsid w:val="00AD408A"/>
    <w:rsid w:val="00AE4CD9"/>
    <w:rsid w:val="00AE5272"/>
    <w:rsid w:val="00AE6729"/>
    <w:rsid w:val="00B04720"/>
    <w:rsid w:val="00B1144B"/>
    <w:rsid w:val="00B16D2A"/>
    <w:rsid w:val="00B2011B"/>
    <w:rsid w:val="00B24B16"/>
    <w:rsid w:val="00B27377"/>
    <w:rsid w:val="00B273E6"/>
    <w:rsid w:val="00B2769F"/>
    <w:rsid w:val="00B30555"/>
    <w:rsid w:val="00B30FB8"/>
    <w:rsid w:val="00B36899"/>
    <w:rsid w:val="00B4390D"/>
    <w:rsid w:val="00B45797"/>
    <w:rsid w:val="00B509E3"/>
    <w:rsid w:val="00B54F92"/>
    <w:rsid w:val="00B554CB"/>
    <w:rsid w:val="00B65620"/>
    <w:rsid w:val="00B6704E"/>
    <w:rsid w:val="00B71DB1"/>
    <w:rsid w:val="00B73A9E"/>
    <w:rsid w:val="00B73D70"/>
    <w:rsid w:val="00B756A7"/>
    <w:rsid w:val="00B82A09"/>
    <w:rsid w:val="00B83573"/>
    <w:rsid w:val="00B85012"/>
    <w:rsid w:val="00B865C3"/>
    <w:rsid w:val="00B918A9"/>
    <w:rsid w:val="00B92645"/>
    <w:rsid w:val="00BA39B6"/>
    <w:rsid w:val="00BA5E13"/>
    <w:rsid w:val="00BB02C8"/>
    <w:rsid w:val="00BB0346"/>
    <w:rsid w:val="00BB042D"/>
    <w:rsid w:val="00BC4B14"/>
    <w:rsid w:val="00BD4C5C"/>
    <w:rsid w:val="00BE74CB"/>
    <w:rsid w:val="00BF5176"/>
    <w:rsid w:val="00BF7EBC"/>
    <w:rsid w:val="00C01659"/>
    <w:rsid w:val="00C055BF"/>
    <w:rsid w:val="00C069C9"/>
    <w:rsid w:val="00C105AE"/>
    <w:rsid w:val="00C136DD"/>
    <w:rsid w:val="00C14EA7"/>
    <w:rsid w:val="00C162EF"/>
    <w:rsid w:val="00C30832"/>
    <w:rsid w:val="00C346D2"/>
    <w:rsid w:val="00C35E8D"/>
    <w:rsid w:val="00C43718"/>
    <w:rsid w:val="00C44B48"/>
    <w:rsid w:val="00C54A96"/>
    <w:rsid w:val="00C6661D"/>
    <w:rsid w:val="00C72FF2"/>
    <w:rsid w:val="00C85FA8"/>
    <w:rsid w:val="00C90367"/>
    <w:rsid w:val="00C932A2"/>
    <w:rsid w:val="00C93801"/>
    <w:rsid w:val="00C946A9"/>
    <w:rsid w:val="00C94ADB"/>
    <w:rsid w:val="00CA44F3"/>
    <w:rsid w:val="00CA5337"/>
    <w:rsid w:val="00CB6EF6"/>
    <w:rsid w:val="00CC020F"/>
    <w:rsid w:val="00CD10A0"/>
    <w:rsid w:val="00CE030F"/>
    <w:rsid w:val="00CE5951"/>
    <w:rsid w:val="00CE6772"/>
    <w:rsid w:val="00CE67A9"/>
    <w:rsid w:val="00D023EA"/>
    <w:rsid w:val="00D12C33"/>
    <w:rsid w:val="00D345DA"/>
    <w:rsid w:val="00D34910"/>
    <w:rsid w:val="00D45DF3"/>
    <w:rsid w:val="00D6416F"/>
    <w:rsid w:val="00D67AC0"/>
    <w:rsid w:val="00D70FF0"/>
    <w:rsid w:val="00D762F1"/>
    <w:rsid w:val="00D82074"/>
    <w:rsid w:val="00D87136"/>
    <w:rsid w:val="00D872CD"/>
    <w:rsid w:val="00D95C21"/>
    <w:rsid w:val="00DA1F87"/>
    <w:rsid w:val="00DA7756"/>
    <w:rsid w:val="00DB0CF4"/>
    <w:rsid w:val="00DB185C"/>
    <w:rsid w:val="00DB4466"/>
    <w:rsid w:val="00DC154D"/>
    <w:rsid w:val="00DC6686"/>
    <w:rsid w:val="00DD0C32"/>
    <w:rsid w:val="00DE21AC"/>
    <w:rsid w:val="00DE4BAB"/>
    <w:rsid w:val="00DE544D"/>
    <w:rsid w:val="00DE5A14"/>
    <w:rsid w:val="00DF2C59"/>
    <w:rsid w:val="00DF44B6"/>
    <w:rsid w:val="00DF7391"/>
    <w:rsid w:val="00E005F3"/>
    <w:rsid w:val="00E05438"/>
    <w:rsid w:val="00E05B72"/>
    <w:rsid w:val="00E07AD1"/>
    <w:rsid w:val="00E10AAC"/>
    <w:rsid w:val="00E21282"/>
    <w:rsid w:val="00E30A02"/>
    <w:rsid w:val="00E324A0"/>
    <w:rsid w:val="00E37B86"/>
    <w:rsid w:val="00E4246F"/>
    <w:rsid w:val="00E432A2"/>
    <w:rsid w:val="00E46B3B"/>
    <w:rsid w:val="00E50F63"/>
    <w:rsid w:val="00E5387B"/>
    <w:rsid w:val="00E56787"/>
    <w:rsid w:val="00E614C9"/>
    <w:rsid w:val="00E772B8"/>
    <w:rsid w:val="00E969CC"/>
    <w:rsid w:val="00EA2747"/>
    <w:rsid w:val="00EB7039"/>
    <w:rsid w:val="00EC7F7E"/>
    <w:rsid w:val="00ED3015"/>
    <w:rsid w:val="00EE2395"/>
    <w:rsid w:val="00EE5270"/>
    <w:rsid w:val="00EE5870"/>
    <w:rsid w:val="00EE6943"/>
    <w:rsid w:val="00EE6F48"/>
    <w:rsid w:val="00EF3489"/>
    <w:rsid w:val="00EF40B3"/>
    <w:rsid w:val="00EF42CA"/>
    <w:rsid w:val="00F02DC3"/>
    <w:rsid w:val="00F05FB8"/>
    <w:rsid w:val="00F101D1"/>
    <w:rsid w:val="00F2379E"/>
    <w:rsid w:val="00F276FA"/>
    <w:rsid w:val="00F30734"/>
    <w:rsid w:val="00F31C1C"/>
    <w:rsid w:val="00F325D0"/>
    <w:rsid w:val="00F355DF"/>
    <w:rsid w:val="00F4239C"/>
    <w:rsid w:val="00F54AF2"/>
    <w:rsid w:val="00F80492"/>
    <w:rsid w:val="00F804FA"/>
    <w:rsid w:val="00F81E5A"/>
    <w:rsid w:val="00F82000"/>
    <w:rsid w:val="00F86E08"/>
    <w:rsid w:val="00F945B4"/>
    <w:rsid w:val="00FA16C3"/>
    <w:rsid w:val="00FA4ED1"/>
    <w:rsid w:val="00FA72A7"/>
    <w:rsid w:val="00FA7A4C"/>
    <w:rsid w:val="00FB702B"/>
    <w:rsid w:val="00FC0BB8"/>
    <w:rsid w:val="00FD1F67"/>
    <w:rsid w:val="00FD28CD"/>
    <w:rsid w:val="00FD345E"/>
    <w:rsid w:val="00FD44CA"/>
    <w:rsid w:val="00FD5838"/>
    <w:rsid w:val="00FE188A"/>
    <w:rsid w:val="00FF00A7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4566D0"/>
  <w15:docId w15:val="{E400C26E-3994-4D53-9C40-6D3431E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C8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2C8E"/>
    <w:rPr>
      <w:vertAlign w:val="superscript"/>
    </w:rPr>
  </w:style>
  <w:style w:type="table" w:styleId="Tabela-Siatka">
    <w:name w:val="Table Grid"/>
    <w:basedOn w:val="Standardowy"/>
    <w:uiPriority w:val="59"/>
    <w:rsid w:val="00C1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57"/>
    <w:rPr>
      <w:rFonts w:ascii="Tahoma" w:hAnsi="Tahoma" w:cs="Tahoma"/>
      <w:sz w:val="16"/>
      <w:szCs w:val="16"/>
    </w:rPr>
  </w:style>
  <w:style w:type="paragraph" w:customStyle="1" w:styleId="mjtekst">
    <w:name w:val="mój tekst"/>
    <w:basedOn w:val="Normalny"/>
    <w:uiPriority w:val="99"/>
    <w:rsid w:val="00B918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918"/>
  </w:style>
  <w:style w:type="paragraph" w:styleId="Stopka">
    <w:name w:val="footer"/>
    <w:basedOn w:val="Normalny"/>
    <w:link w:val="StopkaZnak"/>
    <w:uiPriority w:val="99"/>
    <w:unhideWhenUsed/>
    <w:rsid w:val="0094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ADCA-B71E-40F4-A8A8-776DB4A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4960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Deptuła Wojciech  (DWMPC)</dc:creator>
  <cp:keywords/>
  <dc:description/>
  <cp:lastModifiedBy>MS (DWMPC)</cp:lastModifiedBy>
  <cp:revision>2</cp:revision>
  <dcterms:created xsi:type="dcterms:W3CDTF">2021-08-04T06:56:00Z</dcterms:created>
  <dcterms:modified xsi:type="dcterms:W3CDTF">2021-08-04T06:56:00Z</dcterms:modified>
</cp:coreProperties>
</file>