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7CB70" w14:textId="77777777"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r w:rsidRPr="00431B41">
        <w:rPr>
          <w:b/>
          <w:color w:val="000000"/>
        </w:rPr>
        <w:t xml:space="preserve">WARUNKI I WYMAGANIA DOTYCZĄCE UDOSTĘPNIANIA </w:t>
      </w:r>
    </w:p>
    <w:p w14:paraId="3A143672" w14:textId="77777777"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14:paraId="34797414" w14:textId="77777777"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14:paraId="3266F3BD" w14:textId="03A4747B"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</w:t>
      </w:r>
      <w:r w:rsidR="00FE2F91">
        <w:rPr>
          <w:b/>
          <w:color w:val="000000"/>
        </w:rPr>
        <w:t>1</w:t>
      </w:r>
      <w:r w:rsidR="00FE2F91" w:rsidRPr="001971C3">
        <w:rPr>
          <w:b/>
          <w:color w:val="000000"/>
        </w:rPr>
        <w:t xml:space="preserve"> </w:t>
      </w:r>
      <w:r w:rsidR="00987B2F" w:rsidRPr="001971C3">
        <w:rPr>
          <w:b/>
          <w:color w:val="000000"/>
        </w:rPr>
        <w:t xml:space="preserve">i </w:t>
      </w:r>
      <w:r w:rsidR="00FE2F91">
        <w:rPr>
          <w:b/>
          <w:color w:val="000000"/>
        </w:rPr>
        <w:t>2</w:t>
      </w:r>
      <w:r w:rsidR="00FE2F91" w:rsidRPr="001971C3">
        <w:rPr>
          <w:b/>
          <w:color w:val="000000"/>
        </w:rPr>
        <w:t xml:space="preserve"> </w:t>
      </w:r>
      <w:r w:rsidR="00FE2F91">
        <w:rPr>
          <w:b/>
          <w:color w:val="000000"/>
        </w:rPr>
        <w:t>r</w:t>
      </w:r>
      <w:r w:rsidR="00FE2F91" w:rsidRPr="001971C3">
        <w:rPr>
          <w:b/>
          <w:color w:val="000000"/>
        </w:rPr>
        <w:t>ozporządzenia</w:t>
      </w:r>
      <w:r w:rsidR="00FE2F91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 xml:space="preserve">dnia </w:t>
      </w:r>
      <w:r w:rsidR="00291308">
        <w:rPr>
          <w:b/>
          <w:color w:val="000000"/>
        </w:rPr>
        <w:t>23</w:t>
      </w:r>
      <w:r w:rsidR="008D3591">
        <w:rPr>
          <w:b/>
          <w:color w:val="000000"/>
        </w:rPr>
        <w:t xml:space="preserve"> </w:t>
      </w:r>
      <w:r w:rsidR="003313F2">
        <w:rPr>
          <w:b/>
          <w:color w:val="000000"/>
        </w:rPr>
        <w:t xml:space="preserve">sierpnia </w:t>
      </w:r>
      <w:r w:rsidR="008D3591">
        <w:rPr>
          <w:b/>
          <w:color w:val="000000"/>
        </w:rPr>
        <w:t xml:space="preserve">2021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 xml:space="preserve">Dz. U., poz. </w:t>
      </w:r>
      <w:r w:rsidR="00291308">
        <w:rPr>
          <w:b/>
        </w:rPr>
        <w:t>1572</w:t>
      </w:r>
      <w:r w:rsidR="00094FA8">
        <w:rPr>
          <w:b/>
        </w:rPr>
        <w:t xml:space="preserve"> z późn. zm.</w:t>
      </w:r>
      <w:r w:rsidR="00B3287A" w:rsidRPr="00D50FDF">
        <w:rPr>
          <w:b/>
        </w:rPr>
        <w:t>).</w:t>
      </w:r>
    </w:p>
    <w:p w14:paraId="32A176A6" w14:textId="77777777"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14:paraId="775181BD" w14:textId="77777777"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14:paraId="0CEB1BC9" w14:textId="77777777" w:rsidR="00360B7C" w:rsidRPr="005955A2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>
        <w:rPr>
          <w:sz w:val="22"/>
          <w:szCs w:val="22"/>
        </w:rPr>
        <w:t xml:space="preserve"> </w:t>
      </w:r>
      <w:r w:rsidR="00665F60">
        <w:rPr>
          <w:b/>
          <w:sz w:val="22"/>
          <w:szCs w:val="22"/>
        </w:rPr>
        <w:t>10, 11</w:t>
      </w:r>
      <w:r w:rsidR="0083795F">
        <w:rPr>
          <w:b/>
          <w:sz w:val="22"/>
          <w:szCs w:val="22"/>
        </w:rPr>
        <w:t xml:space="preserve"> albo </w:t>
      </w:r>
      <w:r w:rsidR="00665F60">
        <w:rPr>
          <w:b/>
          <w:sz w:val="22"/>
          <w:szCs w:val="22"/>
        </w:rPr>
        <w:t>12</w:t>
      </w:r>
      <w:r w:rsidR="008B7DF1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r w:rsidR="00030CDF" w:rsidRPr="00C45D6A">
        <w:rPr>
          <w:sz w:val="22"/>
          <w:szCs w:val="22"/>
        </w:rPr>
        <w:t xml:space="preserve">w każdym semestrze </w:t>
      </w:r>
      <w:r w:rsidRPr="003313F2">
        <w:rPr>
          <w:sz w:val="22"/>
          <w:szCs w:val="22"/>
        </w:rPr>
        <w:t>roku szkolnego</w:t>
      </w:r>
      <w:r w:rsidR="00154698">
        <w:rPr>
          <w:sz w:val="22"/>
          <w:szCs w:val="22"/>
        </w:rPr>
        <w:t xml:space="preserve"> 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21</w:t>
      </w:r>
      <w:r w:rsidR="00360B7C" w:rsidRPr="003313F2">
        <w:rPr>
          <w:sz w:val="22"/>
          <w:szCs w:val="22"/>
        </w:rPr>
        <w:t>/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22</w:t>
      </w:r>
      <w:r w:rsidR="006C148C">
        <w:rPr>
          <w:sz w:val="22"/>
          <w:szCs w:val="22"/>
        </w:rPr>
        <w:t>.</w:t>
      </w:r>
    </w:p>
    <w:p w14:paraId="3295A5B1" w14:textId="77777777"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14:paraId="6B065D0B" w14:textId="77777777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2024F91" w14:textId="77777777"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DB34678" w14:textId="77777777"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A32671" w14:textId="77777777"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14:paraId="2F40550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E57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1D6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1DAD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173812" w14:paraId="3880E896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FB6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C4C" w14:textId="77777777"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86F" w14:textId="77777777"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14:paraId="2EAD1DC2" w14:textId="77777777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94D" w14:textId="77777777"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1B66" w14:textId="77777777"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FC62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14:paraId="44394951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7384" w14:textId="77777777"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7934" w14:textId="77777777"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919" w14:textId="77777777"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14:paraId="1CAC95F9" w14:textId="77777777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BF8" w14:textId="77777777" w:rsidR="00535C88" w:rsidRPr="00987B2F" w:rsidRDefault="00535C88" w:rsidP="00540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C73C" w14:textId="77777777" w:rsidR="00535C8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4972" w14:textId="77777777" w:rsidR="00535C88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C43E9" w14:paraId="568C4304" w14:textId="77777777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92A" w14:textId="77777777"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395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E02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C43E9" w14:paraId="608B5753" w14:textId="77777777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C472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B01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D49" w14:textId="77777777"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7516E" w14:paraId="1AB711ED" w14:textId="77777777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404" w14:textId="77777777"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A0" w14:textId="77777777" w:rsidR="00C7516E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DB9" w14:textId="77777777"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14:paraId="46197030" w14:textId="77777777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444" w14:textId="77777777" w:rsidR="00C7516E" w:rsidRDefault="00987B2F" w:rsidP="00C45D6A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165E" w14:textId="77777777"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31E" w14:textId="77777777"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7516E" w14:paraId="4CF29F36" w14:textId="77777777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68E" w14:textId="77777777"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C9D" w14:textId="77777777" w:rsidR="00C7516E" w:rsidRPr="00B80DB8" w:rsidDel="00BC43E9" w:rsidRDefault="00535C88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383" w14:textId="77777777" w:rsidR="00C7516E" w:rsidRPr="00B80DB8" w:rsidDel="00BC43E9" w:rsidRDefault="00C80520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12D2C46B" w14:textId="77777777"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14:paraId="3AC602A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14:paraId="595FB872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14:paraId="4833E51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14:paraId="09E7E6D1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14:paraId="208E9C65" w14:textId="77777777"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14:paraId="1A129893" w14:textId="77777777"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14:paraId="5673F6A0" w14:textId="77777777"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14:paraId="39C92CF2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są one uzyskane z warzyw odpowiadających normom jakości handlowej obowiązującym zgodnie z art. 74 rozporządzenia nr 1308/2013;</w:t>
      </w:r>
    </w:p>
    <w:p w14:paraId="75CE0B10" w14:textId="77777777"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14:paraId="7C8B6C2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14:paraId="0BC02FFE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zm.).</w:t>
      </w:r>
    </w:p>
    <w:p w14:paraId="66FDDC71" w14:textId="77777777"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33FECB98" w14:textId="77777777"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14:paraId="50D55950" w14:textId="77777777"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14:paraId="23D03CC3" w14:textId="77777777"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5955A2">
        <w:rPr>
          <w:sz w:val="22"/>
          <w:szCs w:val="22"/>
        </w:rPr>
        <w:br/>
      </w:r>
      <w:r w:rsidR="0083795F">
        <w:rPr>
          <w:b/>
          <w:sz w:val="22"/>
          <w:szCs w:val="22"/>
        </w:rPr>
        <w:t xml:space="preserve">10, 11 albo 12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każdym semestrze </w:t>
      </w:r>
      <w:r w:rsidR="00D7421D" w:rsidRPr="003313F2">
        <w:rPr>
          <w:sz w:val="22"/>
          <w:szCs w:val="22"/>
        </w:rPr>
        <w:t xml:space="preserve">roku szkolnego </w:t>
      </w:r>
      <w:r w:rsidR="0054025C" w:rsidRPr="003313F2">
        <w:rPr>
          <w:sz w:val="22"/>
          <w:szCs w:val="22"/>
        </w:rPr>
        <w:t>20</w:t>
      </w:r>
      <w:r w:rsidR="0054025C">
        <w:rPr>
          <w:sz w:val="22"/>
          <w:szCs w:val="22"/>
        </w:rPr>
        <w:t>21</w:t>
      </w:r>
      <w:r w:rsidR="00D7421D" w:rsidRPr="003313F2">
        <w:rPr>
          <w:sz w:val="22"/>
          <w:szCs w:val="22"/>
        </w:rPr>
        <w:t>/</w:t>
      </w:r>
      <w:r w:rsidR="0054025C" w:rsidRPr="003313F2">
        <w:rPr>
          <w:sz w:val="22"/>
          <w:szCs w:val="22"/>
        </w:rPr>
        <w:t>202</w:t>
      </w:r>
      <w:r w:rsidR="0054025C">
        <w:rPr>
          <w:sz w:val="22"/>
          <w:szCs w:val="22"/>
        </w:rPr>
        <w:t>2</w:t>
      </w:r>
      <w:r w:rsidR="006C148C">
        <w:rPr>
          <w:sz w:val="22"/>
          <w:szCs w:val="22"/>
        </w:rPr>
        <w:t>.</w:t>
      </w:r>
    </w:p>
    <w:p w14:paraId="06B7D17F" w14:textId="77777777"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14:paraId="05350BD0" w14:textId="77777777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4ECA1A5" w14:textId="77777777"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5020CBD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AAF6151" w14:textId="77777777"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14:paraId="0830A371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48E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C0D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137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2219D5" w:rsidRPr="00727A2B" w14:paraId="1A553E8A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BF7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91F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4A8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219D5" w:rsidRPr="00727A2B" w14:paraId="675BBB99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F133" w14:textId="77777777"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CCA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845E" w14:textId="77777777"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14:paraId="24A410A2" w14:textId="77777777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84A" w14:textId="77777777"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6FEB" w14:textId="77777777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676" w14:textId="77777777"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14:paraId="451EE2C1" w14:textId="77777777"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14:paraId="4CEDE007" w14:textId="77777777"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14:paraId="5CB8452F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14:paraId="2442F158" w14:textId="77777777"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14:paraId="37318B92" w14:textId="77777777"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14:paraId="02C42846" w14:textId="77777777" w:rsidR="002309E4" w:rsidRPr="006F267E" w:rsidRDefault="002309E4" w:rsidP="00C45D6A">
      <w:pPr>
        <w:jc w:val="both"/>
      </w:pPr>
    </w:p>
    <w:p w14:paraId="3A49BCCD" w14:textId="77777777"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lastRenderedPageBreak/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14:paraId="39DCE73B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14:paraId="6A9F9C58" w14:textId="77777777"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14:paraId="083DDAFA" w14:textId="77777777"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14:paraId="480657BA" w14:textId="77777777"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</w:t>
      </w:r>
      <w:proofErr w:type="spellStart"/>
      <w:r w:rsidR="004D49AD" w:rsidRPr="006A5D38">
        <w:rPr>
          <w:sz w:val="22"/>
          <w:szCs w:val="22"/>
        </w:rPr>
        <w:t>RPEiR</w:t>
      </w:r>
      <w:proofErr w:type="spellEnd"/>
      <w:r w:rsidR="004D49AD" w:rsidRPr="006A5D38">
        <w:rPr>
          <w:sz w:val="22"/>
          <w:szCs w:val="22"/>
        </w:rPr>
        <w:t xml:space="preserve"> UE 2016/791 z dnia 11 maja 2016r.) </w:t>
      </w:r>
      <w:r w:rsidRPr="006A5D38">
        <w:rPr>
          <w:sz w:val="22"/>
          <w:szCs w:val="22"/>
        </w:rPr>
        <w:t>nie mogą zawierać:</w:t>
      </w:r>
    </w:p>
    <w:p w14:paraId="3660492C" w14:textId="77777777"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14:paraId="26E3E53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14:paraId="0FDD4CB8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14:paraId="37D4EB3D" w14:textId="77777777"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14:paraId="7E514611" w14:textId="77777777"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14:paraId="0EFA0240" w14:textId="77777777"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14:paraId="2834FF55" w14:textId="77777777"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14:paraId="14342E8E" w14:textId="77777777"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</w:t>
      </w:r>
      <w:proofErr w:type="spellStart"/>
      <w:r w:rsidR="004E28E7" w:rsidRPr="006A5D38">
        <w:rPr>
          <w:sz w:val="22"/>
          <w:szCs w:val="22"/>
        </w:rPr>
        <w:t>niemlekowych</w:t>
      </w:r>
      <w:proofErr w:type="spellEnd"/>
      <w:r w:rsidR="004E28E7" w:rsidRPr="006A5D38">
        <w:rPr>
          <w:sz w:val="22"/>
          <w:szCs w:val="22"/>
        </w:rPr>
        <w:t xml:space="preserve">. </w:t>
      </w:r>
    </w:p>
    <w:p w14:paraId="30EACCC9" w14:textId="77777777"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8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9"/>
      <w:footerReference w:type="default" r:id="rId10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65434" w14:textId="77777777" w:rsidR="00697BD9" w:rsidRDefault="00697BD9">
      <w:pPr>
        <w:spacing w:line="240" w:lineRule="auto"/>
      </w:pPr>
      <w:r>
        <w:separator/>
      </w:r>
    </w:p>
  </w:endnote>
  <w:endnote w:type="continuationSeparator" w:id="0">
    <w:p w14:paraId="5E7C9144" w14:textId="77777777"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C7042" w14:textId="77777777"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14A2" w14:textId="77777777" w:rsidR="00697BD9" w:rsidRDefault="00697BD9">
      <w:pPr>
        <w:spacing w:line="240" w:lineRule="auto"/>
      </w:pPr>
      <w:r>
        <w:separator/>
      </w:r>
    </w:p>
  </w:footnote>
  <w:footnote w:type="continuationSeparator" w:id="0">
    <w:p w14:paraId="19931BF0" w14:textId="77777777"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14:paraId="735529D4" w14:textId="77777777" w:rsidTr="00B80DB8">
      <w:trPr>
        <w:cantSplit/>
        <w:trHeight w:val="704"/>
      </w:trPr>
      <w:tc>
        <w:tcPr>
          <w:tcW w:w="2148" w:type="dxa"/>
          <w:vMerge w:val="restart"/>
        </w:tcPr>
        <w:p w14:paraId="3535D164" w14:textId="77777777"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14:paraId="6CAEBEAB" w14:textId="77777777"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14:paraId="06D5A20E" w14:textId="77777777"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14:paraId="4CB6B758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14:paraId="18A49705" w14:textId="77777777"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14:paraId="7D424B71" w14:textId="77777777"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E2F91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FE2F91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14:paraId="764FFFE2" w14:textId="77777777" w:rsidTr="00B80DB8">
      <w:trPr>
        <w:cantSplit/>
        <w:trHeight w:val="179"/>
      </w:trPr>
      <w:tc>
        <w:tcPr>
          <w:tcW w:w="2148" w:type="dxa"/>
          <w:vMerge/>
        </w:tcPr>
        <w:p w14:paraId="2532ACEB" w14:textId="77777777"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14:paraId="24207370" w14:textId="77777777" w:rsidR="003650F4" w:rsidRPr="00213D8A" w:rsidRDefault="003650F4" w:rsidP="008D3591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2021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14:paraId="0BF94EC8" w14:textId="77777777"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14:paraId="761867E6" w14:textId="77777777"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7281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4FA8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09E4"/>
    <w:rsid w:val="0023342F"/>
    <w:rsid w:val="00242F8E"/>
    <w:rsid w:val="002434C7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A2C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2F91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o:colormru v:ext="edit" colors="#efffef"/>
    </o:shapedefaults>
    <o:shapelayout v:ext="edit">
      <o:idmap v:ext="edit" data="1"/>
    </o:shapelayout>
  </w:shapeDefaults>
  <w:decimalSymbol w:val=","/>
  <w:listSeparator w:val=";"/>
  <w14:docId w14:val="7CF36BDE"/>
  <w15:docId w15:val="{30FA0734-04C8-4844-87B3-670FBF83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A1D5-A079-42EB-AF9A-026345EC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228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DEPARTAMENT RYNKÓW ROLNYCH </cp:lastModifiedBy>
  <cp:revision>56</cp:revision>
  <cp:lastPrinted>2020-06-22T06:20:00Z</cp:lastPrinted>
  <dcterms:created xsi:type="dcterms:W3CDTF">2019-06-04T10:22:00Z</dcterms:created>
  <dcterms:modified xsi:type="dcterms:W3CDTF">2021-12-20T09:09:00Z</dcterms:modified>
</cp:coreProperties>
</file>