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83" w:rsidRDefault="00BF6B9D">
      <w:pPr>
        <w:jc w:val="right"/>
      </w:pPr>
      <w:r>
        <w:rPr>
          <w:rFonts w:ascii="Arial" w:eastAsia="Arial" w:hAnsi="Arial" w:cs="Arial"/>
          <w:b/>
        </w:rPr>
        <w:t xml:space="preserve">Załącznik nr 2 </w:t>
      </w:r>
    </w:p>
    <w:p w:rsidR="00756E83" w:rsidRDefault="00BF6B9D">
      <w:pPr>
        <w:jc w:val="center"/>
      </w:pPr>
      <w:r>
        <w:rPr>
          <w:rFonts w:ascii="Arial" w:eastAsia="Arial" w:hAnsi="Arial" w:cs="Arial"/>
          <w:b/>
        </w:rPr>
        <w:t>Szczegółowy Opis Przedmiotu Zamówienia</w:t>
      </w:r>
    </w:p>
    <w:p w:rsidR="00756E83" w:rsidRDefault="00756E83">
      <w:pPr>
        <w:spacing w:after="120"/>
        <w:jc w:val="center"/>
        <w:rPr>
          <w:rFonts w:ascii="Arial" w:hAnsi="Arial" w:cs="Arial"/>
          <w:b/>
        </w:rPr>
      </w:pPr>
    </w:p>
    <w:p w:rsidR="00756E83" w:rsidRDefault="00BF6B9D">
      <w:pPr>
        <w:pStyle w:val="Nagwek1"/>
        <w:keepNext w:val="0"/>
        <w:spacing w:after="120"/>
        <w:jc w:val="both"/>
      </w:pPr>
      <w:r>
        <w:rPr>
          <w:color w:val="auto"/>
          <w:spacing w:val="4"/>
          <w:sz w:val="22"/>
          <w:szCs w:val="22"/>
        </w:rPr>
        <w:t>Przedmiot Zamówienia.</w:t>
      </w:r>
    </w:p>
    <w:p w:rsidR="00756E83" w:rsidRPr="00E72F2D" w:rsidRDefault="00BF6B9D">
      <w:pPr>
        <w:spacing w:after="120"/>
        <w:ind w:right="50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pacing w:val="4"/>
        </w:rPr>
        <w:t xml:space="preserve">Przedmiotem Zamówienia jest dostawa </w:t>
      </w:r>
      <w:r w:rsidRPr="009576C3">
        <w:rPr>
          <w:rFonts w:ascii="Arial" w:hAnsi="Arial" w:cs="Arial"/>
          <w:b/>
          <w:spacing w:val="4"/>
        </w:rPr>
        <w:t xml:space="preserve">4 </w:t>
      </w:r>
      <w:r>
        <w:rPr>
          <w:rFonts w:ascii="Arial" w:eastAsia="Arial" w:hAnsi="Arial" w:cs="Arial"/>
          <w:b/>
          <w:spacing w:val="4"/>
        </w:rPr>
        <w:t xml:space="preserve">fabrycznie nowych </w:t>
      </w:r>
      <w:r>
        <w:rPr>
          <w:rFonts w:ascii="Arial" w:hAnsi="Arial" w:cs="Arial"/>
          <w:b/>
          <w:bCs/>
          <w:color w:val="000000"/>
        </w:rPr>
        <w:t>routerów</w:t>
      </w:r>
      <w:r w:rsidR="00E72F2D">
        <w:rPr>
          <w:rFonts w:ascii="Arial" w:hAnsi="Arial" w:cs="Arial"/>
          <w:b/>
          <w:bCs/>
          <w:color w:val="000000"/>
        </w:rPr>
        <w:t xml:space="preserve"> </w:t>
      </w:r>
      <w:r w:rsidR="00E72F2D" w:rsidRPr="00E72F2D">
        <w:rPr>
          <w:rFonts w:ascii="Arial" w:hAnsi="Arial" w:cs="Arial"/>
          <w:b/>
          <w:bCs/>
          <w:color w:val="000000"/>
        </w:rPr>
        <w:t>wraz z</w:t>
      </w:r>
      <w:r w:rsidR="00CA4D89">
        <w:rPr>
          <w:rFonts w:ascii="Arial" w:hAnsi="Arial" w:cs="Arial"/>
          <w:b/>
          <w:bCs/>
          <w:color w:val="000000"/>
        </w:rPr>
        <w:t> </w:t>
      </w:r>
      <w:r w:rsidR="00E72F2D" w:rsidRPr="00E72F2D">
        <w:rPr>
          <w:rFonts w:ascii="Arial" w:hAnsi="Arial" w:cs="Arial"/>
          <w:b/>
          <w:bCs/>
          <w:color w:val="000000"/>
        </w:rPr>
        <w:t>osprzętem niezbędnym do uruchomienia</w:t>
      </w:r>
      <w:r>
        <w:rPr>
          <w:rFonts w:ascii="Arial" w:hAnsi="Arial" w:cs="Arial"/>
          <w:b/>
          <w:bCs/>
          <w:color w:val="000000"/>
        </w:rPr>
        <w:t>.</w:t>
      </w:r>
    </w:p>
    <w:p w:rsidR="00756E83" w:rsidRPr="00E72F2D" w:rsidRDefault="00756E83">
      <w:pPr>
        <w:spacing w:after="120" w:line="300" w:lineRule="exact"/>
        <w:jc w:val="both"/>
        <w:rPr>
          <w:rFonts w:ascii="Arial" w:hAnsi="Arial" w:cs="Arial"/>
          <w:b/>
          <w:bCs/>
          <w:color w:val="000000"/>
        </w:rPr>
      </w:pPr>
    </w:p>
    <w:p w:rsidR="00756E83" w:rsidRDefault="00BF6B9D">
      <w:pPr>
        <w:spacing w:after="120" w:line="300" w:lineRule="exact"/>
      </w:pPr>
      <w:r>
        <w:rPr>
          <w:rFonts w:ascii="Arial" w:hAnsi="Arial" w:cs="Arial"/>
          <w:b/>
          <w:bCs/>
          <w:color w:val="000000"/>
        </w:rPr>
        <w:t xml:space="preserve">Routery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 xml:space="preserve">Każdy router powinien spełniać poniższe wymagania: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b/>
          <w:bCs/>
          <w:color w:val="000000"/>
        </w:rPr>
        <w:t xml:space="preserve">Rodzaj urządzenia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 xml:space="preserve">Powinno być urządzeniem pełniącym rolę wielousługowego routera modularnego gotowego do obsługi mechanizmów bezpiecznej i niezawodnej sieci WAN w oparciu o Internet lub VPN MPLS.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b/>
          <w:bCs/>
          <w:color w:val="000000"/>
        </w:rPr>
        <w:t xml:space="preserve">Wymagana Architektura: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 xml:space="preserve">1. Pozwala na instalację, co najmniej 2 kart sieciowych z interfejsami z możliwością wyłączenia modułu w celu oszczędności energii,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 xml:space="preserve">3. Posiada możliwość bezpośredniej komunikacji pomiędzy modułami z pominięciem głównego procesora, jeśli ruch sieciowy nie jest skierowany do rutera,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 xml:space="preserve">4. Posiada wszystkie interfejsy „aktywne". Nie dopuszcza się stosowania kart, w których dla aktywacji interfejsów potrzebne będą dodatkowe licencje lub klucze aktywacyjne i konieczne wniesienie opłat licencyjnych nieprzewidzianych w Umowie. Np. niedopuszczalne jest stosowanie karty 4-portowej gdzie aktywne są 2 porty, a dla uruchomienia pozostałych konieczne jest wpisanie kodu, który uzyskuje się przez wykupienie licencji na użytkowanie pozostałych portów.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 xml:space="preserve">5. </w:t>
      </w:r>
      <w:proofErr w:type="spellStart"/>
      <w:r>
        <w:rPr>
          <w:rFonts w:ascii="Arial" w:hAnsi="Arial" w:cs="Arial"/>
          <w:color w:val="000000"/>
        </w:rPr>
        <w:t>Sloty</w:t>
      </w:r>
      <w:proofErr w:type="spellEnd"/>
      <w:r>
        <w:rPr>
          <w:rFonts w:ascii="Arial" w:hAnsi="Arial" w:cs="Arial"/>
          <w:color w:val="000000"/>
        </w:rPr>
        <w:t xml:space="preserve"> urządzenia przewidziane pod rozbudowę mają możliwość obsadzenia modułami: </w:t>
      </w:r>
    </w:p>
    <w:p w:rsidR="00756E83" w:rsidRDefault="00BF6B9D">
      <w:pPr>
        <w:spacing w:after="120" w:line="300" w:lineRule="exact"/>
        <w:ind w:left="284"/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.  </w:t>
      </w:r>
      <w:proofErr w:type="gramStart"/>
      <w:r>
        <w:rPr>
          <w:rFonts w:ascii="Arial" w:hAnsi="Arial" w:cs="Arial"/>
          <w:color w:val="000000"/>
        </w:rPr>
        <w:t>z</w:t>
      </w:r>
      <w:proofErr w:type="gramEnd"/>
      <w:r>
        <w:rPr>
          <w:rFonts w:ascii="Arial" w:hAnsi="Arial" w:cs="Arial"/>
          <w:color w:val="000000"/>
        </w:rPr>
        <w:t xml:space="preserve"> cyfrowymi interfejsem T1/E1 </w:t>
      </w:r>
    </w:p>
    <w:p w:rsidR="00756E83" w:rsidRDefault="00BF6B9D">
      <w:pPr>
        <w:spacing w:after="120" w:line="300" w:lineRule="exact"/>
        <w:ind w:left="284"/>
      </w:pPr>
      <w:proofErr w:type="gramStart"/>
      <w:r>
        <w:rPr>
          <w:rFonts w:ascii="Arial" w:hAnsi="Arial" w:cs="Arial"/>
          <w:color w:val="000000"/>
        </w:rPr>
        <w:t>b.  umożliwiającym</w:t>
      </w:r>
      <w:proofErr w:type="gramEnd"/>
      <w:r>
        <w:rPr>
          <w:rFonts w:ascii="Arial" w:hAnsi="Arial" w:cs="Arial"/>
          <w:color w:val="000000"/>
        </w:rPr>
        <w:t xml:space="preserve"> komunikację po sieci komórkowej w technologii 4G/5G,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b/>
          <w:bCs/>
          <w:color w:val="000000"/>
        </w:rPr>
        <w:t xml:space="preserve">Oczekiwana wydajność </w:t>
      </w:r>
    </w:p>
    <w:p w:rsidR="00756E83" w:rsidRDefault="00CA2E46">
      <w:pPr>
        <w:spacing w:after="120" w:line="300" w:lineRule="exact"/>
      </w:pPr>
      <w:r>
        <w:rPr>
          <w:rFonts w:ascii="Arial" w:hAnsi="Arial" w:cs="Arial"/>
          <w:color w:val="000000"/>
        </w:rPr>
        <w:t>6</w:t>
      </w:r>
      <w:r w:rsidR="00BF6B9D">
        <w:rPr>
          <w:rFonts w:ascii="Arial" w:hAnsi="Arial" w:cs="Arial"/>
          <w:color w:val="000000"/>
        </w:rPr>
        <w:t xml:space="preserve">. Urządzenie oferuje wydajności, co najmniej 900 </w:t>
      </w:r>
      <w:proofErr w:type="spellStart"/>
      <w:r w:rsidR="00BF6B9D">
        <w:rPr>
          <w:rFonts w:ascii="Arial" w:hAnsi="Arial" w:cs="Arial"/>
          <w:color w:val="000000"/>
        </w:rPr>
        <w:t>Mbps</w:t>
      </w:r>
      <w:proofErr w:type="spellEnd"/>
      <w:r w:rsidR="00BF6B9D">
        <w:rPr>
          <w:rFonts w:ascii="Arial" w:hAnsi="Arial" w:cs="Arial"/>
          <w:color w:val="000000"/>
        </w:rPr>
        <w:t xml:space="preserve"> dla ruchu typu IMIX, co najmniej 900 </w:t>
      </w:r>
      <w:proofErr w:type="spellStart"/>
      <w:r w:rsidR="00BF6B9D">
        <w:rPr>
          <w:rFonts w:ascii="Arial" w:hAnsi="Arial" w:cs="Arial"/>
          <w:color w:val="000000"/>
        </w:rPr>
        <w:t>Mbps</w:t>
      </w:r>
      <w:proofErr w:type="spellEnd"/>
      <w:r w:rsidR="00BF6B9D">
        <w:rPr>
          <w:rFonts w:ascii="Arial" w:hAnsi="Arial" w:cs="Arial"/>
          <w:color w:val="000000"/>
        </w:rPr>
        <w:t xml:space="preserve"> dla ruchu szyfrowanego.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b/>
          <w:bCs/>
          <w:color w:val="000000"/>
        </w:rPr>
        <w:t xml:space="preserve">Wymagane Oprogramowanie/funkcjonalność </w:t>
      </w:r>
    </w:p>
    <w:p w:rsidR="00756E83" w:rsidRDefault="00CA2E46">
      <w:pPr>
        <w:spacing w:after="120" w:line="300" w:lineRule="exact"/>
      </w:pPr>
      <w:r>
        <w:rPr>
          <w:rFonts w:ascii="Arial" w:hAnsi="Arial" w:cs="Arial"/>
          <w:color w:val="000000"/>
        </w:rPr>
        <w:t>7</w:t>
      </w:r>
      <w:r w:rsidR="00BF6B9D">
        <w:rPr>
          <w:rFonts w:ascii="Arial" w:hAnsi="Arial" w:cs="Arial"/>
          <w:color w:val="000000"/>
        </w:rPr>
        <w:t xml:space="preserve">. </w:t>
      </w:r>
      <w:proofErr w:type="gramStart"/>
      <w:r w:rsidR="00BF6B9D">
        <w:rPr>
          <w:rFonts w:ascii="Arial" w:hAnsi="Arial" w:cs="Arial"/>
          <w:color w:val="000000"/>
        </w:rPr>
        <w:t>obsługa</w:t>
      </w:r>
      <w:proofErr w:type="gramEnd"/>
      <w:r w:rsidR="00BF6B9D">
        <w:rPr>
          <w:rFonts w:ascii="Arial" w:hAnsi="Arial" w:cs="Arial"/>
          <w:color w:val="000000"/>
        </w:rPr>
        <w:t xml:space="preserve"> protokołów routingu IP BGPv4, OSPFv3, IS-IS, RIPv2 oraz routingu </w:t>
      </w:r>
      <w:proofErr w:type="spellStart"/>
      <w:r w:rsidR="00BF6B9D">
        <w:rPr>
          <w:rFonts w:ascii="Arial" w:hAnsi="Arial" w:cs="Arial"/>
          <w:color w:val="000000"/>
        </w:rPr>
        <w:t>multicastowego</w:t>
      </w:r>
      <w:proofErr w:type="spellEnd"/>
      <w:r w:rsidR="00BF6B9D">
        <w:rPr>
          <w:rFonts w:ascii="Arial" w:hAnsi="Arial" w:cs="Arial"/>
          <w:color w:val="000000"/>
        </w:rPr>
        <w:t xml:space="preserve"> PIM (</w:t>
      </w:r>
      <w:proofErr w:type="spellStart"/>
      <w:r w:rsidR="00BF6B9D">
        <w:rPr>
          <w:rFonts w:ascii="Arial" w:hAnsi="Arial" w:cs="Arial"/>
          <w:color w:val="000000"/>
        </w:rPr>
        <w:t>Sparse</w:t>
      </w:r>
      <w:proofErr w:type="spellEnd"/>
      <w:r w:rsidR="00BF6B9D">
        <w:rPr>
          <w:rFonts w:ascii="Arial" w:hAnsi="Arial" w:cs="Arial"/>
          <w:color w:val="000000"/>
        </w:rPr>
        <w:t xml:space="preserve"> i SSM) oraz routing statyczny, </w:t>
      </w:r>
    </w:p>
    <w:p w:rsidR="00756E83" w:rsidRDefault="00CA2E46">
      <w:pPr>
        <w:spacing w:after="120" w:line="300" w:lineRule="exact"/>
      </w:pPr>
      <w:r>
        <w:rPr>
          <w:rFonts w:ascii="Arial" w:hAnsi="Arial" w:cs="Arial"/>
          <w:color w:val="000000"/>
        </w:rPr>
        <w:t>8</w:t>
      </w:r>
      <w:r w:rsidR="00BF6B9D">
        <w:rPr>
          <w:rFonts w:ascii="Arial" w:hAnsi="Arial" w:cs="Arial"/>
          <w:color w:val="000000"/>
        </w:rPr>
        <w:t xml:space="preserve">. </w:t>
      </w:r>
      <w:proofErr w:type="gramStart"/>
      <w:r w:rsidR="00BF6B9D">
        <w:rPr>
          <w:rFonts w:ascii="Arial" w:hAnsi="Arial" w:cs="Arial"/>
          <w:color w:val="000000"/>
        </w:rPr>
        <w:t>obsługa</w:t>
      </w:r>
      <w:proofErr w:type="gramEnd"/>
      <w:r w:rsidR="00BF6B9D">
        <w:rPr>
          <w:rFonts w:ascii="Arial" w:hAnsi="Arial" w:cs="Arial"/>
          <w:color w:val="000000"/>
        </w:rPr>
        <w:t xml:space="preserve"> protokół BGP 4 bajtowych ASN, </w:t>
      </w:r>
    </w:p>
    <w:p w:rsidR="00756E83" w:rsidRDefault="00CA2E46">
      <w:pPr>
        <w:spacing w:after="120" w:line="300" w:lineRule="exact"/>
      </w:pPr>
      <w:r>
        <w:rPr>
          <w:rFonts w:ascii="Arial" w:hAnsi="Arial" w:cs="Arial"/>
          <w:color w:val="000000"/>
        </w:rPr>
        <w:t>9</w:t>
      </w:r>
      <w:r w:rsidR="00BF6B9D">
        <w:rPr>
          <w:rFonts w:ascii="Arial" w:hAnsi="Arial" w:cs="Arial"/>
          <w:color w:val="000000"/>
        </w:rPr>
        <w:t xml:space="preserve">. </w:t>
      </w:r>
      <w:proofErr w:type="gramStart"/>
      <w:r w:rsidR="00BF6B9D">
        <w:rPr>
          <w:rFonts w:ascii="Arial" w:hAnsi="Arial" w:cs="Arial"/>
          <w:color w:val="000000"/>
        </w:rPr>
        <w:t>wsparcie</w:t>
      </w:r>
      <w:proofErr w:type="gramEnd"/>
      <w:r w:rsidR="00BF6B9D">
        <w:rPr>
          <w:rFonts w:ascii="Arial" w:hAnsi="Arial" w:cs="Arial"/>
          <w:color w:val="000000"/>
        </w:rPr>
        <w:t xml:space="preserve"> dla mechanizmów związanych z obsługą ruchu </w:t>
      </w:r>
      <w:proofErr w:type="spellStart"/>
      <w:r w:rsidR="00BF6B9D">
        <w:rPr>
          <w:rFonts w:ascii="Arial" w:hAnsi="Arial" w:cs="Arial"/>
          <w:color w:val="000000"/>
        </w:rPr>
        <w:t>multicast</w:t>
      </w:r>
      <w:proofErr w:type="spellEnd"/>
      <w:r w:rsidR="00BF6B9D">
        <w:rPr>
          <w:rFonts w:ascii="Arial" w:hAnsi="Arial" w:cs="Arial"/>
          <w:color w:val="000000"/>
        </w:rPr>
        <w:t xml:space="preserve">: IGMP v3, IGMP </w:t>
      </w:r>
      <w:proofErr w:type="spellStart"/>
      <w:r w:rsidR="00BF6B9D">
        <w:rPr>
          <w:rFonts w:ascii="Arial" w:hAnsi="Arial" w:cs="Arial"/>
          <w:color w:val="000000"/>
        </w:rPr>
        <w:t>Snooping</w:t>
      </w:r>
      <w:proofErr w:type="spellEnd"/>
      <w:r w:rsidR="00BF6B9D">
        <w:rPr>
          <w:rFonts w:ascii="Arial" w:hAnsi="Arial" w:cs="Arial"/>
          <w:color w:val="000000"/>
        </w:rPr>
        <w:t xml:space="preserve">, PIMv2,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>1</w:t>
      </w:r>
      <w:r w:rsidR="00CA2E46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obsługa</w:t>
      </w:r>
      <w:proofErr w:type="gramEnd"/>
      <w:r>
        <w:rPr>
          <w:rFonts w:ascii="Arial" w:hAnsi="Arial" w:cs="Arial"/>
          <w:color w:val="000000"/>
        </w:rPr>
        <w:t xml:space="preserve"> protokołu IGMPv3,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lastRenderedPageBreak/>
        <w:t>1</w:t>
      </w:r>
      <w:r w:rsidR="00CA2E46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obsługa</w:t>
      </w:r>
      <w:proofErr w:type="gramEnd"/>
      <w:r>
        <w:rPr>
          <w:rFonts w:ascii="Arial" w:hAnsi="Arial" w:cs="Arial"/>
          <w:color w:val="000000"/>
        </w:rPr>
        <w:t xml:space="preserve"> mechanizmu </w:t>
      </w:r>
      <w:proofErr w:type="spellStart"/>
      <w:r>
        <w:rPr>
          <w:rFonts w:ascii="Arial" w:hAnsi="Arial" w:cs="Arial"/>
          <w:color w:val="000000"/>
        </w:rPr>
        <w:t>Unicast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Reverse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Forwarding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uRPF</w:t>
      </w:r>
      <w:proofErr w:type="spellEnd"/>
      <w:r>
        <w:rPr>
          <w:rFonts w:ascii="Arial" w:hAnsi="Arial" w:cs="Arial"/>
          <w:color w:val="000000"/>
        </w:rPr>
        <w:t xml:space="preserve">),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>1</w:t>
      </w:r>
      <w:r w:rsidR="00CA2E4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obsługa</w:t>
      </w:r>
      <w:proofErr w:type="gramEnd"/>
      <w:r>
        <w:rPr>
          <w:rFonts w:ascii="Arial" w:hAnsi="Arial" w:cs="Arial"/>
          <w:color w:val="000000"/>
        </w:rPr>
        <w:t xml:space="preserve"> tzw. routing między sieciami VLAN w oparciu o </w:t>
      </w:r>
      <w:proofErr w:type="spellStart"/>
      <w:r>
        <w:rPr>
          <w:rFonts w:ascii="Arial" w:hAnsi="Arial" w:cs="Arial"/>
          <w:color w:val="000000"/>
        </w:rPr>
        <w:t>trunking</w:t>
      </w:r>
      <w:proofErr w:type="spellEnd"/>
      <w:r>
        <w:rPr>
          <w:rFonts w:ascii="Arial" w:hAnsi="Arial" w:cs="Arial"/>
          <w:color w:val="000000"/>
        </w:rPr>
        <w:t xml:space="preserve"> 802.1Q,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>1</w:t>
      </w:r>
      <w:r w:rsidR="00CA2E46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obsługa</w:t>
      </w:r>
      <w:proofErr w:type="gramEnd"/>
      <w:r>
        <w:rPr>
          <w:rFonts w:ascii="Arial" w:hAnsi="Arial" w:cs="Arial"/>
          <w:color w:val="000000"/>
        </w:rPr>
        <w:t xml:space="preserve"> IPv6 w tym ICMP dla IPv6,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>1</w:t>
      </w:r>
      <w:r w:rsidR="00CA2E4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obsługa</w:t>
      </w:r>
      <w:proofErr w:type="gramEnd"/>
      <w:r>
        <w:rPr>
          <w:rFonts w:ascii="Arial" w:hAnsi="Arial" w:cs="Arial"/>
          <w:color w:val="000000"/>
        </w:rPr>
        <w:t xml:space="preserve"> list kontroli dostępu w oparciu o adresy IP źródłowe i docelowe, protokoły IP, porty TCP/UDP, opcje IP, flagi TCP,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>1</w:t>
      </w:r>
      <w:r w:rsidR="00CA2E46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obsługa</w:t>
      </w:r>
      <w:proofErr w:type="gramEnd"/>
      <w:r>
        <w:rPr>
          <w:rFonts w:ascii="Arial" w:hAnsi="Arial" w:cs="Arial"/>
          <w:color w:val="000000"/>
        </w:rPr>
        <w:t xml:space="preserve"> NAT dla ruchu IP </w:t>
      </w:r>
      <w:proofErr w:type="spellStart"/>
      <w:r>
        <w:rPr>
          <w:rFonts w:ascii="Arial" w:hAnsi="Arial" w:cs="Arial"/>
          <w:color w:val="000000"/>
        </w:rPr>
        <w:t>unicast</w:t>
      </w:r>
      <w:proofErr w:type="spellEnd"/>
      <w:r>
        <w:rPr>
          <w:rFonts w:ascii="Arial" w:hAnsi="Arial" w:cs="Arial"/>
          <w:color w:val="000000"/>
        </w:rPr>
        <w:t xml:space="preserve"> oraz PAT dla ruchu IP </w:t>
      </w:r>
      <w:proofErr w:type="spellStart"/>
      <w:r>
        <w:rPr>
          <w:rFonts w:ascii="Arial" w:hAnsi="Arial" w:cs="Arial"/>
          <w:color w:val="000000"/>
        </w:rPr>
        <w:t>unicast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>1</w:t>
      </w:r>
      <w:r w:rsidR="00CA2E46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obsługa</w:t>
      </w:r>
      <w:proofErr w:type="gramEnd"/>
      <w:r>
        <w:rPr>
          <w:rFonts w:ascii="Arial" w:hAnsi="Arial" w:cs="Arial"/>
          <w:color w:val="000000"/>
        </w:rPr>
        <w:t xml:space="preserve"> wirtualnych instancji routingu (VRF) - co najmniej 64 instancji VRF,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>1</w:t>
      </w:r>
      <w:r w:rsidR="00CA2E46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obsługa</w:t>
      </w:r>
      <w:proofErr w:type="gramEnd"/>
      <w:r>
        <w:rPr>
          <w:rFonts w:ascii="Arial" w:hAnsi="Arial" w:cs="Arial"/>
          <w:color w:val="000000"/>
        </w:rPr>
        <w:t xml:space="preserve"> mechanizmu </w:t>
      </w:r>
      <w:proofErr w:type="spellStart"/>
      <w:r>
        <w:rPr>
          <w:rFonts w:ascii="Arial" w:hAnsi="Arial" w:cs="Arial"/>
          <w:color w:val="000000"/>
        </w:rPr>
        <w:t>DiffServ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>1</w:t>
      </w:r>
      <w:r w:rsidR="00CA2E46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możliwość</w:t>
      </w:r>
      <w:proofErr w:type="gramEnd"/>
      <w:r>
        <w:rPr>
          <w:rFonts w:ascii="Arial" w:hAnsi="Arial" w:cs="Arial"/>
          <w:color w:val="000000"/>
        </w:rPr>
        <w:t xml:space="preserve"> tworzenia klas ruchu oraz oznaczanie (</w:t>
      </w:r>
      <w:proofErr w:type="spellStart"/>
      <w:r>
        <w:rPr>
          <w:rFonts w:ascii="Arial" w:hAnsi="Arial" w:cs="Arial"/>
          <w:color w:val="000000"/>
        </w:rPr>
        <w:t>Marking</w:t>
      </w:r>
      <w:proofErr w:type="spellEnd"/>
      <w:r>
        <w:rPr>
          <w:rFonts w:ascii="Arial" w:hAnsi="Arial" w:cs="Arial"/>
          <w:color w:val="000000"/>
        </w:rPr>
        <w:t>), klasyfikowanie i obsługę ruchu (</w:t>
      </w:r>
      <w:proofErr w:type="spellStart"/>
      <w:r>
        <w:rPr>
          <w:rFonts w:ascii="Arial" w:hAnsi="Arial" w:cs="Arial"/>
          <w:color w:val="000000"/>
        </w:rPr>
        <w:t>Policing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Shaping</w:t>
      </w:r>
      <w:proofErr w:type="spellEnd"/>
      <w:r>
        <w:rPr>
          <w:rFonts w:ascii="Arial" w:hAnsi="Arial" w:cs="Arial"/>
          <w:color w:val="000000"/>
        </w:rPr>
        <w:t xml:space="preserve">) w oparciu o klasę ruchu, </w:t>
      </w:r>
    </w:p>
    <w:p w:rsidR="00756E83" w:rsidRDefault="00CA2E46">
      <w:pPr>
        <w:spacing w:after="120" w:line="300" w:lineRule="exact"/>
      </w:pPr>
      <w:r>
        <w:rPr>
          <w:rFonts w:ascii="Arial" w:hAnsi="Arial" w:cs="Arial"/>
          <w:color w:val="000000"/>
        </w:rPr>
        <w:t>19</w:t>
      </w:r>
      <w:r w:rsidR="00BF6B9D">
        <w:rPr>
          <w:rFonts w:ascii="Arial" w:hAnsi="Arial" w:cs="Arial"/>
          <w:color w:val="000000"/>
        </w:rPr>
        <w:t xml:space="preserve">. </w:t>
      </w:r>
      <w:proofErr w:type="gramStart"/>
      <w:r w:rsidR="00BF6B9D">
        <w:rPr>
          <w:rFonts w:ascii="Arial" w:hAnsi="Arial" w:cs="Arial"/>
          <w:color w:val="000000"/>
        </w:rPr>
        <w:t>obsługa</w:t>
      </w:r>
      <w:proofErr w:type="gramEnd"/>
      <w:r w:rsidR="00BF6B9D">
        <w:rPr>
          <w:rFonts w:ascii="Arial" w:hAnsi="Arial" w:cs="Arial"/>
          <w:color w:val="000000"/>
        </w:rPr>
        <w:t xml:space="preserve"> mechanizmów kolejkowania ruchu: </w:t>
      </w:r>
    </w:p>
    <w:p w:rsidR="00756E83" w:rsidRDefault="00BF6B9D">
      <w:pPr>
        <w:spacing w:after="120" w:line="300" w:lineRule="exact"/>
        <w:ind w:firstLine="426"/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z</w:t>
      </w:r>
      <w:proofErr w:type="gramEnd"/>
      <w:r>
        <w:rPr>
          <w:rFonts w:ascii="Arial" w:hAnsi="Arial" w:cs="Arial"/>
          <w:color w:val="000000"/>
        </w:rPr>
        <w:t xml:space="preserve"> obsługą kolejki absolutnego priorytetu, </w:t>
      </w:r>
    </w:p>
    <w:p w:rsidR="00756E83" w:rsidRDefault="00BF6B9D">
      <w:pPr>
        <w:spacing w:after="120" w:line="300" w:lineRule="exact"/>
        <w:ind w:firstLine="426"/>
      </w:pPr>
      <w:proofErr w:type="gramStart"/>
      <w:r>
        <w:rPr>
          <w:rFonts w:ascii="Arial" w:hAnsi="Arial" w:cs="Arial"/>
          <w:color w:val="000000"/>
        </w:rPr>
        <w:t>b</w:t>
      </w:r>
      <w:proofErr w:type="gramEnd"/>
      <w:r>
        <w:rPr>
          <w:rFonts w:ascii="Arial" w:hAnsi="Arial" w:cs="Arial"/>
          <w:color w:val="000000"/>
        </w:rPr>
        <w:t xml:space="preserve">. ze statyczną alokacją pasma dla typu ruchu, </w:t>
      </w:r>
    </w:p>
    <w:p w:rsidR="00756E83" w:rsidRDefault="00BF6B9D">
      <w:pPr>
        <w:spacing w:after="120" w:line="300" w:lineRule="exact"/>
        <w:ind w:firstLine="426"/>
      </w:pPr>
      <w:proofErr w:type="gramStart"/>
      <w:r>
        <w:rPr>
          <w:rFonts w:ascii="Arial" w:hAnsi="Arial" w:cs="Arial"/>
          <w:color w:val="000000"/>
        </w:rPr>
        <w:t>c</w:t>
      </w:r>
      <w:proofErr w:type="gramEnd"/>
      <w:r>
        <w:rPr>
          <w:rFonts w:ascii="Arial" w:hAnsi="Arial" w:cs="Arial"/>
          <w:color w:val="000000"/>
        </w:rPr>
        <w:t>. WFQ;</w:t>
      </w:r>
    </w:p>
    <w:p w:rsidR="00756E83" w:rsidRDefault="00BF6B9D">
      <w:pPr>
        <w:spacing w:after="120" w:line="3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CA2E46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 Urządzenie wyposażone w minimum 4 porty Ethernet (Min 2x RJ45 + 2x SPF)</w:t>
      </w:r>
    </w:p>
    <w:p w:rsidR="00490EAA" w:rsidRPr="004F0252" w:rsidRDefault="00490EAA" w:rsidP="00490EAA">
      <w:pPr>
        <w:spacing w:after="120" w:line="300" w:lineRule="exact"/>
        <w:rPr>
          <w:rFonts w:ascii="Arial" w:hAnsi="Arial" w:cs="Arial"/>
          <w:b/>
          <w:color w:val="000000"/>
        </w:rPr>
      </w:pPr>
      <w:proofErr w:type="gramStart"/>
      <w:r w:rsidRPr="004F0252">
        <w:rPr>
          <w:rFonts w:ascii="Arial" w:hAnsi="Arial" w:cs="Arial"/>
          <w:b/>
          <w:color w:val="000000"/>
        </w:rPr>
        <w:t>21 .</w:t>
      </w:r>
      <w:proofErr w:type="gramEnd"/>
      <w:r w:rsidRPr="004F0252">
        <w:rPr>
          <w:rFonts w:ascii="Arial" w:hAnsi="Arial" w:cs="Arial"/>
          <w:b/>
          <w:color w:val="000000"/>
        </w:rPr>
        <w:t>Urządzenie powinno być wyposażone w 32GB pamięci RAM</w:t>
      </w:r>
    </w:p>
    <w:p w:rsidR="00756E83" w:rsidRDefault="00BF6B9D">
      <w:pPr>
        <w:spacing w:after="120" w:line="240" w:lineRule="auto"/>
      </w:pPr>
      <w:r>
        <w:rPr>
          <w:rFonts w:ascii="Arial" w:hAnsi="Arial" w:cs="Arial"/>
          <w:color w:val="000000"/>
        </w:rPr>
        <w:t>2</w:t>
      </w:r>
      <w:r w:rsidR="00490EA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 Urządzenie maksymalnej wysokości 1U</w:t>
      </w:r>
    </w:p>
    <w:p w:rsidR="00756E83" w:rsidRDefault="00BF6B9D">
      <w:pPr>
        <w:spacing w:after="120" w:line="240" w:lineRule="auto"/>
      </w:pPr>
      <w:r>
        <w:rPr>
          <w:rFonts w:ascii="Arial" w:hAnsi="Arial" w:cs="Arial"/>
          <w:color w:val="000000"/>
        </w:rPr>
        <w:t>2</w:t>
      </w:r>
      <w:r w:rsidR="00490EAA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 Urządzenie wyposażone w moduł umożliwiający komunikację po sieci komórkowej w technologii minimum 4G (LTE)</w:t>
      </w:r>
    </w:p>
    <w:p w:rsidR="00756E83" w:rsidRDefault="00756E83">
      <w:pPr>
        <w:spacing w:after="120" w:line="240" w:lineRule="auto"/>
      </w:pPr>
    </w:p>
    <w:p w:rsidR="00756E83" w:rsidRDefault="00BF6B9D">
      <w:pPr>
        <w:spacing w:after="120" w:line="300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Osprzęt niezbędny do uruchomienia urządzeń:</w:t>
      </w:r>
    </w:p>
    <w:p w:rsidR="00756E83" w:rsidRDefault="00BF6B9D">
      <w:pPr>
        <w:spacing w:after="120" w:line="300" w:lineRule="exact"/>
      </w:pPr>
      <w:r>
        <w:rPr>
          <w:rFonts w:ascii="Arial" w:hAnsi="Arial" w:cs="Arial"/>
          <w:color w:val="000000"/>
        </w:rPr>
        <w:t>Łącznie 8 sztuk dedykowanych, certyfikowanych, przez producenta zaproponowanego urządzenia, wkłade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k do portów typu „10/100/1000BaseTX SFP” </w:t>
      </w:r>
    </w:p>
    <w:sectPr w:rsidR="00756E8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83"/>
    <w:rsid w:val="00490EAA"/>
    <w:rsid w:val="004F0252"/>
    <w:rsid w:val="00756E83"/>
    <w:rsid w:val="007B3347"/>
    <w:rsid w:val="009576C3"/>
    <w:rsid w:val="00BF6B9D"/>
    <w:rsid w:val="00CA2E46"/>
    <w:rsid w:val="00CA4D89"/>
    <w:rsid w:val="00E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69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E3DAB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E3DAB"/>
    <w:rPr>
      <w:rFonts w:ascii="Arial" w:eastAsia="Times New Roman" w:hAnsi="Arial" w:cs="Arial"/>
      <w:b/>
      <w:bCs/>
      <w:color w:val="000000"/>
      <w:kern w:val="2"/>
      <w:sz w:val="32"/>
      <w:szCs w:val="32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69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E3DAB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E3DAB"/>
    <w:rPr>
      <w:rFonts w:ascii="Arial" w:eastAsia="Times New Roman" w:hAnsi="Arial" w:cs="Arial"/>
      <w:b/>
      <w:bCs/>
      <w:color w:val="000000"/>
      <w:kern w:val="2"/>
      <w:sz w:val="32"/>
      <w:szCs w:val="32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Urszula Sadowska</cp:lastModifiedBy>
  <cp:revision>2</cp:revision>
  <dcterms:created xsi:type="dcterms:W3CDTF">2022-03-29T15:16:00Z</dcterms:created>
  <dcterms:modified xsi:type="dcterms:W3CDTF">2022-03-29T15:16:00Z</dcterms:modified>
  <dc:language>pl-PL</dc:language>
</cp:coreProperties>
</file>