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74B09" w14:textId="77777777" w:rsidR="00184653" w:rsidRPr="00CD308A" w:rsidRDefault="00184653" w:rsidP="00184653">
      <w:pPr>
        <w:jc w:val="center"/>
        <w:rPr>
          <w:rStyle w:val="markedcontent"/>
          <w:rFonts w:cstheme="minorHAnsi"/>
          <w:b/>
          <w:sz w:val="32"/>
          <w:szCs w:val="32"/>
        </w:rPr>
      </w:pPr>
      <w:bookmarkStart w:id="0" w:name="_Hlk95125327"/>
      <w:bookmarkStart w:id="1" w:name="_Hlk127959152"/>
      <w:bookmarkStart w:id="2" w:name="_Hlk127541664"/>
      <w:bookmarkEnd w:id="0"/>
    </w:p>
    <w:p w14:paraId="70266B10" w14:textId="77777777" w:rsidR="00184653" w:rsidRPr="00CD308A" w:rsidRDefault="00184653" w:rsidP="00184653">
      <w:pPr>
        <w:jc w:val="center"/>
        <w:rPr>
          <w:rStyle w:val="markedcontent"/>
          <w:rFonts w:cstheme="minorHAnsi"/>
          <w:b/>
          <w:sz w:val="32"/>
          <w:szCs w:val="32"/>
        </w:rPr>
      </w:pPr>
    </w:p>
    <w:p w14:paraId="0CE63A01" w14:textId="77777777" w:rsidR="00184653" w:rsidRPr="00CD308A" w:rsidRDefault="00184653" w:rsidP="00184653">
      <w:pPr>
        <w:jc w:val="center"/>
        <w:rPr>
          <w:rStyle w:val="markedcontent"/>
          <w:rFonts w:cstheme="minorHAnsi"/>
          <w:b/>
          <w:sz w:val="48"/>
          <w:szCs w:val="48"/>
        </w:rPr>
      </w:pPr>
      <w:r w:rsidRPr="00CD308A">
        <w:rPr>
          <w:rStyle w:val="markedcontent"/>
          <w:rFonts w:cstheme="minorHAnsi"/>
          <w:b/>
          <w:sz w:val="48"/>
          <w:szCs w:val="48"/>
        </w:rPr>
        <w:t>SPRAWOZDANIE</w:t>
      </w:r>
      <w:bookmarkStart w:id="3" w:name="_GoBack"/>
      <w:bookmarkEnd w:id="3"/>
    </w:p>
    <w:p w14:paraId="774BEF22" w14:textId="77777777" w:rsidR="00184653" w:rsidRPr="00CD308A" w:rsidRDefault="00184653" w:rsidP="00184653">
      <w:pPr>
        <w:jc w:val="center"/>
        <w:rPr>
          <w:rStyle w:val="markedcontent"/>
          <w:rFonts w:cstheme="minorHAnsi"/>
          <w:b/>
          <w:sz w:val="48"/>
          <w:szCs w:val="48"/>
        </w:rPr>
      </w:pPr>
      <w:r w:rsidRPr="00CD308A">
        <w:rPr>
          <w:rStyle w:val="markedcontent"/>
          <w:rFonts w:cstheme="minorHAnsi"/>
          <w:b/>
          <w:sz w:val="48"/>
          <w:szCs w:val="48"/>
        </w:rPr>
        <w:t>Z DZIAŁALNOŚCI PEŁNOMOCNIKA RZĄDU DO SPRAW RÓWNEGO TRAKTOWANIA</w:t>
      </w:r>
    </w:p>
    <w:p w14:paraId="3721E316" w14:textId="77777777" w:rsidR="00184653" w:rsidRPr="00CD308A" w:rsidRDefault="00184653" w:rsidP="00184653">
      <w:pPr>
        <w:jc w:val="center"/>
        <w:rPr>
          <w:rStyle w:val="markedcontent"/>
          <w:rFonts w:cstheme="minorHAnsi"/>
          <w:b/>
          <w:sz w:val="48"/>
          <w:szCs w:val="48"/>
        </w:rPr>
      </w:pPr>
      <w:r w:rsidRPr="00CD308A">
        <w:rPr>
          <w:rStyle w:val="markedcontent"/>
          <w:rFonts w:cstheme="minorHAnsi"/>
          <w:b/>
          <w:sz w:val="48"/>
          <w:szCs w:val="48"/>
        </w:rPr>
        <w:t>ZA OKRES</w:t>
      </w:r>
    </w:p>
    <w:p w14:paraId="2A11A706" w14:textId="357A4310" w:rsidR="00184653" w:rsidRPr="00CD308A" w:rsidRDefault="00184653" w:rsidP="00184653">
      <w:pPr>
        <w:jc w:val="center"/>
        <w:rPr>
          <w:rStyle w:val="markedcontent"/>
          <w:rFonts w:cstheme="minorHAnsi"/>
          <w:b/>
          <w:sz w:val="48"/>
          <w:szCs w:val="48"/>
        </w:rPr>
      </w:pPr>
      <w:r w:rsidRPr="00CD308A">
        <w:rPr>
          <w:rStyle w:val="markedcontent"/>
          <w:rFonts w:cstheme="minorHAnsi"/>
          <w:b/>
          <w:sz w:val="48"/>
          <w:szCs w:val="48"/>
        </w:rPr>
        <w:t>OD 1 STYCZNIA DO 31 GRUDNIA 2022</w:t>
      </w:r>
      <w:r w:rsidR="00BB7311">
        <w:rPr>
          <w:rStyle w:val="markedcontent"/>
          <w:rFonts w:cstheme="minorHAnsi"/>
          <w:b/>
          <w:sz w:val="48"/>
          <w:szCs w:val="48"/>
        </w:rPr>
        <w:t> </w:t>
      </w:r>
      <w:r w:rsidR="00BB7311" w:rsidRPr="00CD308A">
        <w:rPr>
          <w:rStyle w:val="markedcontent"/>
          <w:rFonts w:cstheme="minorHAnsi"/>
          <w:b/>
          <w:sz w:val="48"/>
          <w:szCs w:val="48"/>
        </w:rPr>
        <w:t>R</w:t>
      </w:r>
      <w:r w:rsidR="00BB7311">
        <w:rPr>
          <w:rStyle w:val="markedcontent"/>
          <w:rFonts w:cstheme="minorHAnsi"/>
          <w:b/>
          <w:sz w:val="48"/>
          <w:szCs w:val="48"/>
        </w:rPr>
        <w:t>.</w:t>
      </w:r>
    </w:p>
    <w:p w14:paraId="02415777" w14:textId="77777777" w:rsidR="00184653" w:rsidRPr="00CD308A" w:rsidRDefault="00184653" w:rsidP="00184653">
      <w:pPr>
        <w:jc w:val="center"/>
        <w:rPr>
          <w:rStyle w:val="markedcontent"/>
          <w:rFonts w:cstheme="minorHAnsi"/>
          <w:b/>
          <w:sz w:val="56"/>
          <w:szCs w:val="56"/>
        </w:rPr>
      </w:pPr>
    </w:p>
    <w:p w14:paraId="1FC5323F" w14:textId="77777777" w:rsidR="00184653" w:rsidRPr="00CD308A" w:rsidRDefault="00184653" w:rsidP="00184653">
      <w:pPr>
        <w:jc w:val="center"/>
        <w:rPr>
          <w:rStyle w:val="markedcontent"/>
          <w:rFonts w:cstheme="minorHAnsi"/>
          <w:b/>
          <w:sz w:val="32"/>
          <w:szCs w:val="32"/>
        </w:rPr>
      </w:pPr>
    </w:p>
    <w:p w14:paraId="6B254F56" w14:textId="77777777" w:rsidR="00184653" w:rsidRPr="00CD308A" w:rsidRDefault="00184653" w:rsidP="00184653">
      <w:pPr>
        <w:jc w:val="center"/>
        <w:rPr>
          <w:rStyle w:val="markedcontent"/>
          <w:rFonts w:cstheme="minorHAnsi"/>
          <w:b/>
          <w:sz w:val="32"/>
          <w:szCs w:val="32"/>
        </w:rPr>
      </w:pPr>
    </w:p>
    <w:p w14:paraId="11618CC8" w14:textId="77777777" w:rsidR="00184653" w:rsidRPr="00CD308A" w:rsidRDefault="00184653" w:rsidP="00184653">
      <w:pPr>
        <w:jc w:val="center"/>
        <w:rPr>
          <w:rStyle w:val="markedcontent"/>
          <w:rFonts w:cstheme="minorHAnsi"/>
          <w:b/>
          <w:sz w:val="32"/>
          <w:szCs w:val="32"/>
        </w:rPr>
      </w:pPr>
    </w:p>
    <w:p w14:paraId="666295EB" w14:textId="77777777" w:rsidR="00184653" w:rsidRPr="00CD308A" w:rsidRDefault="00184653" w:rsidP="00184653">
      <w:pPr>
        <w:jc w:val="center"/>
        <w:rPr>
          <w:rStyle w:val="markedcontent"/>
          <w:rFonts w:cstheme="minorHAnsi"/>
          <w:b/>
          <w:sz w:val="32"/>
          <w:szCs w:val="32"/>
        </w:rPr>
      </w:pPr>
    </w:p>
    <w:p w14:paraId="6F1E3A3A" w14:textId="77777777" w:rsidR="00184653" w:rsidRPr="00CD308A" w:rsidRDefault="00184653" w:rsidP="00184653">
      <w:pPr>
        <w:jc w:val="center"/>
        <w:rPr>
          <w:rStyle w:val="markedcontent"/>
          <w:rFonts w:cstheme="minorHAnsi"/>
          <w:b/>
          <w:sz w:val="32"/>
          <w:szCs w:val="32"/>
        </w:rPr>
      </w:pPr>
      <w:r w:rsidRPr="00CD308A">
        <w:rPr>
          <w:rStyle w:val="markedcontent"/>
          <w:rFonts w:cstheme="minorHAnsi"/>
          <w:b/>
          <w:sz w:val="32"/>
          <w:szCs w:val="32"/>
        </w:rPr>
        <w:t>Warszawa, 2023</w:t>
      </w:r>
    </w:p>
    <w:p w14:paraId="75ACA573" w14:textId="77777777" w:rsidR="00184653" w:rsidRPr="00CD308A" w:rsidRDefault="00184653" w:rsidP="00184653">
      <w:pPr>
        <w:rPr>
          <w:rStyle w:val="markedcontent"/>
          <w:rFonts w:cstheme="minorHAnsi"/>
          <w:b/>
          <w:sz w:val="32"/>
          <w:szCs w:val="32"/>
        </w:rPr>
      </w:pPr>
    </w:p>
    <w:p w14:paraId="7B5419A5" w14:textId="1A96CD7F" w:rsidR="00184653" w:rsidRPr="00CD308A" w:rsidRDefault="003B671C" w:rsidP="00184653">
      <w:pPr>
        <w:rPr>
          <w:rStyle w:val="markedcontent"/>
          <w:rFonts w:cstheme="minorHAnsi"/>
          <w:b/>
          <w:sz w:val="32"/>
          <w:szCs w:val="32"/>
        </w:rPr>
      </w:pPr>
      <w:r w:rsidRPr="00CD308A">
        <w:rPr>
          <w:noProof/>
          <w:lang w:eastAsia="pl-PL"/>
        </w:rPr>
        <w:drawing>
          <wp:anchor distT="0" distB="0" distL="114300" distR="114300" simplePos="0" relativeHeight="251662336" behindDoc="1" locked="0" layoutInCell="1" allowOverlap="1" wp14:anchorId="26565296" wp14:editId="13775322">
            <wp:simplePos x="0" y="0"/>
            <wp:positionH relativeFrom="margin">
              <wp:posOffset>1609725</wp:posOffset>
            </wp:positionH>
            <wp:positionV relativeFrom="page">
              <wp:posOffset>9032240</wp:posOffset>
            </wp:positionV>
            <wp:extent cx="2486025" cy="704215"/>
            <wp:effectExtent l="0" t="0" r="9525" b="0"/>
            <wp:wrapTight wrapText="bothSides">
              <wp:wrapPolygon edited="0">
                <wp:start x="0" y="0"/>
                <wp:lineTo x="0" y="20653"/>
                <wp:lineTo x="21517" y="20653"/>
                <wp:lineTo x="21517"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AS_PRDSR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25" cy="704215"/>
                    </a:xfrm>
                    <a:prstGeom prst="rect">
                      <a:avLst/>
                    </a:prstGeom>
                  </pic:spPr>
                </pic:pic>
              </a:graphicData>
            </a:graphic>
            <wp14:sizeRelV relativeFrom="margin">
              <wp14:pctHeight>0</wp14:pctHeight>
            </wp14:sizeRelV>
          </wp:anchor>
        </w:drawing>
      </w:r>
    </w:p>
    <w:p w14:paraId="6BB66380" w14:textId="77777777" w:rsidR="00FA41AB" w:rsidRDefault="00FA41AB" w:rsidP="00184653">
      <w:pPr>
        <w:rPr>
          <w:rStyle w:val="markedcontent"/>
          <w:rFonts w:cstheme="minorHAnsi"/>
          <w:b/>
        </w:rPr>
      </w:pPr>
    </w:p>
    <w:sdt>
      <w:sdtPr>
        <w:rPr>
          <w:rFonts w:eastAsiaTheme="minorEastAsia" w:cstheme="minorBidi"/>
          <w:b w:val="0"/>
          <w:color w:val="auto"/>
          <w:lang w:eastAsia="en-US"/>
        </w:rPr>
        <w:id w:val="1196421344"/>
        <w:docPartObj>
          <w:docPartGallery w:val="Table of Contents"/>
          <w:docPartUnique/>
        </w:docPartObj>
      </w:sdtPr>
      <w:sdtEndPr>
        <w:rPr>
          <w:bCs/>
          <w:sz w:val="20"/>
        </w:rPr>
      </w:sdtEndPr>
      <w:sdtContent>
        <w:p w14:paraId="2BBE78A5" w14:textId="5C527BD6" w:rsidR="00FA41AB" w:rsidRPr="00D34B4D" w:rsidRDefault="00FA41AB" w:rsidP="00BE1631">
          <w:pPr>
            <w:pStyle w:val="Nagwekspisutreci"/>
          </w:pPr>
          <w:r w:rsidRPr="00D34B4D">
            <w:t>Spis treści</w:t>
          </w:r>
        </w:p>
        <w:p w14:paraId="139696FB" w14:textId="4C0F463A" w:rsidR="00527D92" w:rsidRPr="00D34B4D" w:rsidRDefault="00527D92">
          <w:pPr>
            <w:pStyle w:val="Spistreci1"/>
            <w:tabs>
              <w:tab w:val="left" w:pos="480"/>
              <w:tab w:val="right" w:leader="dot" w:pos="9062"/>
            </w:tabs>
            <w:rPr>
              <w:rFonts w:ascii="Lato" w:hAnsi="Lato" w:cstheme="minorBidi"/>
              <w:b w:val="0"/>
              <w:bCs w:val="0"/>
              <w:caps w:val="0"/>
              <w:noProof/>
              <w:sz w:val="20"/>
              <w:szCs w:val="22"/>
              <w:lang w:eastAsia="pl-PL"/>
            </w:rPr>
          </w:pPr>
          <w:r w:rsidRPr="00D34B4D">
            <w:rPr>
              <w:rFonts w:ascii="Lato" w:hAnsi="Lato"/>
              <w:b w:val="0"/>
              <w:bCs w:val="0"/>
              <w:caps w:val="0"/>
              <w:sz w:val="20"/>
            </w:rPr>
            <w:fldChar w:fldCharType="begin"/>
          </w:r>
          <w:r w:rsidRPr="00D34B4D">
            <w:rPr>
              <w:rFonts w:ascii="Lato" w:hAnsi="Lato"/>
              <w:b w:val="0"/>
              <w:bCs w:val="0"/>
              <w:caps w:val="0"/>
              <w:sz w:val="20"/>
            </w:rPr>
            <w:instrText xml:space="preserve"> TOC \o "1-3" \h \z \u </w:instrText>
          </w:r>
          <w:r w:rsidRPr="00D34B4D">
            <w:rPr>
              <w:rFonts w:ascii="Lato" w:hAnsi="Lato"/>
              <w:b w:val="0"/>
              <w:bCs w:val="0"/>
              <w:caps w:val="0"/>
              <w:sz w:val="20"/>
            </w:rPr>
            <w:fldChar w:fldCharType="separate"/>
          </w:r>
          <w:hyperlink w:anchor="_Toc128750768" w:history="1">
            <w:r w:rsidRPr="00D34B4D">
              <w:rPr>
                <w:rStyle w:val="Hipercze"/>
                <w:rFonts w:ascii="Lato" w:hAnsi="Lato"/>
                <w:b w:val="0"/>
                <w:noProof/>
                <w:sz w:val="20"/>
              </w:rPr>
              <w:t>2.</w:t>
            </w:r>
            <w:r w:rsidRPr="00D34B4D">
              <w:rPr>
                <w:rFonts w:ascii="Lato" w:hAnsi="Lato" w:cstheme="minorBidi"/>
                <w:b w:val="0"/>
                <w:bCs w:val="0"/>
                <w:caps w:val="0"/>
                <w:noProof/>
                <w:sz w:val="20"/>
                <w:szCs w:val="22"/>
                <w:lang w:eastAsia="pl-PL"/>
              </w:rPr>
              <w:tab/>
            </w:r>
            <w:r w:rsidRPr="00D34B4D">
              <w:rPr>
                <w:rStyle w:val="Hipercze"/>
                <w:rFonts w:ascii="Lato" w:hAnsi="Lato"/>
                <w:b w:val="0"/>
                <w:noProof/>
                <w:sz w:val="20"/>
              </w:rPr>
              <w:t>WSTĘP</w:t>
            </w:r>
            <w:r w:rsidRPr="00D34B4D">
              <w:rPr>
                <w:rFonts w:ascii="Lato" w:hAnsi="Lato"/>
                <w:b w:val="0"/>
                <w:noProof/>
                <w:webHidden/>
                <w:sz w:val="20"/>
              </w:rPr>
              <w:tab/>
            </w:r>
            <w:r w:rsidRPr="00D34B4D">
              <w:rPr>
                <w:rFonts w:ascii="Lato" w:hAnsi="Lato"/>
                <w:b w:val="0"/>
                <w:noProof/>
                <w:webHidden/>
                <w:sz w:val="20"/>
              </w:rPr>
              <w:fldChar w:fldCharType="begin"/>
            </w:r>
            <w:r w:rsidRPr="00D34B4D">
              <w:rPr>
                <w:rFonts w:ascii="Lato" w:hAnsi="Lato"/>
                <w:b w:val="0"/>
                <w:noProof/>
                <w:webHidden/>
                <w:sz w:val="20"/>
              </w:rPr>
              <w:instrText xml:space="preserve"> PAGEREF _Toc128750768 \h </w:instrText>
            </w:r>
            <w:r w:rsidRPr="00D34B4D">
              <w:rPr>
                <w:rFonts w:ascii="Lato" w:hAnsi="Lato"/>
                <w:b w:val="0"/>
                <w:noProof/>
                <w:webHidden/>
                <w:sz w:val="20"/>
              </w:rPr>
            </w:r>
            <w:r w:rsidRPr="00D34B4D">
              <w:rPr>
                <w:rFonts w:ascii="Lato" w:hAnsi="Lato"/>
                <w:b w:val="0"/>
                <w:noProof/>
                <w:webHidden/>
                <w:sz w:val="20"/>
              </w:rPr>
              <w:fldChar w:fldCharType="separate"/>
            </w:r>
            <w:r w:rsidRPr="00D34B4D">
              <w:rPr>
                <w:rFonts w:ascii="Lato" w:hAnsi="Lato"/>
                <w:b w:val="0"/>
                <w:noProof/>
                <w:webHidden/>
                <w:sz w:val="20"/>
              </w:rPr>
              <w:t>3</w:t>
            </w:r>
            <w:r w:rsidRPr="00D34B4D">
              <w:rPr>
                <w:rFonts w:ascii="Lato" w:hAnsi="Lato"/>
                <w:b w:val="0"/>
                <w:noProof/>
                <w:webHidden/>
                <w:sz w:val="20"/>
              </w:rPr>
              <w:fldChar w:fldCharType="end"/>
            </w:r>
          </w:hyperlink>
        </w:p>
        <w:p w14:paraId="132AD1E2" w14:textId="7989D642" w:rsidR="00527D92" w:rsidRPr="00D34B4D" w:rsidRDefault="006452FA">
          <w:pPr>
            <w:pStyle w:val="Spistreci1"/>
            <w:tabs>
              <w:tab w:val="left" w:pos="480"/>
              <w:tab w:val="right" w:leader="dot" w:pos="9062"/>
            </w:tabs>
            <w:rPr>
              <w:rFonts w:ascii="Lato" w:hAnsi="Lato" w:cstheme="minorBidi"/>
              <w:b w:val="0"/>
              <w:bCs w:val="0"/>
              <w:caps w:val="0"/>
              <w:noProof/>
              <w:sz w:val="20"/>
              <w:szCs w:val="22"/>
              <w:lang w:eastAsia="pl-PL"/>
            </w:rPr>
          </w:pPr>
          <w:hyperlink w:anchor="_Toc128750769" w:history="1">
            <w:r w:rsidR="00527D92" w:rsidRPr="00D34B4D">
              <w:rPr>
                <w:rStyle w:val="Hipercze"/>
                <w:rFonts w:ascii="Lato" w:hAnsi="Lato"/>
                <w:b w:val="0"/>
                <w:noProof/>
                <w:sz w:val="20"/>
              </w:rPr>
              <w:t>1.</w:t>
            </w:r>
            <w:r w:rsidR="00527D92" w:rsidRPr="00D34B4D">
              <w:rPr>
                <w:rFonts w:ascii="Lato" w:hAnsi="Lato" w:cstheme="minorBidi"/>
                <w:b w:val="0"/>
                <w:bCs w:val="0"/>
                <w:caps w:val="0"/>
                <w:noProof/>
                <w:sz w:val="20"/>
                <w:szCs w:val="22"/>
                <w:lang w:eastAsia="pl-PL"/>
              </w:rPr>
              <w:tab/>
            </w:r>
            <w:r w:rsidR="00527D92" w:rsidRPr="00D34B4D">
              <w:rPr>
                <w:rStyle w:val="Hipercze"/>
                <w:rFonts w:ascii="Lato" w:hAnsi="Lato"/>
                <w:b w:val="0"/>
                <w:noProof/>
                <w:sz w:val="20"/>
              </w:rPr>
              <w:t>PEŁNOMOCNIK RZĄDU DO SPRAW RÓWNEGO TRAKTOWANIA</w:t>
            </w:r>
            <w:r w:rsidR="00527D92" w:rsidRPr="00D34B4D">
              <w:rPr>
                <w:rFonts w:ascii="Lato" w:hAnsi="Lato"/>
                <w:b w:val="0"/>
                <w:noProof/>
                <w:webHidden/>
                <w:sz w:val="20"/>
              </w:rPr>
              <w:tab/>
            </w:r>
            <w:r w:rsidR="00527D92" w:rsidRPr="00D34B4D">
              <w:rPr>
                <w:rFonts w:ascii="Lato" w:hAnsi="Lato"/>
                <w:b w:val="0"/>
                <w:noProof/>
                <w:webHidden/>
                <w:sz w:val="20"/>
              </w:rPr>
              <w:fldChar w:fldCharType="begin"/>
            </w:r>
            <w:r w:rsidR="00527D92" w:rsidRPr="00D34B4D">
              <w:rPr>
                <w:rFonts w:ascii="Lato" w:hAnsi="Lato"/>
                <w:b w:val="0"/>
                <w:noProof/>
                <w:webHidden/>
                <w:sz w:val="20"/>
              </w:rPr>
              <w:instrText xml:space="preserve"> PAGEREF _Toc128750769 \h </w:instrText>
            </w:r>
            <w:r w:rsidR="00527D92" w:rsidRPr="00D34B4D">
              <w:rPr>
                <w:rFonts w:ascii="Lato" w:hAnsi="Lato"/>
                <w:b w:val="0"/>
                <w:noProof/>
                <w:webHidden/>
                <w:sz w:val="20"/>
              </w:rPr>
            </w:r>
            <w:r w:rsidR="00527D92" w:rsidRPr="00D34B4D">
              <w:rPr>
                <w:rFonts w:ascii="Lato" w:hAnsi="Lato"/>
                <w:b w:val="0"/>
                <w:noProof/>
                <w:webHidden/>
                <w:sz w:val="20"/>
              </w:rPr>
              <w:fldChar w:fldCharType="separate"/>
            </w:r>
            <w:r w:rsidR="00527D92" w:rsidRPr="00D34B4D">
              <w:rPr>
                <w:rFonts w:ascii="Lato" w:hAnsi="Lato"/>
                <w:b w:val="0"/>
                <w:noProof/>
                <w:webHidden/>
                <w:sz w:val="20"/>
              </w:rPr>
              <w:t>4</w:t>
            </w:r>
            <w:r w:rsidR="00527D92" w:rsidRPr="00D34B4D">
              <w:rPr>
                <w:rFonts w:ascii="Lato" w:hAnsi="Lato"/>
                <w:b w:val="0"/>
                <w:noProof/>
                <w:webHidden/>
                <w:sz w:val="20"/>
              </w:rPr>
              <w:fldChar w:fldCharType="end"/>
            </w:r>
          </w:hyperlink>
        </w:p>
        <w:p w14:paraId="6CC29581" w14:textId="108AD3AF" w:rsidR="00527D92" w:rsidRPr="00D34B4D" w:rsidRDefault="006452FA" w:rsidP="00E165EA">
          <w:pPr>
            <w:pStyle w:val="Spistreci2"/>
            <w:rPr>
              <w:rFonts w:cstheme="minorBidi"/>
              <w:noProof/>
              <w:szCs w:val="22"/>
              <w:lang w:eastAsia="pl-PL"/>
            </w:rPr>
          </w:pPr>
          <w:hyperlink w:anchor="_Toc128750771" w:history="1">
            <w:r w:rsidR="00527D92" w:rsidRPr="00D34B4D">
              <w:rPr>
                <w:rStyle w:val="Hipercze"/>
                <w:rFonts w:ascii="Lato" w:hAnsi="Lato"/>
                <w:b w:val="0"/>
                <w:noProof/>
              </w:rPr>
              <w:t>1.1.</w:t>
            </w:r>
            <w:r w:rsidR="00527D92" w:rsidRPr="00D34B4D">
              <w:rPr>
                <w:rFonts w:cstheme="minorBidi"/>
                <w:noProof/>
                <w:szCs w:val="22"/>
                <w:lang w:eastAsia="pl-PL"/>
              </w:rPr>
              <w:tab/>
            </w:r>
            <w:r w:rsidR="00527D92" w:rsidRPr="00D34B4D">
              <w:rPr>
                <w:rStyle w:val="Hipercze"/>
                <w:rFonts w:ascii="Lato" w:hAnsi="Lato"/>
                <w:b w:val="0"/>
                <w:noProof/>
              </w:rPr>
              <w:t>Podstawa prawna działania, kompetencje i zadania</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_Toc128750771 \h </w:instrText>
            </w:r>
            <w:r w:rsidR="00527D92" w:rsidRPr="00D34B4D">
              <w:rPr>
                <w:noProof/>
                <w:webHidden/>
              </w:rPr>
            </w:r>
            <w:r w:rsidR="00527D92" w:rsidRPr="00D34B4D">
              <w:rPr>
                <w:noProof/>
                <w:webHidden/>
              </w:rPr>
              <w:fldChar w:fldCharType="separate"/>
            </w:r>
            <w:r w:rsidR="00527D92" w:rsidRPr="00D34B4D">
              <w:rPr>
                <w:noProof/>
                <w:webHidden/>
              </w:rPr>
              <w:t>4</w:t>
            </w:r>
            <w:r w:rsidR="00527D92" w:rsidRPr="00D34B4D">
              <w:rPr>
                <w:noProof/>
                <w:webHidden/>
              </w:rPr>
              <w:fldChar w:fldCharType="end"/>
            </w:r>
          </w:hyperlink>
        </w:p>
        <w:p w14:paraId="7FEE5DDC" w14:textId="2E6B8AAA" w:rsidR="00527D92" w:rsidRPr="00D34B4D" w:rsidRDefault="006452FA" w:rsidP="00E165EA">
          <w:pPr>
            <w:pStyle w:val="Spistreci2"/>
            <w:rPr>
              <w:rFonts w:cstheme="minorBidi"/>
              <w:noProof/>
              <w:szCs w:val="22"/>
              <w:lang w:eastAsia="pl-PL"/>
            </w:rPr>
          </w:pPr>
          <w:hyperlink w:anchor="_Toc128750772" w:history="1">
            <w:r w:rsidR="00527D92" w:rsidRPr="00D34B4D">
              <w:rPr>
                <w:rStyle w:val="Hipercze"/>
                <w:rFonts w:ascii="Lato" w:hAnsi="Lato"/>
                <w:b w:val="0"/>
                <w:noProof/>
              </w:rPr>
              <w:t>1.2.</w:t>
            </w:r>
            <w:r w:rsidR="00527D92" w:rsidRPr="00D34B4D">
              <w:rPr>
                <w:rFonts w:cstheme="minorBidi"/>
                <w:noProof/>
                <w:szCs w:val="22"/>
                <w:lang w:eastAsia="pl-PL"/>
              </w:rPr>
              <w:tab/>
            </w:r>
            <w:r w:rsidR="00E165EA" w:rsidRPr="00BE1631">
              <w:rPr>
                <w:rFonts w:ascii="Lato" w:hAnsi="Lato" w:cstheme="minorBidi"/>
                <w:b w:val="0"/>
                <w:noProof/>
                <w:szCs w:val="22"/>
                <w:lang w:eastAsia="pl-PL"/>
              </w:rPr>
              <w:t>Raport z realizacji</w:t>
            </w:r>
            <w:r w:rsidR="00E165EA" w:rsidRPr="00E165EA">
              <w:rPr>
                <w:rStyle w:val="Hipercze"/>
                <w:rFonts w:ascii="Lato" w:hAnsi="Lato" w:cstheme="minorBidi"/>
                <w:b w:val="0"/>
                <w:bCs w:val="0"/>
                <w:noProof/>
                <w:color w:val="auto"/>
                <w:szCs w:val="22"/>
                <w:u w:val="none"/>
                <w:lang w:eastAsia="pl-PL"/>
              </w:rPr>
              <w:t xml:space="preserve"> </w:t>
            </w:r>
            <w:r w:rsidR="00E165EA" w:rsidRPr="00D34B4D">
              <w:rPr>
                <w:rStyle w:val="Hipercze"/>
                <w:rFonts w:ascii="Lato" w:hAnsi="Lato"/>
                <w:b w:val="0"/>
                <w:noProof/>
              </w:rPr>
              <w:t>Krajow</w:t>
            </w:r>
            <w:r w:rsidR="00E165EA">
              <w:rPr>
                <w:rStyle w:val="Hipercze"/>
                <w:rFonts w:ascii="Lato" w:hAnsi="Lato"/>
                <w:b w:val="0"/>
                <w:noProof/>
              </w:rPr>
              <w:t>ego</w:t>
            </w:r>
            <w:r w:rsidR="00E165EA" w:rsidRPr="00D34B4D">
              <w:rPr>
                <w:rStyle w:val="Hipercze"/>
                <w:rFonts w:ascii="Lato" w:hAnsi="Lato"/>
                <w:b w:val="0"/>
                <w:noProof/>
              </w:rPr>
              <w:t xml:space="preserve"> </w:t>
            </w:r>
            <w:r w:rsidR="00527D92" w:rsidRPr="00D34B4D">
              <w:rPr>
                <w:rStyle w:val="Hipercze"/>
                <w:rFonts w:ascii="Lato" w:hAnsi="Lato"/>
                <w:b w:val="0"/>
                <w:noProof/>
              </w:rPr>
              <w:t>Program</w:t>
            </w:r>
            <w:r w:rsidR="00E165EA">
              <w:rPr>
                <w:rStyle w:val="Hipercze"/>
                <w:rFonts w:ascii="Lato" w:hAnsi="Lato"/>
                <w:b w:val="0"/>
                <w:noProof/>
              </w:rPr>
              <w:t>u</w:t>
            </w:r>
            <w:r w:rsidR="00527D92" w:rsidRPr="00D34B4D">
              <w:rPr>
                <w:rStyle w:val="Hipercze"/>
                <w:rFonts w:ascii="Lato" w:hAnsi="Lato"/>
                <w:b w:val="0"/>
                <w:noProof/>
              </w:rPr>
              <w:t xml:space="preserve"> Działań na rzecz Równego Traktowania 2022–2030</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_Toc128750772 \h </w:instrText>
            </w:r>
            <w:r w:rsidR="00527D92" w:rsidRPr="00D34B4D">
              <w:rPr>
                <w:noProof/>
                <w:webHidden/>
              </w:rPr>
            </w:r>
            <w:r w:rsidR="00527D92" w:rsidRPr="00D34B4D">
              <w:rPr>
                <w:noProof/>
                <w:webHidden/>
              </w:rPr>
              <w:fldChar w:fldCharType="separate"/>
            </w:r>
            <w:r w:rsidR="00527D92" w:rsidRPr="00D34B4D">
              <w:rPr>
                <w:noProof/>
                <w:webHidden/>
              </w:rPr>
              <w:t>5</w:t>
            </w:r>
            <w:r w:rsidR="00527D92" w:rsidRPr="00D34B4D">
              <w:rPr>
                <w:noProof/>
                <w:webHidden/>
              </w:rPr>
              <w:fldChar w:fldCharType="end"/>
            </w:r>
          </w:hyperlink>
        </w:p>
        <w:p w14:paraId="7693C59E" w14:textId="70C78105" w:rsidR="00527D92" w:rsidRPr="00D34B4D" w:rsidRDefault="006452FA">
          <w:pPr>
            <w:pStyle w:val="Spistreci1"/>
            <w:tabs>
              <w:tab w:val="left" w:pos="480"/>
              <w:tab w:val="right" w:leader="dot" w:pos="9062"/>
            </w:tabs>
            <w:rPr>
              <w:rFonts w:ascii="Lato" w:hAnsi="Lato" w:cstheme="minorBidi"/>
              <w:b w:val="0"/>
              <w:bCs w:val="0"/>
              <w:caps w:val="0"/>
              <w:noProof/>
              <w:sz w:val="20"/>
              <w:szCs w:val="22"/>
              <w:lang w:eastAsia="pl-PL"/>
            </w:rPr>
          </w:pPr>
          <w:hyperlink w:anchor="_Toc128750773" w:history="1">
            <w:r w:rsidR="00527D92" w:rsidRPr="00D34B4D">
              <w:rPr>
                <w:rStyle w:val="Hipercze"/>
                <w:rFonts w:ascii="Lato" w:hAnsi="Lato"/>
                <w:b w:val="0"/>
                <w:noProof/>
                <w:sz w:val="20"/>
              </w:rPr>
              <w:t>2.</w:t>
            </w:r>
            <w:r w:rsidR="00527D92" w:rsidRPr="00D34B4D">
              <w:rPr>
                <w:rFonts w:ascii="Lato" w:hAnsi="Lato" w:cstheme="minorBidi"/>
                <w:b w:val="0"/>
                <w:bCs w:val="0"/>
                <w:caps w:val="0"/>
                <w:noProof/>
                <w:sz w:val="20"/>
                <w:szCs w:val="22"/>
                <w:lang w:eastAsia="pl-PL"/>
              </w:rPr>
              <w:tab/>
            </w:r>
            <w:r w:rsidR="00527D92" w:rsidRPr="00D34B4D">
              <w:rPr>
                <w:rStyle w:val="Hipercze"/>
                <w:rFonts w:ascii="Lato" w:hAnsi="Lato"/>
                <w:b w:val="0"/>
                <w:noProof/>
                <w:sz w:val="20"/>
              </w:rPr>
              <w:t>MONITOROWANIE SYTUACJI W ZAKRESIE PRZESTRZEGANIA ZASADY RÓWNEGO TRAKTOWANIA</w:t>
            </w:r>
            <w:r w:rsidR="00527D92" w:rsidRPr="00D34B4D">
              <w:rPr>
                <w:rFonts w:ascii="Lato" w:hAnsi="Lato"/>
                <w:b w:val="0"/>
                <w:noProof/>
                <w:webHidden/>
                <w:sz w:val="20"/>
              </w:rPr>
              <w:tab/>
            </w:r>
            <w:r w:rsidR="00527D92" w:rsidRPr="00D34B4D">
              <w:rPr>
                <w:rFonts w:ascii="Lato" w:hAnsi="Lato"/>
                <w:b w:val="0"/>
                <w:noProof/>
                <w:webHidden/>
                <w:sz w:val="20"/>
              </w:rPr>
              <w:fldChar w:fldCharType="begin"/>
            </w:r>
            <w:r w:rsidR="00527D92" w:rsidRPr="00D34B4D">
              <w:rPr>
                <w:rFonts w:ascii="Lato" w:hAnsi="Lato"/>
                <w:b w:val="0"/>
                <w:noProof/>
                <w:webHidden/>
                <w:sz w:val="20"/>
              </w:rPr>
              <w:instrText xml:space="preserve"> PAGEREF _Toc128750773 \h </w:instrText>
            </w:r>
            <w:r w:rsidR="00527D92" w:rsidRPr="00D34B4D">
              <w:rPr>
                <w:rFonts w:ascii="Lato" w:hAnsi="Lato"/>
                <w:b w:val="0"/>
                <w:noProof/>
                <w:webHidden/>
                <w:sz w:val="20"/>
              </w:rPr>
            </w:r>
            <w:r w:rsidR="00527D92" w:rsidRPr="00D34B4D">
              <w:rPr>
                <w:rFonts w:ascii="Lato" w:hAnsi="Lato"/>
                <w:b w:val="0"/>
                <w:noProof/>
                <w:webHidden/>
                <w:sz w:val="20"/>
              </w:rPr>
              <w:fldChar w:fldCharType="separate"/>
            </w:r>
            <w:r w:rsidR="00527D92" w:rsidRPr="00D34B4D">
              <w:rPr>
                <w:rFonts w:ascii="Lato" w:hAnsi="Lato"/>
                <w:b w:val="0"/>
                <w:noProof/>
                <w:webHidden/>
                <w:sz w:val="20"/>
              </w:rPr>
              <w:t>6</w:t>
            </w:r>
            <w:r w:rsidR="00527D92" w:rsidRPr="00D34B4D">
              <w:rPr>
                <w:rFonts w:ascii="Lato" w:hAnsi="Lato"/>
                <w:b w:val="0"/>
                <w:noProof/>
                <w:webHidden/>
                <w:sz w:val="20"/>
              </w:rPr>
              <w:fldChar w:fldCharType="end"/>
            </w:r>
          </w:hyperlink>
        </w:p>
        <w:p w14:paraId="1E11329D" w14:textId="3A6447E6" w:rsidR="00527D92" w:rsidRPr="00D34B4D" w:rsidRDefault="006452FA" w:rsidP="00E165EA">
          <w:pPr>
            <w:pStyle w:val="Spistreci2"/>
            <w:rPr>
              <w:rFonts w:cstheme="minorBidi"/>
              <w:noProof/>
              <w:szCs w:val="22"/>
              <w:lang w:eastAsia="pl-PL"/>
            </w:rPr>
          </w:pPr>
          <w:hyperlink w:anchor="_Toc128750774" w:history="1">
            <w:r w:rsidR="00527D92" w:rsidRPr="00D34B4D">
              <w:rPr>
                <w:rStyle w:val="Hipercze"/>
                <w:rFonts w:ascii="Lato" w:hAnsi="Lato"/>
                <w:b w:val="0"/>
                <w:noProof/>
              </w:rPr>
              <w:t>2.1.</w:t>
            </w:r>
            <w:r w:rsidR="00527D92" w:rsidRPr="00D34B4D">
              <w:rPr>
                <w:rFonts w:cstheme="minorBidi"/>
                <w:noProof/>
                <w:szCs w:val="22"/>
                <w:lang w:eastAsia="pl-PL"/>
              </w:rPr>
              <w:tab/>
            </w:r>
            <w:r w:rsidR="00527D92" w:rsidRPr="00D34B4D">
              <w:rPr>
                <w:rStyle w:val="Hipercze"/>
                <w:rFonts w:ascii="Lato" w:hAnsi="Lato"/>
                <w:b w:val="0"/>
                <w:noProof/>
              </w:rPr>
              <w:t>Działania wynikające ze zobowiązań międzynarodowych i członkostwa Polski  w organizacjach międzynarodowych</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_Toc128750774 \h </w:instrText>
            </w:r>
            <w:r w:rsidR="00527D92" w:rsidRPr="00D34B4D">
              <w:rPr>
                <w:noProof/>
                <w:webHidden/>
              </w:rPr>
            </w:r>
            <w:r w:rsidR="00527D92" w:rsidRPr="00D34B4D">
              <w:rPr>
                <w:noProof/>
                <w:webHidden/>
              </w:rPr>
              <w:fldChar w:fldCharType="separate"/>
            </w:r>
            <w:r w:rsidR="00527D92" w:rsidRPr="00D34B4D">
              <w:rPr>
                <w:noProof/>
                <w:webHidden/>
              </w:rPr>
              <w:t>6</w:t>
            </w:r>
            <w:r w:rsidR="00527D92" w:rsidRPr="00D34B4D">
              <w:rPr>
                <w:noProof/>
                <w:webHidden/>
              </w:rPr>
              <w:fldChar w:fldCharType="end"/>
            </w:r>
          </w:hyperlink>
        </w:p>
        <w:p w14:paraId="14CF8063" w14:textId="31D25DB8"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75" w:history="1">
            <w:r w:rsidR="00527D92" w:rsidRPr="00D34B4D">
              <w:rPr>
                <w:rStyle w:val="Hipercze"/>
                <w:rFonts w:ascii="Lato" w:hAnsi="Lato"/>
                <w:noProof/>
              </w:rPr>
              <w:t>2.1.1.</w:t>
            </w:r>
            <w:r w:rsidR="00527D92" w:rsidRPr="00D34B4D">
              <w:rPr>
                <w:rFonts w:ascii="Lato" w:hAnsi="Lato" w:cstheme="minorBidi"/>
                <w:noProof/>
                <w:szCs w:val="22"/>
                <w:lang w:eastAsia="pl-PL"/>
              </w:rPr>
              <w:tab/>
            </w:r>
            <w:r w:rsidR="00527D92" w:rsidRPr="00D34B4D">
              <w:rPr>
                <w:rStyle w:val="Hipercze"/>
                <w:rFonts w:ascii="Lato" w:hAnsi="Lato"/>
                <w:noProof/>
              </w:rPr>
              <w:t>Przygotowywanie stanowisk w sprawach przed Trybunałem Sprawiedliwości Unii Europejskiej i Europejskim Trybunałem Praw Człowieka</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_Toc128750775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6</w:t>
            </w:r>
            <w:r w:rsidR="00527D92" w:rsidRPr="00D34B4D">
              <w:rPr>
                <w:rFonts w:ascii="Lato" w:hAnsi="Lato"/>
                <w:noProof/>
                <w:webHidden/>
              </w:rPr>
              <w:fldChar w:fldCharType="end"/>
            </w:r>
          </w:hyperlink>
        </w:p>
        <w:p w14:paraId="777D1726" w14:textId="27612E0C" w:rsidR="00527D92" w:rsidRPr="00D34B4D" w:rsidRDefault="006452FA" w:rsidP="00E165EA">
          <w:pPr>
            <w:pStyle w:val="Spistreci2"/>
            <w:rPr>
              <w:rFonts w:cstheme="minorBidi"/>
              <w:noProof/>
              <w:szCs w:val="22"/>
              <w:lang w:eastAsia="pl-PL"/>
            </w:rPr>
          </w:pPr>
          <w:hyperlink w:anchor="_Toc128750776" w:history="1">
            <w:r w:rsidR="00527D92" w:rsidRPr="00D34B4D">
              <w:rPr>
                <w:rStyle w:val="Hipercze"/>
                <w:rFonts w:ascii="Lato" w:hAnsi="Lato"/>
                <w:b w:val="0"/>
                <w:noProof/>
              </w:rPr>
              <w:t>2.2.</w:t>
            </w:r>
            <w:r w:rsidR="00527D92" w:rsidRPr="00D34B4D">
              <w:rPr>
                <w:rFonts w:cstheme="minorBidi"/>
                <w:noProof/>
                <w:szCs w:val="22"/>
                <w:lang w:eastAsia="pl-PL"/>
              </w:rPr>
              <w:tab/>
            </w:r>
            <w:r w:rsidR="00527D92" w:rsidRPr="00D34B4D">
              <w:rPr>
                <w:rStyle w:val="Hipercze"/>
                <w:rFonts w:ascii="Lato" w:hAnsi="Lato"/>
                <w:b w:val="0"/>
                <w:noProof/>
              </w:rPr>
              <w:t>Wniosek dotyczący dyrektywy Rady Unii Europejskiej w sprawie wzmocnienia stosowania zasady równości wynagrodzeń dla kobiet i mężczyzn za taką samą pracę lub pracę o takiej samej wartości za pośrednictwem mechanizmów przejrzystości wynagrodzeń oraz mechanizmów egzekwowania</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_Toc128750776 \h </w:instrText>
            </w:r>
            <w:r w:rsidR="00527D92" w:rsidRPr="00D34B4D">
              <w:rPr>
                <w:noProof/>
                <w:webHidden/>
              </w:rPr>
            </w:r>
            <w:r w:rsidR="00527D92" w:rsidRPr="00D34B4D">
              <w:rPr>
                <w:noProof/>
                <w:webHidden/>
              </w:rPr>
              <w:fldChar w:fldCharType="separate"/>
            </w:r>
            <w:r w:rsidR="00527D92" w:rsidRPr="00D34B4D">
              <w:rPr>
                <w:noProof/>
                <w:webHidden/>
              </w:rPr>
              <w:t>9</w:t>
            </w:r>
            <w:r w:rsidR="00527D92" w:rsidRPr="00D34B4D">
              <w:rPr>
                <w:noProof/>
                <w:webHidden/>
              </w:rPr>
              <w:fldChar w:fldCharType="end"/>
            </w:r>
          </w:hyperlink>
        </w:p>
        <w:p w14:paraId="14EE0E0F" w14:textId="6EB36B08" w:rsidR="00527D92" w:rsidRPr="00D34B4D" w:rsidRDefault="006452FA" w:rsidP="00E165EA">
          <w:pPr>
            <w:pStyle w:val="Spistreci2"/>
            <w:rPr>
              <w:rFonts w:cstheme="minorBidi"/>
              <w:noProof/>
              <w:szCs w:val="22"/>
              <w:lang w:eastAsia="pl-PL"/>
            </w:rPr>
          </w:pPr>
          <w:hyperlink w:anchor="_Toc128750777" w:history="1">
            <w:r w:rsidR="00527D92" w:rsidRPr="00D34B4D">
              <w:rPr>
                <w:rStyle w:val="Hipercze"/>
                <w:rFonts w:ascii="Lato" w:hAnsi="Lato"/>
                <w:b w:val="0"/>
                <w:noProof/>
              </w:rPr>
              <w:t>2.3.</w:t>
            </w:r>
            <w:r w:rsidR="00527D92" w:rsidRPr="00D34B4D">
              <w:rPr>
                <w:rFonts w:cstheme="minorBidi"/>
                <w:noProof/>
                <w:szCs w:val="22"/>
                <w:lang w:eastAsia="pl-PL"/>
              </w:rPr>
              <w:tab/>
            </w:r>
            <w:r w:rsidR="00527D92" w:rsidRPr="00D34B4D">
              <w:rPr>
                <w:rStyle w:val="Hipercze"/>
                <w:rFonts w:ascii="Lato" w:hAnsi="Lato"/>
                <w:b w:val="0"/>
                <w:noProof/>
              </w:rPr>
              <w:t xml:space="preserve">Wniosek </w:t>
            </w:r>
            <w:r w:rsidR="00BB7311">
              <w:rPr>
                <w:rStyle w:val="Hipercze"/>
                <w:rFonts w:ascii="Lato" w:hAnsi="Lato"/>
                <w:b w:val="0"/>
                <w:noProof/>
              </w:rPr>
              <w:t>d</w:t>
            </w:r>
            <w:r w:rsidR="00BB7311" w:rsidRPr="00D34B4D">
              <w:rPr>
                <w:rStyle w:val="Hipercze"/>
                <w:rFonts w:ascii="Lato" w:hAnsi="Lato"/>
                <w:b w:val="0"/>
                <w:noProof/>
              </w:rPr>
              <w:t xml:space="preserve">yrektywy </w:t>
            </w:r>
            <w:r w:rsidR="00527D92" w:rsidRPr="00D34B4D">
              <w:rPr>
                <w:rStyle w:val="Hipercze"/>
                <w:rFonts w:ascii="Lato" w:hAnsi="Lato"/>
                <w:b w:val="0"/>
                <w:noProof/>
              </w:rPr>
              <w:t>Parlamentu Europejskiego i Rady w sprawie poprawy równowagi płci wśród dyrektorów spółek giełdowych oraz powiązanych środków</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_Toc128750777 \h </w:instrText>
            </w:r>
            <w:r w:rsidR="00527D92" w:rsidRPr="00D34B4D">
              <w:rPr>
                <w:noProof/>
                <w:webHidden/>
              </w:rPr>
            </w:r>
            <w:r w:rsidR="00527D92" w:rsidRPr="00D34B4D">
              <w:rPr>
                <w:noProof/>
                <w:webHidden/>
              </w:rPr>
              <w:fldChar w:fldCharType="separate"/>
            </w:r>
            <w:r w:rsidR="00527D92" w:rsidRPr="00D34B4D">
              <w:rPr>
                <w:noProof/>
                <w:webHidden/>
              </w:rPr>
              <w:t>12</w:t>
            </w:r>
            <w:r w:rsidR="00527D92" w:rsidRPr="00D34B4D">
              <w:rPr>
                <w:noProof/>
                <w:webHidden/>
              </w:rPr>
              <w:fldChar w:fldCharType="end"/>
            </w:r>
          </w:hyperlink>
        </w:p>
        <w:p w14:paraId="0B9E15AB" w14:textId="60CA5748" w:rsidR="00527D92" w:rsidRPr="00D34B4D" w:rsidRDefault="006452FA" w:rsidP="00E165EA">
          <w:pPr>
            <w:pStyle w:val="Spistreci2"/>
            <w:rPr>
              <w:rFonts w:cstheme="minorBidi"/>
              <w:noProof/>
              <w:szCs w:val="22"/>
              <w:lang w:eastAsia="pl-PL"/>
            </w:rPr>
          </w:pPr>
          <w:hyperlink w:anchor="_Toc128750778" w:history="1">
            <w:r w:rsidR="00527D92" w:rsidRPr="00D34B4D">
              <w:rPr>
                <w:rStyle w:val="Hipercze"/>
                <w:rFonts w:ascii="Lato" w:hAnsi="Lato"/>
                <w:b w:val="0"/>
                <w:noProof/>
              </w:rPr>
              <w:t>2.4.</w:t>
            </w:r>
            <w:r w:rsidR="00527D92" w:rsidRPr="00D34B4D">
              <w:rPr>
                <w:rFonts w:cstheme="minorBidi"/>
                <w:noProof/>
                <w:szCs w:val="22"/>
                <w:lang w:eastAsia="pl-PL"/>
              </w:rPr>
              <w:tab/>
            </w:r>
            <w:r w:rsidR="00527D92" w:rsidRPr="00D34B4D">
              <w:rPr>
                <w:rStyle w:val="Hipercze"/>
                <w:rFonts w:ascii="Lato" w:hAnsi="Lato"/>
                <w:b w:val="0"/>
                <w:noProof/>
              </w:rPr>
              <w:t>Wniosek dotyczący dyrektywy Rady w sprawie wprowadzenia w życie zasady równego traktowania osób bez względu na religię lub światopogląd, niepełnosprawność, wiek lub orientację seksualną</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_Toc128750778 \h </w:instrText>
            </w:r>
            <w:r w:rsidR="00527D92" w:rsidRPr="00D34B4D">
              <w:rPr>
                <w:noProof/>
                <w:webHidden/>
              </w:rPr>
            </w:r>
            <w:r w:rsidR="00527D92" w:rsidRPr="00D34B4D">
              <w:rPr>
                <w:noProof/>
                <w:webHidden/>
              </w:rPr>
              <w:fldChar w:fldCharType="separate"/>
            </w:r>
            <w:r w:rsidR="00527D92" w:rsidRPr="00D34B4D">
              <w:rPr>
                <w:noProof/>
                <w:webHidden/>
              </w:rPr>
              <w:t>13</w:t>
            </w:r>
            <w:r w:rsidR="00527D92" w:rsidRPr="00D34B4D">
              <w:rPr>
                <w:noProof/>
                <w:webHidden/>
              </w:rPr>
              <w:fldChar w:fldCharType="end"/>
            </w:r>
          </w:hyperlink>
        </w:p>
        <w:p w14:paraId="4AB1E7C9" w14:textId="436D5A5D" w:rsidR="00527D92" w:rsidRPr="00D34B4D" w:rsidRDefault="006452FA">
          <w:pPr>
            <w:pStyle w:val="Spistreci1"/>
            <w:tabs>
              <w:tab w:val="left" w:pos="480"/>
              <w:tab w:val="right" w:leader="dot" w:pos="9062"/>
            </w:tabs>
            <w:rPr>
              <w:rFonts w:ascii="Lato" w:hAnsi="Lato" w:cstheme="minorBidi"/>
              <w:b w:val="0"/>
              <w:bCs w:val="0"/>
              <w:caps w:val="0"/>
              <w:noProof/>
              <w:sz w:val="20"/>
              <w:szCs w:val="22"/>
              <w:lang w:eastAsia="pl-PL"/>
            </w:rPr>
          </w:pPr>
          <w:hyperlink w:anchor="_Toc128750779" w:history="1">
            <w:r w:rsidR="00527D92" w:rsidRPr="00D34B4D">
              <w:rPr>
                <w:rStyle w:val="Hipercze"/>
                <w:rFonts w:ascii="Lato" w:hAnsi="Lato"/>
                <w:b w:val="0"/>
                <w:noProof/>
                <w:sz w:val="20"/>
              </w:rPr>
              <w:t>3.</w:t>
            </w:r>
            <w:r w:rsidR="00527D92" w:rsidRPr="00D34B4D">
              <w:rPr>
                <w:rFonts w:ascii="Lato" w:hAnsi="Lato" w:cstheme="minorBidi"/>
                <w:b w:val="0"/>
                <w:bCs w:val="0"/>
                <w:caps w:val="0"/>
                <w:noProof/>
                <w:sz w:val="20"/>
                <w:szCs w:val="22"/>
                <w:lang w:eastAsia="pl-PL"/>
              </w:rPr>
              <w:tab/>
            </w:r>
            <w:r w:rsidR="00527D92" w:rsidRPr="00D34B4D">
              <w:rPr>
                <w:rStyle w:val="Hipercze"/>
                <w:rFonts w:ascii="Lato" w:hAnsi="Lato"/>
                <w:b w:val="0"/>
                <w:noProof/>
                <w:sz w:val="20"/>
              </w:rPr>
              <w:t>DZIAŁANIA NA RZECZ OBYWATELI I PRZEDSTAWICIELI GRUP MNIEJSZOŚCIOWYCH</w:t>
            </w:r>
            <w:r w:rsidR="00527D92" w:rsidRPr="00D34B4D">
              <w:rPr>
                <w:rFonts w:ascii="Lato" w:hAnsi="Lato"/>
                <w:b w:val="0"/>
                <w:noProof/>
                <w:webHidden/>
                <w:sz w:val="20"/>
              </w:rPr>
              <w:tab/>
            </w:r>
            <w:r w:rsidR="00527D92" w:rsidRPr="00D34B4D">
              <w:rPr>
                <w:rFonts w:ascii="Lato" w:hAnsi="Lato"/>
                <w:b w:val="0"/>
                <w:noProof/>
                <w:webHidden/>
                <w:sz w:val="20"/>
              </w:rPr>
              <w:fldChar w:fldCharType="begin"/>
            </w:r>
            <w:r w:rsidR="00527D92" w:rsidRPr="00D34B4D">
              <w:rPr>
                <w:rFonts w:ascii="Lato" w:hAnsi="Lato"/>
                <w:b w:val="0"/>
                <w:noProof/>
                <w:webHidden/>
                <w:sz w:val="20"/>
              </w:rPr>
              <w:instrText xml:space="preserve"> PAGEREF _Toc128750779 \h </w:instrText>
            </w:r>
            <w:r w:rsidR="00527D92" w:rsidRPr="00D34B4D">
              <w:rPr>
                <w:rFonts w:ascii="Lato" w:hAnsi="Lato"/>
                <w:b w:val="0"/>
                <w:noProof/>
                <w:webHidden/>
                <w:sz w:val="20"/>
              </w:rPr>
            </w:r>
            <w:r w:rsidR="00527D92" w:rsidRPr="00D34B4D">
              <w:rPr>
                <w:rFonts w:ascii="Lato" w:hAnsi="Lato"/>
                <w:b w:val="0"/>
                <w:noProof/>
                <w:webHidden/>
                <w:sz w:val="20"/>
              </w:rPr>
              <w:fldChar w:fldCharType="separate"/>
            </w:r>
            <w:r w:rsidR="00527D92" w:rsidRPr="00D34B4D">
              <w:rPr>
                <w:rFonts w:ascii="Lato" w:hAnsi="Lato"/>
                <w:b w:val="0"/>
                <w:noProof/>
                <w:webHidden/>
                <w:sz w:val="20"/>
              </w:rPr>
              <w:t>14</w:t>
            </w:r>
            <w:r w:rsidR="00527D92" w:rsidRPr="00D34B4D">
              <w:rPr>
                <w:rFonts w:ascii="Lato" w:hAnsi="Lato"/>
                <w:b w:val="0"/>
                <w:noProof/>
                <w:webHidden/>
                <w:sz w:val="20"/>
              </w:rPr>
              <w:fldChar w:fldCharType="end"/>
            </w:r>
          </w:hyperlink>
        </w:p>
        <w:p w14:paraId="2615D95F" w14:textId="2CAEF635" w:rsidR="00527D92" w:rsidRPr="00D34B4D" w:rsidRDefault="006452FA" w:rsidP="00E165EA">
          <w:pPr>
            <w:pStyle w:val="Spistreci2"/>
            <w:rPr>
              <w:rFonts w:cstheme="minorBidi"/>
              <w:noProof/>
              <w:szCs w:val="22"/>
              <w:lang w:eastAsia="pl-PL"/>
            </w:rPr>
          </w:pPr>
          <w:hyperlink w:anchor="_Toc128750780" w:history="1">
            <w:r w:rsidR="00527D92" w:rsidRPr="00D34B4D">
              <w:rPr>
                <w:rStyle w:val="Hipercze"/>
                <w:rFonts w:ascii="Lato" w:hAnsi="Lato"/>
                <w:b w:val="0"/>
                <w:noProof/>
              </w:rPr>
              <w:t>3.1.</w:t>
            </w:r>
            <w:r w:rsidR="00527D92" w:rsidRPr="00D34B4D">
              <w:rPr>
                <w:rFonts w:cstheme="minorBidi"/>
                <w:noProof/>
                <w:szCs w:val="22"/>
                <w:lang w:eastAsia="pl-PL"/>
              </w:rPr>
              <w:tab/>
            </w:r>
            <w:r w:rsidR="00527D92" w:rsidRPr="00D34B4D">
              <w:rPr>
                <w:rStyle w:val="Hipercze"/>
                <w:rFonts w:ascii="Lato" w:hAnsi="Lato"/>
                <w:b w:val="0"/>
                <w:noProof/>
              </w:rPr>
              <w:t>Listy i prośby o interwencję od obywateli</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_Toc128750780 \h </w:instrText>
            </w:r>
            <w:r w:rsidR="00527D92" w:rsidRPr="00D34B4D">
              <w:rPr>
                <w:noProof/>
                <w:webHidden/>
              </w:rPr>
            </w:r>
            <w:r w:rsidR="00527D92" w:rsidRPr="00D34B4D">
              <w:rPr>
                <w:noProof/>
                <w:webHidden/>
              </w:rPr>
              <w:fldChar w:fldCharType="separate"/>
            </w:r>
            <w:r w:rsidR="00527D92" w:rsidRPr="00D34B4D">
              <w:rPr>
                <w:noProof/>
                <w:webHidden/>
              </w:rPr>
              <w:t>15</w:t>
            </w:r>
            <w:r w:rsidR="00527D92" w:rsidRPr="00D34B4D">
              <w:rPr>
                <w:noProof/>
                <w:webHidden/>
              </w:rPr>
              <w:fldChar w:fldCharType="end"/>
            </w:r>
          </w:hyperlink>
        </w:p>
        <w:p w14:paraId="2F40D2B3" w14:textId="54B4E893" w:rsidR="00527D92" w:rsidRPr="00D34B4D" w:rsidRDefault="006452FA" w:rsidP="00E165EA">
          <w:pPr>
            <w:pStyle w:val="Spistreci2"/>
            <w:rPr>
              <w:rFonts w:cstheme="minorBidi"/>
              <w:noProof/>
              <w:szCs w:val="22"/>
              <w:lang w:eastAsia="pl-PL"/>
            </w:rPr>
          </w:pPr>
          <w:hyperlink w:anchor="_Toc128750781" w:history="1">
            <w:r w:rsidR="00527D92" w:rsidRPr="00D34B4D">
              <w:rPr>
                <w:rStyle w:val="Hipercze"/>
                <w:rFonts w:ascii="Lato" w:hAnsi="Lato"/>
                <w:b w:val="0"/>
                <w:noProof/>
              </w:rPr>
              <w:t>3.2.</w:t>
            </w:r>
            <w:r w:rsidR="00527D92" w:rsidRPr="00D34B4D">
              <w:rPr>
                <w:rFonts w:cstheme="minorBidi"/>
                <w:noProof/>
                <w:szCs w:val="22"/>
                <w:lang w:eastAsia="pl-PL"/>
              </w:rPr>
              <w:tab/>
            </w:r>
            <w:r w:rsidR="00527D92" w:rsidRPr="00D34B4D">
              <w:rPr>
                <w:rStyle w:val="Hipercze"/>
                <w:rFonts w:ascii="Lato" w:hAnsi="Lato"/>
                <w:b w:val="0"/>
                <w:noProof/>
              </w:rPr>
              <w:t>Osoby z niepełnosprawnościami</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_Toc128750781 \h </w:instrText>
            </w:r>
            <w:r w:rsidR="00527D92" w:rsidRPr="00D34B4D">
              <w:rPr>
                <w:noProof/>
                <w:webHidden/>
              </w:rPr>
            </w:r>
            <w:r w:rsidR="00527D92" w:rsidRPr="00D34B4D">
              <w:rPr>
                <w:noProof/>
                <w:webHidden/>
              </w:rPr>
              <w:fldChar w:fldCharType="separate"/>
            </w:r>
            <w:r w:rsidR="00527D92" w:rsidRPr="00D34B4D">
              <w:rPr>
                <w:noProof/>
                <w:webHidden/>
              </w:rPr>
              <w:t>17</w:t>
            </w:r>
            <w:r w:rsidR="00527D92" w:rsidRPr="00D34B4D">
              <w:rPr>
                <w:noProof/>
                <w:webHidden/>
              </w:rPr>
              <w:fldChar w:fldCharType="end"/>
            </w:r>
          </w:hyperlink>
        </w:p>
        <w:p w14:paraId="64DFF7EA" w14:textId="45E25D36"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82" w:history="1">
            <w:r w:rsidR="00527D92" w:rsidRPr="00D34B4D">
              <w:rPr>
                <w:rStyle w:val="Hipercze"/>
                <w:rFonts w:ascii="Lato" w:hAnsi="Lato"/>
                <w:noProof/>
              </w:rPr>
              <w:t>3.2.1.</w:t>
            </w:r>
            <w:r w:rsidR="00527D92" w:rsidRPr="00D34B4D">
              <w:rPr>
                <w:rFonts w:ascii="Lato" w:hAnsi="Lato" w:cstheme="minorBidi"/>
                <w:noProof/>
                <w:szCs w:val="22"/>
                <w:lang w:eastAsia="pl-PL"/>
              </w:rPr>
              <w:tab/>
            </w:r>
            <w:r w:rsidR="00527D92" w:rsidRPr="00D34B4D">
              <w:rPr>
                <w:rStyle w:val="Hipercze"/>
                <w:rFonts w:ascii="Lato" w:hAnsi="Lato"/>
                <w:noProof/>
              </w:rPr>
              <w:t>Udział w posiedzeniu Zespołu ds. wykonywania postanowień Konwencji o prawach osób niepełnosprawnych</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_Toc128750782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17</w:t>
            </w:r>
            <w:r w:rsidR="00527D92" w:rsidRPr="00D34B4D">
              <w:rPr>
                <w:rFonts w:ascii="Lato" w:hAnsi="Lato"/>
                <w:noProof/>
                <w:webHidden/>
              </w:rPr>
              <w:fldChar w:fldCharType="end"/>
            </w:r>
          </w:hyperlink>
        </w:p>
        <w:p w14:paraId="7F36B282" w14:textId="1C6D96D8" w:rsidR="00527D92" w:rsidRPr="00D34B4D" w:rsidRDefault="006452FA" w:rsidP="00E165EA">
          <w:pPr>
            <w:pStyle w:val="Spistreci2"/>
            <w:rPr>
              <w:rFonts w:cstheme="minorBidi"/>
              <w:noProof/>
              <w:szCs w:val="22"/>
              <w:lang w:eastAsia="pl-PL"/>
            </w:rPr>
          </w:pPr>
          <w:hyperlink w:anchor="_Toc128750783" w:history="1">
            <w:r w:rsidR="00527D92" w:rsidRPr="00D34B4D">
              <w:rPr>
                <w:rStyle w:val="Hipercze"/>
                <w:rFonts w:ascii="Lato" w:hAnsi="Lato"/>
                <w:b w:val="0"/>
                <w:noProof/>
              </w:rPr>
              <w:t>3.3.</w:t>
            </w:r>
            <w:r w:rsidR="00527D92" w:rsidRPr="00D34B4D">
              <w:rPr>
                <w:rFonts w:cstheme="minorBidi"/>
                <w:noProof/>
                <w:szCs w:val="22"/>
                <w:lang w:eastAsia="pl-PL"/>
              </w:rPr>
              <w:tab/>
            </w:r>
            <w:r w:rsidR="00527D92" w:rsidRPr="00D34B4D">
              <w:rPr>
                <w:rStyle w:val="Hipercze"/>
                <w:rFonts w:ascii="Lato" w:hAnsi="Lato"/>
                <w:b w:val="0"/>
                <w:noProof/>
              </w:rPr>
              <w:t>Mniejszości narodowe, etniczne i społeczności posługujące się językami regionalnymi oraz mniejszości wyznaniowe</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_Toc128750783 \h </w:instrText>
            </w:r>
            <w:r w:rsidR="00527D92" w:rsidRPr="00D34B4D">
              <w:rPr>
                <w:noProof/>
                <w:webHidden/>
              </w:rPr>
            </w:r>
            <w:r w:rsidR="00527D92" w:rsidRPr="00D34B4D">
              <w:rPr>
                <w:noProof/>
                <w:webHidden/>
              </w:rPr>
              <w:fldChar w:fldCharType="separate"/>
            </w:r>
            <w:r w:rsidR="00527D92" w:rsidRPr="00D34B4D">
              <w:rPr>
                <w:noProof/>
                <w:webHidden/>
              </w:rPr>
              <w:t>17</w:t>
            </w:r>
            <w:r w:rsidR="00527D92" w:rsidRPr="00D34B4D">
              <w:rPr>
                <w:noProof/>
                <w:webHidden/>
              </w:rPr>
              <w:fldChar w:fldCharType="end"/>
            </w:r>
          </w:hyperlink>
        </w:p>
        <w:p w14:paraId="706B11A5" w14:textId="716F250D"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84" w:history="1">
            <w:r w:rsidR="00527D92" w:rsidRPr="00D34B4D">
              <w:rPr>
                <w:rStyle w:val="Hipercze"/>
                <w:rFonts w:ascii="Lato" w:hAnsi="Lato"/>
                <w:noProof/>
              </w:rPr>
              <w:t>3.3.1.</w:t>
            </w:r>
            <w:r w:rsidR="00527D92" w:rsidRPr="00D34B4D">
              <w:rPr>
                <w:rFonts w:ascii="Lato" w:hAnsi="Lato" w:cstheme="minorBidi"/>
                <w:noProof/>
                <w:szCs w:val="22"/>
                <w:lang w:eastAsia="pl-PL"/>
              </w:rPr>
              <w:tab/>
            </w:r>
            <w:r w:rsidR="00527D92" w:rsidRPr="00D34B4D">
              <w:rPr>
                <w:rStyle w:val="Hipercze"/>
                <w:rFonts w:ascii="Lato" w:hAnsi="Lato"/>
                <w:noProof/>
              </w:rPr>
              <w:t>Udział Pełnomocnika Rządu do Spraw Równego Traktowania w posiedzeniu Komisji Wspólnej Rządu i Mniejszości Narodowych i Etnicznych</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_Toc128750784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17</w:t>
            </w:r>
            <w:r w:rsidR="00527D92" w:rsidRPr="00D34B4D">
              <w:rPr>
                <w:rFonts w:ascii="Lato" w:hAnsi="Lato"/>
                <w:noProof/>
                <w:webHidden/>
              </w:rPr>
              <w:fldChar w:fldCharType="end"/>
            </w:r>
          </w:hyperlink>
        </w:p>
        <w:p w14:paraId="5690E0D9" w14:textId="39DB8310" w:rsidR="00527D92" w:rsidRPr="00D34B4D" w:rsidRDefault="006452FA" w:rsidP="00E165EA">
          <w:pPr>
            <w:pStyle w:val="Spistreci2"/>
            <w:rPr>
              <w:rFonts w:cstheme="minorBidi"/>
              <w:noProof/>
              <w:szCs w:val="22"/>
              <w:lang w:eastAsia="pl-PL"/>
            </w:rPr>
          </w:pPr>
          <w:hyperlink w:anchor="_Toc128750785" w:history="1">
            <w:r w:rsidR="00527D92" w:rsidRPr="00D34B4D">
              <w:rPr>
                <w:rStyle w:val="Hipercze"/>
                <w:rFonts w:ascii="Lato" w:hAnsi="Lato"/>
                <w:b w:val="0"/>
                <w:noProof/>
              </w:rPr>
              <w:t>3.4.</w:t>
            </w:r>
            <w:r w:rsidR="00527D92" w:rsidRPr="00D34B4D">
              <w:rPr>
                <w:rFonts w:cstheme="minorBidi"/>
                <w:noProof/>
                <w:szCs w:val="22"/>
                <w:lang w:eastAsia="pl-PL"/>
              </w:rPr>
              <w:tab/>
            </w:r>
            <w:r w:rsidR="00527D92" w:rsidRPr="00D34B4D">
              <w:rPr>
                <w:rStyle w:val="Hipercze"/>
                <w:rFonts w:ascii="Lato" w:hAnsi="Lato"/>
                <w:b w:val="0"/>
                <w:noProof/>
              </w:rPr>
              <w:t>Dyskryminacja ze względu na płeć</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_Toc128750785 \h </w:instrText>
            </w:r>
            <w:r w:rsidR="00527D92" w:rsidRPr="00D34B4D">
              <w:rPr>
                <w:noProof/>
                <w:webHidden/>
              </w:rPr>
            </w:r>
            <w:r w:rsidR="00527D92" w:rsidRPr="00D34B4D">
              <w:rPr>
                <w:noProof/>
                <w:webHidden/>
              </w:rPr>
              <w:fldChar w:fldCharType="separate"/>
            </w:r>
            <w:r w:rsidR="00527D92" w:rsidRPr="00D34B4D">
              <w:rPr>
                <w:noProof/>
                <w:webHidden/>
              </w:rPr>
              <w:t>18</w:t>
            </w:r>
            <w:r w:rsidR="00527D92" w:rsidRPr="00D34B4D">
              <w:rPr>
                <w:noProof/>
                <w:webHidden/>
              </w:rPr>
              <w:fldChar w:fldCharType="end"/>
            </w:r>
          </w:hyperlink>
        </w:p>
        <w:p w14:paraId="0F0ED30E" w14:textId="00C2244C"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86" w:history="1">
            <w:r w:rsidR="00527D92" w:rsidRPr="00D34B4D">
              <w:rPr>
                <w:rStyle w:val="Hipercze"/>
                <w:rFonts w:ascii="Lato" w:hAnsi="Lato"/>
                <w:noProof/>
              </w:rPr>
              <w:t>3.4.1.</w:t>
            </w:r>
            <w:r w:rsidR="00527D92" w:rsidRPr="00D34B4D">
              <w:rPr>
                <w:rFonts w:ascii="Lato" w:hAnsi="Lato" w:cstheme="minorBidi"/>
                <w:noProof/>
                <w:szCs w:val="22"/>
                <w:lang w:eastAsia="pl-PL"/>
              </w:rPr>
              <w:tab/>
            </w:r>
            <w:r w:rsidR="00527D92" w:rsidRPr="00D34B4D">
              <w:rPr>
                <w:rStyle w:val="Hipercze"/>
                <w:rFonts w:ascii="Lato" w:hAnsi="Lato"/>
                <w:noProof/>
              </w:rPr>
              <w:t>Udział Pełnomocnika Rządu do Spraw Równego Traktowania w posiedzeniu Parlamentarnego Zespołu ds. Sportu Kobiet</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_Toc128750786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18</w:t>
            </w:r>
            <w:r w:rsidR="00527D92" w:rsidRPr="00D34B4D">
              <w:rPr>
                <w:rFonts w:ascii="Lato" w:hAnsi="Lato"/>
                <w:noProof/>
                <w:webHidden/>
              </w:rPr>
              <w:fldChar w:fldCharType="end"/>
            </w:r>
          </w:hyperlink>
        </w:p>
        <w:p w14:paraId="46C37AFB" w14:textId="57CE5BBF" w:rsidR="00527D92" w:rsidRPr="00D34B4D" w:rsidRDefault="006452FA" w:rsidP="00E165EA">
          <w:pPr>
            <w:pStyle w:val="Spistreci2"/>
            <w:rPr>
              <w:rFonts w:cstheme="minorBidi"/>
              <w:noProof/>
              <w:szCs w:val="22"/>
              <w:lang w:eastAsia="pl-PL"/>
            </w:rPr>
          </w:pPr>
          <w:hyperlink w:anchor="_Toc128750787" w:history="1">
            <w:r w:rsidR="00527D92" w:rsidRPr="00D34B4D">
              <w:rPr>
                <w:rStyle w:val="Hipercze"/>
                <w:rFonts w:ascii="Lato" w:hAnsi="Lato"/>
                <w:b w:val="0"/>
                <w:noProof/>
              </w:rPr>
              <w:t>3.5.</w:t>
            </w:r>
            <w:r w:rsidR="00527D92" w:rsidRPr="00D34B4D">
              <w:rPr>
                <w:rFonts w:cstheme="minorBidi"/>
                <w:noProof/>
                <w:szCs w:val="22"/>
                <w:lang w:eastAsia="pl-PL"/>
              </w:rPr>
              <w:tab/>
            </w:r>
            <w:r w:rsidR="00527D92" w:rsidRPr="00D34B4D">
              <w:rPr>
                <w:rStyle w:val="Hipercze"/>
                <w:rFonts w:ascii="Lato" w:hAnsi="Lato"/>
                <w:b w:val="0"/>
                <w:noProof/>
              </w:rPr>
              <w:t>Mniejszości seksualne</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_Toc128750787 \h </w:instrText>
            </w:r>
            <w:r w:rsidR="00527D92" w:rsidRPr="00D34B4D">
              <w:rPr>
                <w:noProof/>
                <w:webHidden/>
              </w:rPr>
            </w:r>
            <w:r w:rsidR="00527D92" w:rsidRPr="00D34B4D">
              <w:rPr>
                <w:noProof/>
                <w:webHidden/>
              </w:rPr>
              <w:fldChar w:fldCharType="separate"/>
            </w:r>
            <w:r w:rsidR="00527D92" w:rsidRPr="00D34B4D">
              <w:rPr>
                <w:noProof/>
                <w:webHidden/>
              </w:rPr>
              <w:t>19</w:t>
            </w:r>
            <w:r w:rsidR="00527D92" w:rsidRPr="00D34B4D">
              <w:rPr>
                <w:noProof/>
                <w:webHidden/>
              </w:rPr>
              <w:fldChar w:fldCharType="end"/>
            </w:r>
          </w:hyperlink>
        </w:p>
        <w:p w14:paraId="5451C02E" w14:textId="6A64EFFE"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88" w:history="1">
            <w:r w:rsidR="00527D92" w:rsidRPr="00D34B4D">
              <w:rPr>
                <w:rStyle w:val="Hipercze"/>
                <w:rFonts w:ascii="Lato" w:hAnsi="Lato"/>
                <w:noProof/>
              </w:rPr>
              <w:t>3.5.1.</w:t>
            </w:r>
            <w:r w:rsidR="00527D92" w:rsidRPr="00D34B4D">
              <w:rPr>
                <w:rFonts w:ascii="Lato" w:hAnsi="Lato" w:cstheme="minorBidi"/>
                <w:noProof/>
                <w:szCs w:val="22"/>
                <w:lang w:eastAsia="pl-PL"/>
              </w:rPr>
              <w:tab/>
            </w:r>
            <w:r w:rsidR="00527D92" w:rsidRPr="00D34B4D">
              <w:rPr>
                <w:rStyle w:val="Hipercze"/>
                <w:rFonts w:ascii="Lato" w:hAnsi="Lato"/>
                <w:noProof/>
              </w:rPr>
              <w:t>Udział Pełnomocnika Rządu do Spraw Równego Traktowania w Podgrupie ds. Równości LGBTQIA w ramach Organizacji społeczeństwa obywatelskiego UE</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_Toc128750788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19</w:t>
            </w:r>
            <w:r w:rsidR="00527D92" w:rsidRPr="00D34B4D">
              <w:rPr>
                <w:rFonts w:ascii="Lato" w:hAnsi="Lato"/>
                <w:noProof/>
                <w:webHidden/>
              </w:rPr>
              <w:fldChar w:fldCharType="end"/>
            </w:r>
          </w:hyperlink>
        </w:p>
        <w:p w14:paraId="5F468C1C" w14:textId="39CD47B4" w:rsidR="00527D92" w:rsidRPr="00D34B4D" w:rsidRDefault="006452FA">
          <w:pPr>
            <w:pStyle w:val="Spistreci1"/>
            <w:tabs>
              <w:tab w:val="left" w:pos="480"/>
              <w:tab w:val="right" w:leader="dot" w:pos="9062"/>
            </w:tabs>
            <w:rPr>
              <w:rFonts w:ascii="Lato" w:hAnsi="Lato" w:cstheme="minorBidi"/>
              <w:b w:val="0"/>
              <w:bCs w:val="0"/>
              <w:caps w:val="0"/>
              <w:noProof/>
              <w:sz w:val="20"/>
              <w:szCs w:val="22"/>
              <w:lang w:eastAsia="pl-PL"/>
            </w:rPr>
          </w:pPr>
          <w:hyperlink w:anchor="_Toc128750789" w:history="1">
            <w:r w:rsidR="00527D92" w:rsidRPr="00D34B4D">
              <w:rPr>
                <w:rStyle w:val="Hipercze"/>
                <w:rFonts w:ascii="Lato" w:hAnsi="Lato"/>
                <w:b w:val="0"/>
                <w:noProof/>
                <w:sz w:val="20"/>
              </w:rPr>
              <w:t>4.</w:t>
            </w:r>
            <w:r w:rsidR="00527D92" w:rsidRPr="00D34B4D">
              <w:rPr>
                <w:rFonts w:ascii="Lato" w:hAnsi="Lato" w:cstheme="minorBidi"/>
                <w:b w:val="0"/>
                <w:bCs w:val="0"/>
                <w:caps w:val="0"/>
                <w:noProof/>
                <w:sz w:val="20"/>
                <w:szCs w:val="22"/>
                <w:lang w:eastAsia="pl-PL"/>
              </w:rPr>
              <w:tab/>
            </w:r>
            <w:r w:rsidR="00527D92" w:rsidRPr="00D34B4D">
              <w:rPr>
                <w:rStyle w:val="Hipercze"/>
                <w:rFonts w:ascii="Lato" w:hAnsi="Lato"/>
                <w:b w:val="0"/>
                <w:noProof/>
                <w:sz w:val="20"/>
              </w:rPr>
              <w:t>PROMOWANIE, UPOWSZECHNIANIE I PROPAGOWANIE PROBLEMATYKI RÓWNEGO TRAKTOWANIA</w:t>
            </w:r>
            <w:r w:rsidR="00527D92" w:rsidRPr="00D34B4D">
              <w:rPr>
                <w:rFonts w:ascii="Lato" w:hAnsi="Lato"/>
                <w:b w:val="0"/>
                <w:noProof/>
                <w:webHidden/>
                <w:sz w:val="20"/>
              </w:rPr>
              <w:tab/>
            </w:r>
            <w:r w:rsidR="00527D92" w:rsidRPr="00D34B4D">
              <w:rPr>
                <w:rFonts w:ascii="Lato" w:hAnsi="Lato"/>
                <w:b w:val="0"/>
                <w:noProof/>
                <w:webHidden/>
                <w:sz w:val="20"/>
              </w:rPr>
              <w:fldChar w:fldCharType="begin"/>
            </w:r>
            <w:r w:rsidR="00527D92" w:rsidRPr="00D34B4D">
              <w:rPr>
                <w:rFonts w:ascii="Lato" w:hAnsi="Lato"/>
                <w:b w:val="0"/>
                <w:noProof/>
                <w:webHidden/>
                <w:sz w:val="20"/>
              </w:rPr>
              <w:instrText xml:space="preserve"> PAGEREF _Toc128750789 \h </w:instrText>
            </w:r>
            <w:r w:rsidR="00527D92" w:rsidRPr="00D34B4D">
              <w:rPr>
                <w:rFonts w:ascii="Lato" w:hAnsi="Lato"/>
                <w:b w:val="0"/>
                <w:noProof/>
                <w:webHidden/>
                <w:sz w:val="20"/>
              </w:rPr>
            </w:r>
            <w:r w:rsidR="00527D92" w:rsidRPr="00D34B4D">
              <w:rPr>
                <w:rFonts w:ascii="Lato" w:hAnsi="Lato"/>
                <w:b w:val="0"/>
                <w:noProof/>
                <w:webHidden/>
                <w:sz w:val="20"/>
              </w:rPr>
              <w:fldChar w:fldCharType="separate"/>
            </w:r>
            <w:r w:rsidR="00527D92" w:rsidRPr="00D34B4D">
              <w:rPr>
                <w:rFonts w:ascii="Lato" w:hAnsi="Lato"/>
                <w:b w:val="0"/>
                <w:noProof/>
                <w:webHidden/>
                <w:sz w:val="20"/>
              </w:rPr>
              <w:t>19</w:t>
            </w:r>
            <w:r w:rsidR="00527D92" w:rsidRPr="00D34B4D">
              <w:rPr>
                <w:rFonts w:ascii="Lato" w:hAnsi="Lato"/>
                <w:b w:val="0"/>
                <w:noProof/>
                <w:webHidden/>
                <w:sz w:val="20"/>
              </w:rPr>
              <w:fldChar w:fldCharType="end"/>
            </w:r>
          </w:hyperlink>
        </w:p>
        <w:p w14:paraId="307A017D" w14:textId="403E35A1" w:rsidR="00527D92" w:rsidRPr="00D34B4D" w:rsidRDefault="006452FA" w:rsidP="00E165EA">
          <w:pPr>
            <w:pStyle w:val="Spistreci2"/>
            <w:rPr>
              <w:rFonts w:cstheme="minorBidi"/>
              <w:noProof/>
              <w:szCs w:val="22"/>
              <w:lang w:eastAsia="pl-PL"/>
            </w:rPr>
          </w:pPr>
          <w:hyperlink w:anchor="_Toc128750790" w:history="1">
            <w:r w:rsidR="00527D92" w:rsidRPr="00D34B4D">
              <w:rPr>
                <w:rStyle w:val="Hipercze"/>
                <w:rFonts w:ascii="Lato" w:hAnsi="Lato"/>
                <w:b w:val="0"/>
                <w:noProof/>
              </w:rPr>
              <w:t>4.1.</w:t>
            </w:r>
            <w:r w:rsidR="00527D92" w:rsidRPr="00D34B4D">
              <w:rPr>
                <w:rFonts w:cstheme="minorBidi"/>
                <w:noProof/>
                <w:szCs w:val="22"/>
                <w:lang w:eastAsia="pl-PL"/>
              </w:rPr>
              <w:tab/>
            </w:r>
            <w:r w:rsidR="00527D92" w:rsidRPr="00D34B4D">
              <w:rPr>
                <w:rStyle w:val="Hipercze"/>
                <w:rFonts w:ascii="Lato" w:hAnsi="Lato"/>
                <w:b w:val="0"/>
                <w:noProof/>
              </w:rPr>
              <w:t>Projekty realizowane przez Pełnomocnika Rządu do Spraw Równego Traktowania</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_Toc128750790 \h </w:instrText>
            </w:r>
            <w:r w:rsidR="00527D92" w:rsidRPr="00D34B4D">
              <w:rPr>
                <w:noProof/>
                <w:webHidden/>
              </w:rPr>
            </w:r>
            <w:r w:rsidR="00527D92" w:rsidRPr="00D34B4D">
              <w:rPr>
                <w:noProof/>
                <w:webHidden/>
              </w:rPr>
              <w:fldChar w:fldCharType="separate"/>
            </w:r>
            <w:r w:rsidR="00527D92" w:rsidRPr="00D34B4D">
              <w:rPr>
                <w:noProof/>
                <w:webHidden/>
              </w:rPr>
              <w:t>19</w:t>
            </w:r>
            <w:r w:rsidR="00527D92" w:rsidRPr="00D34B4D">
              <w:rPr>
                <w:noProof/>
                <w:webHidden/>
              </w:rPr>
              <w:fldChar w:fldCharType="end"/>
            </w:r>
          </w:hyperlink>
        </w:p>
        <w:p w14:paraId="5397E0CA" w14:textId="4D3551EF"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91" w:history="1">
            <w:r w:rsidR="00527D92" w:rsidRPr="00D34B4D">
              <w:rPr>
                <w:rStyle w:val="Hipercze"/>
                <w:rFonts w:ascii="Lato" w:hAnsi="Lato"/>
                <w:noProof/>
              </w:rPr>
              <w:t>4.1.1.</w:t>
            </w:r>
            <w:r w:rsidR="00527D92" w:rsidRPr="00D34B4D">
              <w:rPr>
                <w:rFonts w:ascii="Lato" w:hAnsi="Lato" w:cstheme="minorBidi"/>
                <w:noProof/>
                <w:szCs w:val="22"/>
                <w:lang w:eastAsia="pl-PL"/>
              </w:rPr>
              <w:tab/>
            </w:r>
            <w:r w:rsidR="00527D92" w:rsidRPr="00D34B4D">
              <w:rPr>
                <w:rStyle w:val="Hipercze"/>
                <w:rFonts w:ascii="Lato" w:hAnsi="Lato"/>
                <w:noProof/>
              </w:rPr>
              <w:t>Realizacja projektu pt. „Opracowanie i wdrożenie spójnego systemu monitorowania równości szans płci oraz modelu współpracy międzysektorowej na rzecz równości szans płci”</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_Toc128750791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19</w:t>
            </w:r>
            <w:r w:rsidR="00527D92" w:rsidRPr="00D34B4D">
              <w:rPr>
                <w:rFonts w:ascii="Lato" w:hAnsi="Lato"/>
                <w:noProof/>
                <w:webHidden/>
              </w:rPr>
              <w:fldChar w:fldCharType="end"/>
            </w:r>
          </w:hyperlink>
        </w:p>
        <w:p w14:paraId="0497910F" w14:textId="1911D69F" w:rsidR="00527D92" w:rsidRPr="00D34B4D" w:rsidRDefault="006452FA" w:rsidP="00E165EA">
          <w:pPr>
            <w:pStyle w:val="Spistreci2"/>
            <w:rPr>
              <w:rFonts w:cstheme="minorBidi"/>
              <w:noProof/>
              <w:szCs w:val="22"/>
              <w:lang w:eastAsia="pl-PL"/>
            </w:rPr>
          </w:pPr>
          <w:hyperlink w:anchor="_Toc128750792" w:history="1">
            <w:r w:rsidR="00527D92" w:rsidRPr="00D34B4D">
              <w:rPr>
                <w:rStyle w:val="Hipercze"/>
                <w:rFonts w:ascii="Lato" w:hAnsi="Lato"/>
                <w:b w:val="0"/>
                <w:noProof/>
              </w:rPr>
              <w:t>4.2.</w:t>
            </w:r>
            <w:r w:rsidR="00527D92" w:rsidRPr="00D34B4D">
              <w:rPr>
                <w:rFonts w:cstheme="minorBidi"/>
                <w:noProof/>
                <w:szCs w:val="22"/>
                <w:lang w:eastAsia="pl-PL"/>
              </w:rPr>
              <w:tab/>
            </w:r>
            <w:r w:rsidR="00527D92" w:rsidRPr="00D34B4D">
              <w:rPr>
                <w:rStyle w:val="Hipercze"/>
                <w:rFonts w:ascii="Lato" w:hAnsi="Lato"/>
                <w:b w:val="0"/>
                <w:noProof/>
              </w:rPr>
              <w:t>Realizacja projektu pt. „Dobry klimat dla miejsc pracy dobrej jakości”</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_Toc128750792 \h </w:instrText>
            </w:r>
            <w:r w:rsidR="00527D92" w:rsidRPr="00D34B4D">
              <w:rPr>
                <w:noProof/>
                <w:webHidden/>
              </w:rPr>
            </w:r>
            <w:r w:rsidR="00527D92" w:rsidRPr="00D34B4D">
              <w:rPr>
                <w:noProof/>
                <w:webHidden/>
              </w:rPr>
              <w:fldChar w:fldCharType="separate"/>
            </w:r>
            <w:r w:rsidR="00527D92" w:rsidRPr="00D34B4D">
              <w:rPr>
                <w:noProof/>
                <w:webHidden/>
              </w:rPr>
              <w:t>20</w:t>
            </w:r>
            <w:r w:rsidR="00527D92" w:rsidRPr="00D34B4D">
              <w:rPr>
                <w:noProof/>
                <w:webHidden/>
              </w:rPr>
              <w:fldChar w:fldCharType="end"/>
            </w:r>
          </w:hyperlink>
        </w:p>
        <w:p w14:paraId="45A4A099" w14:textId="5787EF13" w:rsidR="00527D92" w:rsidRPr="00D34B4D" w:rsidRDefault="006452FA" w:rsidP="00E165EA">
          <w:pPr>
            <w:pStyle w:val="Spistreci2"/>
            <w:rPr>
              <w:rFonts w:cstheme="minorBidi"/>
              <w:noProof/>
              <w:szCs w:val="22"/>
              <w:lang w:eastAsia="pl-PL"/>
            </w:rPr>
          </w:pPr>
          <w:hyperlink w:anchor="_Toc128750793" w:history="1">
            <w:r w:rsidR="00527D92" w:rsidRPr="00D34B4D">
              <w:rPr>
                <w:rStyle w:val="Hipercze"/>
                <w:rFonts w:ascii="Lato" w:hAnsi="Lato"/>
                <w:b w:val="0"/>
                <w:noProof/>
              </w:rPr>
              <w:t>4.3.</w:t>
            </w:r>
            <w:r w:rsidR="00527D92" w:rsidRPr="00D34B4D">
              <w:rPr>
                <w:rFonts w:cstheme="minorBidi"/>
                <w:noProof/>
                <w:szCs w:val="22"/>
                <w:lang w:eastAsia="pl-PL"/>
              </w:rPr>
              <w:tab/>
            </w:r>
            <w:r w:rsidR="00527D92" w:rsidRPr="00D34B4D">
              <w:rPr>
                <w:rStyle w:val="Hipercze"/>
                <w:rFonts w:ascii="Lato" w:hAnsi="Lato"/>
                <w:b w:val="0"/>
                <w:noProof/>
              </w:rPr>
              <w:t>Przygotowania do realizacji dwóch projektów w ramach Funduszu Europejskiego dla Rozwoju Społecznego</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_Toc128750793 \h </w:instrText>
            </w:r>
            <w:r w:rsidR="00527D92" w:rsidRPr="00D34B4D">
              <w:rPr>
                <w:noProof/>
                <w:webHidden/>
              </w:rPr>
            </w:r>
            <w:r w:rsidR="00527D92" w:rsidRPr="00D34B4D">
              <w:rPr>
                <w:noProof/>
                <w:webHidden/>
              </w:rPr>
              <w:fldChar w:fldCharType="separate"/>
            </w:r>
            <w:r w:rsidR="00527D92" w:rsidRPr="00D34B4D">
              <w:rPr>
                <w:noProof/>
                <w:webHidden/>
              </w:rPr>
              <w:t>21</w:t>
            </w:r>
            <w:r w:rsidR="00527D92" w:rsidRPr="00D34B4D">
              <w:rPr>
                <w:noProof/>
                <w:webHidden/>
              </w:rPr>
              <w:fldChar w:fldCharType="end"/>
            </w:r>
          </w:hyperlink>
        </w:p>
        <w:p w14:paraId="57B1F79B" w14:textId="701DBB24" w:rsidR="00527D92" w:rsidRPr="00D34B4D" w:rsidRDefault="006452FA" w:rsidP="00E165EA">
          <w:pPr>
            <w:pStyle w:val="Spistreci2"/>
            <w:rPr>
              <w:rFonts w:cstheme="minorBidi"/>
              <w:noProof/>
              <w:szCs w:val="22"/>
              <w:lang w:eastAsia="pl-PL"/>
            </w:rPr>
          </w:pPr>
          <w:hyperlink w:anchor="_Toc128750794" w:history="1">
            <w:r w:rsidR="00527D92" w:rsidRPr="00D34B4D">
              <w:rPr>
                <w:rStyle w:val="Hipercze"/>
                <w:rFonts w:ascii="Lato" w:hAnsi="Lato"/>
                <w:b w:val="0"/>
                <w:noProof/>
              </w:rPr>
              <w:t>4.4.</w:t>
            </w:r>
            <w:r w:rsidR="00527D92" w:rsidRPr="00D34B4D">
              <w:rPr>
                <w:rFonts w:cstheme="minorBidi"/>
                <w:noProof/>
                <w:szCs w:val="22"/>
                <w:lang w:eastAsia="pl-PL"/>
              </w:rPr>
              <w:tab/>
            </w:r>
            <w:r w:rsidR="00527D92" w:rsidRPr="00D34B4D">
              <w:rPr>
                <w:rStyle w:val="Hipercze"/>
                <w:rFonts w:ascii="Lato" w:hAnsi="Lato"/>
                <w:b w:val="0"/>
                <w:noProof/>
              </w:rPr>
              <w:t>Monitorowanie przez Pełnomocnika Rządu do Spraw Równego Traktowania zasady równego traktowania i zasady niedyskryminacji w projektach finansowanych ze środków unijnych</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_Toc128750794 \h </w:instrText>
            </w:r>
            <w:r w:rsidR="00527D92" w:rsidRPr="00D34B4D">
              <w:rPr>
                <w:noProof/>
                <w:webHidden/>
              </w:rPr>
            </w:r>
            <w:r w:rsidR="00527D92" w:rsidRPr="00D34B4D">
              <w:rPr>
                <w:noProof/>
                <w:webHidden/>
              </w:rPr>
              <w:fldChar w:fldCharType="separate"/>
            </w:r>
            <w:r w:rsidR="00527D92" w:rsidRPr="00D34B4D">
              <w:rPr>
                <w:noProof/>
                <w:webHidden/>
              </w:rPr>
              <w:t>24</w:t>
            </w:r>
            <w:r w:rsidR="00527D92" w:rsidRPr="00D34B4D">
              <w:rPr>
                <w:noProof/>
                <w:webHidden/>
              </w:rPr>
              <w:fldChar w:fldCharType="end"/>
            </w:r>
          </w:hyperlink>
        </w:p>
        <w:p w14:paraId="6174CFF8" w14:textId="6214E9FA" w:rsidR="00527D92" w:rsidRPr="00D34B4D" w:rsidRDefault="006452FA" w:rsidP="00E165EA">
          <w:pPr>
            <w:pStyle w:val="Spistreci2"/>
            <w:rPr>
              <w:rFonts w:cstheme="minorBidi"/>
              <w:noProof/>
              <w:szCs w:val="22"/>
              <w:lang w:eastAsia="pl-PL"/>
            </w:rPr>
          </w:pPr>
          <w:hyperlink w:anchor="_Toc128750795" w:history="1">
            <w:r w:rsidR="00527D92" w:rsidRPr="00D34B4D">
              <w:rPr>
                <w:rStyle w:val="Hipercze"/>
                <w:rFonts w:ascii="Lato" w:hAnsi="Lato"/>
                <w:b w:val="0"/>
                <w:noProof/>
              </w:rPr>
              <w:t>4.5.</w:t>
            </w:r>
            <w:r w:rsidR="00527D92" w:rsidRPr="00D34B4D">
              <w:rPr>
                <w:rFonts w:cstheme="minorBidi"/>
                <w:noProof/>
                <w:szCs w:val="22"/>
                <w:lang w:eastAsia="pl-PL"/>
              </w:rPr>
              <w:tab/>
            </w:r>
            <w:r w:rsidR="00527D92" w:rsidRPr="00D34B4D">
              <w:rPr>
                <w:rStyle w:val="Hipercze"/>
                <w:rFonts w:ascii="Lato" w:hAnsi="Lato"/>
                <w:b w:val="0"/>
                <w:noProof/>
              </w:rPr>
              <w:t>Konferencja organizowana przez Pełnomocnika Rządu do Spraw Równego Traktowania</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_Toc128750795 \h </w:instrText>
            </w:r>
            <w:r w:rsidR="00527D92" w:rsidRPr="00D34B4D">
              <w:rPr>
                <w:noProof/>
                <w:webHidden/>
              </w:rPr>
            </w:r>
            <w:r w:rsidR="00527D92" w:rsidRPr="00D34B4D">
              <w:rPr>
                <w:noProof/>
                <w:webHidden/>
              </w:rPr>
              <w:fldChar w:fldCharType="separate"/>
            </w:r>
            <w:r w:rsidR="00527D92" w:rsidRPr="00D34B4D">
              <w:rPr>
                <w:noProof/>
                <w:webHidden/>
              </w:rPr>
              <w:t>25</w:t>
            </w:r>
            <w:r w:rsidR="00527D92" w:rsidRPr="00D34B4D">
              <w:rPr>
                <w:noProof/>
                <w:webHidden/>
              </w:rPr>
              <w:fldChar w:fldCharType="end"/>
            </w:r>
          </w:hyperlink>
        </w:p>
        <w:p w14:paraId="595B550D" w14:textId="522EEDF8" w:rsidR="00527D92" w:rsidRPr="00D34B4D" w:rsidRDefault="006452FA">
          <w:pPr>
            <w:pStyle w:val="Spistreci3"/>
            <w:tabs>
              <w:tab w:val="left" w:pos="960"/>
              <w:tab w:val="right" w:leader="dot" w:pos="9062"/>
            </w:tabs>
            <w:rPr>
              <w:rFonts w:ascii="Lato" w:hAnsi="Lato" w:cstheme="minorBidi"/>
              <w:noProof/>
              <w:szCs w:val="22"/>
              <w:lang w:eastAsia="pl-PL"/>
            </w:rPr>
          </w:pPr>
          <w:hyperlink w:anchor="_Toc128750796" w:history="1">
            <w:r w:rsidR="00527D92" w:rsidRPr="00D34B4D">
              <w:rPr>
                <w:rStyle w:val="Hipercze"/>
                <w:rFonts w:ascii="Lato" w:eastAsia="Times New Roman" w:hAnsi="Lato"/>
                <w:noProof/>
                <w:lang w:eastAsia="pl-PL"/>
              </w:rPr>
              <w:t>4.5.1.</w:t>
            </w:r>
            <w:r w:rsidR="00527D92" w:rsidRPr="00D34B4D">
              <w:rPr>
                <w:rFonts w:ascii="Lato" w:hAnsi="Lato" w:cstheme="minorBidi"/>
                <w:noProof/>
                <w:szCs w:val="22"/>
                <w:lang w:eastAsia="pl-PL"/>
              </w:rPr>
              <w:tab/>
            </w:r>
            <w:r w:rsidR="00527D92" w:rsidRPr="00D34B4D">
              <w:rPr>
                <w:rStyle w:val="Hipercze"/>
                <w:rFonts w:ascii="Lato" w:hAnsi="Lato"/>
                <w:noProof/>
              </w:rPr>
              <w:t>Konferencja „Nie otwieraj drzwi PRZEMOCY”</w:t>
            </w:r>
            <w:r w:rsidR="00527D92" w:rsidRPr="00D34B4D">
              <w:rPr>
                <w:rFonts w:ascii="Lato" w:hAnsi="Lato"/>
                <w:noProof/>
                <w:webHidden/>
              </w:rPr>
              <w:tab/>
            </w:r>
            <w:r w:rsidR="00527D92" w:rsidRPr="00D34B4D">
              <w:rPr>
                <w:rFonts w:ascii="Lato" w:hAnsi="Lato"/>
                <w:noProof/>
                <w:webHidden/>
              </w:rPr>
              <w:fldChar w:fldCharType="begin"/>
            </w:r>
            <w:r w:rsidR="00527D92" w:rsidRPr="00D34B4D">
              <w:rPr>
                <w:rFonts w:ascii="Lato" w:hAnsi="Lato"/>
                <w:noProof/>
                <w:webHidden/>
              </w:rPr>
              <w:instrText xml:space="preserve"> PAGEREF _Toc128750796 \h </w:instrText>
            </w:r>
            <w:r w:rsidR="00527D92" w:rsidRPr="00D34B4D">
              <w:rPr>
                <w:rFonts w:ascii="Lato" w:hAnsi="Lato"/>
                <w:noProof/>
                <w:webHidden/>
              </w:rPr>
            </w:r>
            <w:r w:rsidR="00527D92" w:rsidRPr="00D34B4D">
              <w:rPr>
                <w:rFonts w:ascii="Lato" w:hAnsi="Lato"/>
                <w:noProof/>
                <w:webHidden/>
              </w:rPr>
              <w:fldChar w:fldCharType="separate"/>
            </w:r>
            <w:r w:rsidR="00527D92" w:rsidRPr="00D34B4D">
              <w:rPr>
                <w:rFonts w:ascii="Lato" w:hAnsi="Lato"/>
                <w:noProof/>
                <w:webHidden/>
              </w:rPr>
              <w:t>25</w:t>
            </w:r>
            <w:r w:rsidR="00527D92" w:rsidRPr="00D34B4D">
              <w:rPr>
                <w:rFonts w:ascii="Lato" w:hAnsi="Lato"/>
                <w:noProof/>
                <w:webHidden/>
              </w:rPr>
              <w:fldChar w:fldCharType="end"/>
            </w:r>
          </w:hyperlink>
        </w:p>
        <w:p w14:paraId="1FDACC82" w14:textId="10016222" w:rsidR="00527D92" w:rsidRPr="00D34B4D" w:rsidRDefault="006452FA" w:rsidP="00E165EA">
          <w:pPr>
            <w:pStyle w:val="Spistreci2"/>
            <w:rPr>
              <w:rFonts w:cstheme="minorBidi"/>
              <w:noProof/>
              <w:szCs w:val="22"/>
              <w:lang w:eastAsia="pl-PL"/>
            </w:rPr>
          </w:pPr>
          <w:hyperlink w:anchor="_Toc128750797" w:history="1">
            <w:r w:rsidR="00527D92" w:rsidRPr="00D34B4D">
              <w:rPr>
                <w:rStyle w:val="Hipercze"/>
                <w:rFonts w:ascii="Lato" w:hAnsi="Lato"/>
                <w:b w:val="0"/>
                <w:noProof/>
              </w:rPr>
              <w:t>4.6.</w:t>
            </w:r>
            <w:r w:rsidR="00527D92" w:rsidRPr="00D34B4D">
              <w:rPr>
                <w:rFonts w:cstheme="minorBidi"/>
                <w:noProof/>
                <w:szCs w:val="22"/>
                <w:lang w:eastAsia="pl-PL"/>
              </w:rPr>
              <w:tab/>
            </w:r>
            <w:r w:rsidR="00527D92" w:rsidRPr="00D34B4D">
              <w:rPr>
                <w:rStyle w:val="Hipercze"/>
                <w:rFonts w:ascii="Lato" w:hAnsi="Lato"/>
                <w:b w:val="0"/>
                <w:noProof/>
              </w:rPr>
              <w:t>WYDARZENIA OBJĘTE PATRONATEM HONOROWYM PEŁNOMONICK</w:t>
            </w:r>
            <w:r w:rsidR="00905077">
              <w:rPr>
                <w:rStyle w:val="Hipercze"/>
                <w:rFonts w:ascii="Lato" w:hAnsi="Lato"/>
                <w:b w:val="0"/>
                <w:noProof/>
              </w:rPr>
              <w:t>A</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_Toc128750797 \h </w:instrText>
            </w:r>
            <w:r w:rsidR="00527D92" w:rsidRPr="00D34B4D">
              <w:rPr>
                <w:noProof/>
                <w:webHidden/>
              </w:rPr>
            </w:r>
            <w:r w:rsidR="00527D92" w:rsidRPr="00D34B4D">
              <w:rPr>
                <w:noProof/>
                <w:webHidden/>
              </w:rPr>
              <w:fldChar w:fldCharType="separate"/>
            </w:r>
            <w:r w:rsidR="00527D92" w:rsidRPr="00D34B4D">
              <w:rPr>
                <w:noProof/>
                <w:webHidden/>
              </w:rPr>
              <w:t>26</w:t>
            </w:r>
            <w:r w:rsidR="00527D92" w:rsidRPr="00D34B4D">
              <w:rPr>
                <w:noProof/>
                <w:webHidden/>
              </w:rPr>
              <w:fldChar w:fldCharType="end"/>
            </w:r>
          </w:hyperlink>
        </w:p>
        <w:p w14:paraId="27E46993" w14:textId="7373F9EE" w:rsidR="00527D92" w:rsidRPr="00D34B4D" w:rsidRDefault="006452FA">
          <w:pPr>
            <w:pStyle w:val="Spistreci1"/>
            <w:tabs>
              <w:tab w:val="left" w:pos="480"/>
              <w:tab w:val="right" w:leader="dot" w:pos="9062"/>
            </w:tabs>
            <w:rPr>
              <w:rFonts w:ascii="Lato" w:hAnsi="Lato" w:cstheme="minorBidi"/>
              <w:b w:val="0"/>
              <w:bCs w:val="0"/>
              <w:caps w:val="0"/>
              <w:noProof/>
              <w:sz w:val="20"/>
              <w:szCs w:val="22"/>
              <w:lang w:eastAsia="pl-PL"/>
            </w:rPr>
          </w:pPr>
          <w:hyperlink w:anchor="_Toc128750798" w:history="1">
            <w:r w:rsidR="00527D92" w:rsidRPr="00D34B4D">
              <w:rPr>
                <w:rStyle w:val="Hipercze"/>
                <w:rFonts w:ascii="Lato" w:hAnsi="Lato"/>
                <w:b w:val="0"/>
                <w:noProof/>
                <w:sz w:val="20"/>
              </w:rPr>
              <w:t>5.</w:t>
            </w:r>
            <w:r w:rsidR="00527D92" w:rsidRPr="00D34B4D">
              <w:rPr>
                <w:rFonts w:ascii="Lato" w:hAnsi="Lato" w:cstheme="minorBidi"/>
                <w:b w:val="0"/>
                <w:bCs w:val="0"/>
                <w:caps w:val="0"/>
                <w:noProof/>
                <w:sz w:val="20"/>
                <w:szCs w:val="22"/>
                <w:lang w:eastAsia="pl-PL"/>
              </w:rPr>
              <w:tab/>
            </w:r>
            <w:r w:rsidR="00527D92" w:rsidRPr="00D34B4D">
              <w:rPr>
                <w:rStyle w:val="Hipercze"/>
                <w:rFonts w:ascii="Lato" w:hAnsi="Lato"/>
                <w:b w:val="0"/>
                <w:noProof/>
                <w:sz w:val="20"/>
              </w:rPr>
              <w:t>WYBRANE SPOTKANIA PEŁNOMOCNIKA Z PRZEDSTAWICIELAMI INSTYTUCJI MIĘDZYNARODOWYCH I AMBASAD W TEMATYCE RÓWNEGO TRAKTOWANIA</w:t>
            </w:r>
            <w:r w:rsidR="00527D92" w:rsidRPr="00D34B4D">
              <w:rPr>
                <w:rFonts w:ascii="Lato" w:hAnsi="Lato"/>
                <w:b w:val="0"/>
                <w:noProof/>
                <w:webHidden/>
                <w:sz w:val="20"/>
              </w:rPr>
              <w:tab/>
            </w:r>
            <w:r w:rsidR="00527D92" w:rsidRPr="00D34B4D">
              <w:rPr>
                <w:rFonts w:ascii="Lato" w:hAnsi="Lato"/>
                <w:b w:val="0"/>
                <w:noProof/>
                <w:webHidden/>
                <w:sz w:val="20"/>
              </w:rPr>
              <w:fldChar w:fldCharType="begin"/>
            </w:r>
            <w:r w:rsidR="00527D92" w:rsidRPr="00D34B4D">
              <w:rPr>
                <w:rFonts w:ascii="Lato" w:hAnsi="Lato"/>
                <w:b w:val="0"/>
                <w:noProof/>
                <w:webHidden/>
                <w:sz w:val="20"/>
              </w:rPr>
              <w:instrText xml:space="preserve"> PAGEREF _Toc128750798 \h </w:instrText>
            </w:r>
            <w:r w:rsidR="00527D92" w:rsidRPr="00D34B4D">
              <w:rPr>
                <w:rFonts w:ascii="Lato" w:hAnsi="Lato"/>
                <w:b w:val="0"/>
                <w:noProof/>
                <w:webHidden/>
                <w:sz w:val="20"/>
              </w:rPr>
            </w:r>
            <w:r w:rsidR="00527D92" w:rsidRPr="00D34B4D">
              <w:rPr>
                <w:rFonts w:ascii="Lato" w:hAnsi="Lato"/>
                <w:b w:val="0"/>
                <w:noProof/>
                <w:webHidden/>
                <w:sz w:val="20"/>
              </w:rPr>
              <w:fldChar w:fldCharType="separate"/>
            </w:r>
            <w:r w:rsidR="00527D92" w:rsidRPr="00D34B4D">
              <w:rPr>
                <w:rFonts w:ascii="Lato" w:hAnsi="Lato"/>
                <w:b w:val="0"/>
                <w:noProof/>
                <w:webHidden/>
                <w:sz w:val="20"/>
              </w:rPr>
              <w:t>27</w:t>
            </w:r>
            <w:r w:rsidR="00527D92" w:rsidRPr="00D34B4D">
              <w:rPr>
                <w:rFonts w:ascii="Lato" w:hAnsi="Lato"/>
                <w:b w:val="0"/>
                <w:noProof/>
                <w:webHidden/>
                <w:sz w:val="20"/>
              </w:rPr>
              <w:fldChar w:fldCharType="end"/>
            </w:r>
          </w:hyperlink>
        </w:p>
        <w:p w14:paraId="00B2F7C9" w14:textId="201E6C20" w:rsidR="00527D92" w:rsidRPr="00D34B4D" w:rsidRDefault="006452FA" w:rsidP="00E165EA">
          <w:pPr>
            <w:pStyle w:val="Spistreci2"/>
            <w:rPr>
              <w:rFonts w:cstheme="minorBidi"/>
              <w:noProof/>
              <w:szCs w:val="22"/>
              <w:lang w:eastAsia="pl-PL"/>
            </w:rPr>
          </w:pPr>
          <w:hyperlink w:anchor="_Toc128750799" w:history="1">
            <w:r w:rsidR="00527D92" w:rsidRPr="00D34B4D">
              <w:rPr>
                <w:rStyle w:val="Hipercze"/>
                <w:rFonts w:ascii="Lato" w:hAnsi="Lato"/>
                <w:b w:val="0"/>
                <w:noProof/>
              </w:rPr>
              <w:t>5.1.</w:t>
            </w:r>
            <w:r w:rsidR="00527D92" w:rsidRPr="00D34B4D">
              <w:rPr>
                <w:rFonts w:cstheme="minorBidi"/>
                <w:noProof/>
                <w:szCs w:val="22"/>
                <w:lang w:eastAsia="pl-PL"/>
              </w:rPr>
              <w:tab/>
            </w:r>
            <w:r w:rsidR="00527D92" w:rsidRPr="00D34B4D">
              <w:rPr>
                <w:rStyle w:val="Hipercze"/>
                <w:rFonts w:ascii="Lato" w:hAnsi="Lato"/>
                <w:b w:val="0"/>
                <w:noProof/>
              </w:rPr>
              <w:t>Spotkanie Pełnomocnik</w:t>
            </w:r>
            <w:r w:rsidR="00905077">
              <w:rPr>
                <w:rStyle w:val="Hipercze"/>
                <w:rFonts w:ascii="Lato" w:hAnsi="Lato"/>
                <w:b w:val="0"/>
                <w:noProof/>
              </w:rPr>
              <w:t>a</w:t>
            </w:r>
            <w:r w:rsidR="00527D92" w:rsidRPr="00D34B4D">
              <w:rPr>
                <w:rStyle w:val="Hipercze"/>
                <w:rFonts w:ascii="Lato" w:hAnsi="Lato"/>
                <w:b w:val="0"/>
                <w:noProof/>
              </w:rPr>
              <w:t xml:space="preserve"> Rządu do Spraw Równego Traktowania ze  Specjalnym Pełnomocnikiem Brytyjskiego Premiera ds. Praw Osób LGBT+, Lordem Nickiem Herbertem Danii w Polsce</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_Toc128750799 \h </w:instrText>
            </w:r>
            <w:r w:rsidR="00527D92" w:rsidRPr="00D34B4D">
              <w:rPr>
                <w:noProof/>
                <w:webHidden/>
              </w:rPr>
            </w:r>
            <w:r w:rsidR="00527D92" w:rsidRPr="00D34B4D">
              <w:rPr>
                <w:noProof/>
                <w:webHidden/>
              </w:rPr>
              <w:fldChar w:fldCharType="separate"/>
            </w:r>
            <w:r w:rsidR="00527D92" w:rsidRPr="00D34B4D">
              <w:rPr>
                <w:noProof/>
                <w:webHidden/>
              </w:rPr>
              <w:t>27</w:t>
            </w:r>
            <w:r w:rsidR="00527D92" w:rsidRPr="00D34B4D">
              <w:rPr>
                <w:noProof/>
                <w:webHidden/>
              </w:rPr>
              <w:fldChar w:fldCharType="end"/>
            </w:r>
          </w:hyperlink>
        </w:p>
        <w:p w14:paraId="6CD88327" w14:textId="4A26BCD3" w:rsidR="00527D92" w:rsidRPr="00D34B4D" w:rsidRDefault="006452FA" w:rsidP="00E165EA">
          <w:pPr>
            <w:pStyle w:val="Spistreci2"/>
            <w:rPr>
              <w:rFonts w:cstheme="minorBidi"/>
              <w:noProof/>
              <w:szCs w:val="22"/>
              <w:lang w:eastAsia="pl-PL"/>
            </w:rPr>
          </w:pPr>
          <w:hyperlink w:anchor="_Toc128750800" w:history="1">
            <w:r w:rsidR="00527D92" w:rsidRPr="00D34B4D">
              <w:rPr>
                <w:rStyle w:val="Hipercze"/>
                <w:rFonts w:ascii="Lato" w:hAnsi="Lato"/>
                <w:b w:val="0"/>
                <w:noProof/>
              </w:rPr>
              <w:t>5.2.</w:t>
            </w:r>
            <w:r w:rsidR="00527D92" w:rsidRPr="00D34B4D">
              <w:rPr>
                <w:rFonts w:cstheme="minorBidi"/>
                <w:noProof/>
                <w:szCs w:val="22"/>
                <w:lang w:eastAsia="pl-PL"/>
              </w:rPr>
              <w:tab/>
            </w:r>
            <w:r w:rsidR="00527D92" w:rsidRPr="00D34B4D">
              <w:rPr>
                <w:rStyle w:val="Hipercze"/>
                <w:rFonts w:ascii="Lato" w:hAnsi="Lato"/>
                <w:b w:val="0"/>
                <w:noProof/>
              </w:rPr>
              <w:t>Spotkanie Pełnomocnik</w:t>
            </w:r>
            <w:r w:rsidR="00905077">
              <w:rPr>
                <w:rStyle w:val="Hipercze"/>
                <w:rFonts w:ascii="Lato" w:hAnsi="Lato"/>
                <w:b w:val="0"/>
                <w:noProof/>
              </w:rPr>
              <w:t>a</w:t>
            </w:r>
            <w:r w:rsidR="00527D92" w:rsidRPr="00D34B4D">
              <w:rPr>
                <w:rStyle w:val="Hipercze"/>
                <w:rFonts w:ascii="Lato" w:hAnsi="Lato"/>
                <w:b w:val="0"/>
                <w:noProof/>
              </w:rPr>
              <w:t xml:space="preserve"> Rządu do Spraw Równego Traktowania z Panią Heleną Dalli  Komisarz UE ds. równouprawnienia w Polsce</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_Toc128750800 \h </w:instrText>
            </w:r>
            <w:r w:rsidR="00527D92" w:rsidRPr="00D34B4D">
              <w:rPr>
                <w:noProof/>
                <w:webHidden/>
              </w:rPr>
            </w:r>
            <w:r w:rsidR="00527D92" w:rsidRPr="00D34B4D">
              <w:rPr>
                <w:noProof/>
                <w:webHidden/>
              </w:rPr>
              <w:fldChar w:fldCharType="separate"/>
            </w:r>
            <w:r w:rsidR="00527D92" w:rsidRPr="00D34B4D">
              <w:rPr>
                <w:noProof/>
                <w:webHidden/>
              </w:rPr>
              <w:t>28</w:t>
            </w:r>
            <w:r w:rsidR="00527D92" w:rsidRPr="00D34B4D">
              <w:rPr>
                <w:noProof/>
                <w:webHidden/>
              </w:rPr>
              <w:fldChar w:fldCharType="end"/>
            </w:r>
          </w:hyperlink>
        </w:p>
        <w:p w14:paraId="492C64A8" w14:textId="4B26C324" w:rsidR="00527D92" w:rsidRPr="00D34B4D" w:rsidRDefault="006452FA" w:rsidP="00E165EA">
          <w:pPr>
            <w:pStyle w:val="Spistreci2"/>
            <w:rPr>
              <w:rFonts w:cstheme="minorBidi"/>
              <w:noProof/>
              <w:szCs w:val="22"/>
              <w:lang w:eastAsia="pl-PL"/>
            </w:rPr>
          </w:pPr>
          <w:hyperlink w:anchor="_Toc128750801" w:history="1">
            <w:r w:rsidR="00527D92" w:rsidRPr="00D34B4D">
              <w:rPr>
                <w:rStyle w:val="Hipercze"/>
                <w:rFonts w:ascii="Lato" w:hAnsi="Lato"/>
                <w:b w:val="0"/>
                <w:noProof/>
              </w:rPr>
              <w:t>5.3.</w:t>
            </w:r>
            <w:r w:rsidR="00527D92" w:rsidRPr="00D34B4D">
              <w:rPr>
                <w:rFonts w:cstheme="minorBidi"/>
                <w:noProof/>
                <w:szCs w:val="22"/>
                <w:lang w:eastAsia="pl-PL"/>
              </w:rPr>
              <w:tab/>
            </w:r>
            <w:r w:rsidR="00527D92" w:rsidRPr="00D34B4D">
              <w:rPr>
                <w:rStyle w:val="Hipercze"/>
                <w:rFonts w:ascii="Lato" w:hAnsi="Lato"/>
                <w:b w:val="0"/>
                <w:noProof/>
              </w:rPr>
              <w:t>Spotkanie Pełnomocnik</w:t>
            </w:r>
            <w:r w:rsidR="00905077">
              <w:rPr>
                <w:rStyle w:val="Hipercze"/>
                <w:rFonts w:ascii="Lato" w:hAnsi="Lato"/>
                <w:b w:val="0"/>
                <w:noProof/>
              </w:rPr>
              <w:t>a</w:t>
            </w:r>
            <w:r w:rsidR="00527D92" w:rsidRPr="00D34B4D">
              <w:rPr>
                <w:rStyle w:val="Hipercze"/>
                <w:rFonts w:ascii="Lato" w:hAnsi="Lato"/>
                <w:b w:val="0"/>
                <w:noProof/>
              </w:rPr>
              <w:t xml:space="preserve"> Rządu do Spraw Równego Traktowania z Ambasadorkami</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_Toc128750801 \h </w:instrText>
            </w:r>
            <w:r w:rsidR="00527D92" w:rsidRPr="00D34B4D">
              <w:rPr>
                <w:noProof/>
                <w:webHidden/>
              </w:rPr>
            </w:r>
            <w:r w:rsidR="00527D92" w:rsidRPr="00D34B4D">
              <w:rPr>
                <w:noProof/>
                <w:webHidden/>
              </w:rPr>
              <w:fldChar w:fldCharType="separate"/>
            </w:r>
            <w:r w:rsidR="00527D92" w:rsidRPr="00D34B4D">
              <w:rPr>
                <w:noProof/>
                <w:webHidden/>
              </w:rPr>
              <w:t>29</w:t>
            </w:r>
            <w:r w:rsidR="00527D92" w:rsidRPr="00D34B4D">
              <w:rPr>
                <w:noProof/>
                <w:webHidden/>
              </w:rPr>
              <w:fldChar w:fldCharType="end"/>
            </w:r>
          </w:hyperlink>
        </w:p>
        <w:p w14:paraId="471E5F37" w14:textId="0DF8FB13" w:rsidR="00527D92" w:rsidRPr="00D34B4D" w:rsidRDefault="006452FA" w:rsidP="00E165EA">
          <w:pPr>
            <w:pStyle w:val="Spistreci2"/>
            <w:rPr>
              <w:rFonts w:cstheme="minorBidi"/>
              <w:noProof/>
              <w:szCs w:val="22"/>
              <w:lang w:eastAsia="pl-PL"/>
            </w:rPr>
          </w:pPr>
          <w:hyperlink w:anchor="_Toc128750802" w:history="1">
            <w:r w:rsidR="00527D92" w:rsidRPr="00D34B4D">
              <w:rPr>
                <w:rStyle w:val="Hipercze"/>
                <w:rFonts w:ascii="Lato" w:hAnsi="Lato"/>
                <w:b w:val="0"/>
                <w:noProof/>
              </w:rPr>
              <w:t>5.4.</w:t>
            </w:r>
            <w:r w:rsidR="00527D92" w:rsidRPr="00D34B4D">
              <w:rPr>
                <w:rFonts w:cstheme="minorBidi"/>
                <w:noProof/>
                <w:szCs w:val="22"/>
                <w:lang w:eastAsia="pl-PL"/>
              </w:rPr>
              <w:tab/>
            </w:r>
            <w:r w:rsidR="00527D92" w:rsidRPr="00D34B4D">
              <w:rPr>
                <w:rStyle w:val="Hipercze"/>
                <w:rFonts w:ascii="Lato" w:hAnsi="Lato"/>
                <w:b w:val="0"/>
                <w:noProof/>
              </w:rPr>
              <w:t>Spotkania przedstawicieli Biura Pełnomocnika</w:t>
            </w:r>
            <w:r w:rsidR="00527D92" w:rsidRPr="00D34B4D">
              <w:rPr>
                <w:noProof/>
                <w:webHidden/>
              </w:rPr>
              <w:tab/>
            </w:r>
            <w:r w:rsidR="00527D92" w:rsidRPr="00D34B4D">
              <w:rPr>
                <w:noProof/>
                <w:webHidden/>
              </w:rPr>
              <w:fldChar w:fldCharType="begin"/>
            </w:r>
            <w:r w:rsidR="00527D92" w:rsidRPr="00D34B4D">
              <w:rPr>
                <w:noProof/>
                <w:webHidden/>
              </w:rPr>
              <w:instrText xml:space="preserve"> PAGEREF _Toc128750802 \h </w:instrText>
            </w:r>
            <w:r w:rsidR="00527D92" w:rsidRPr="00D34B4D">
              <w:rPr>
                <w:noProof/>
                <w:webHidden/>
              </w:rPr>
            </w:r>
            <w:r w:rsidR="00527D92" w:rsidRPr="00D34B4D">
              <w:rPr>
                <w:noProof/>
                <w:webHidden/>
              </w:rPr>
              <w:fldChar w:fldCharType="separate"/>
            </w:r>
            <w:r w:rsidR="00527D92" w:rsidRPr="00D34B4D">
              <w:rPr>
                <w:noProof/>
                <w:webHidden/>
              </w:rPr>
              <w:t>29</w:t>
            </w:r>
            <w:r w:rsidR="00527D92" w:rsidRPr="00D34B4D">
              <w:rPr>
                <w:noProof/>
                <w:webHidden/>
              </w:rPr>
              <w:fldChar w:fldCharType="end"/>
            </w:r>
          </w:hyperlink>
        </w:p>
        <w:p w14:paraId="45270A5D" w14:textId="0DC81F9A" w:rsidR="00FA41AB" w:rsidRDefault="00527D92" w:rsidP="00527D92">
          <w:r w:rsidRPr="00D34B4D">
            <w:rPr>
              <w:rFonts w:cstheme="majorHAnsi"/>
              <w:bCs/>
              <w:caps/>
              <w:sz w:val="20"/>
            </w:rPr>
            <w:fldChar w:fldCharType="end"/>
          </w:r>
        </w:p>
      </w:sdtContent>
    </w:sdt>
    <w:p w14:paraId="6468CC4B" w14:textId="5A3BD8AB" w:rsidR="00184653" w:rsidRPr="00CD308A" w:rsidRDefault="00184653" w:rsidP="00184653">
      <w:pPr>
        <w:rPr>
          <w:rStyle w:val="markedcontent"/>
          <w:rFonts w:cstheme="minorHAnsi"/>
          <w:b/>
        </w:rPr>
      </w:pPr>
    </w:p>
    <w:p w14:paraId="1ADFF8A1" w14:textId="7F976173" w:rsidR="00184653" w:rsidRPr="0004386B" w:rsidRDefault="00184653" w:rsidP="00034A29">
      <w:pPr>
        <w:pStyle w:val="Nagwek1"/>
      </w:pPr>
      <w:bookmarkStart w:id="4" w:name="_Toc127958185"/>
      <w:bookmarkStart w:id="5" w:name="_Toc128750768"/>
      <w:bookmarkEnd w:id="1"/>
      <w:bookmarkEnd w:id="2"/>
      <w:r w:rsidRPr="00CD308A">
        <w:lastRenderedPageBreak/>
        <w:t>WSTĘP</w:t>
      </w:r>
      <w:bookmarkEnd w:id="4"/>
      <w:bookmarkEnd w:id="5"/>
    </w:p>
    <w:p w14:paraId="1D51FD5A" w14:textId="62AC4650" w:rsidR="00184653" w:rsidRPr="00CD308A" w:rsidRDefault="00184653" w:rsidP="00184653">
      <w:pPr>
        <w:pStyle w:val="Default"/>
        <w:spacing w:after="120" w:line="276" w:lineRule="auto"/>
        <w:jc w:val="both"/>
        <w:rPr>
          <w:rFonts w:ascii="Lato" w:hAnsi="Lato" w:cstheme="minorHAnsi"/>
        </w:rPr>
      </w:pPr>
      <w:r w:rsidRPr="00CD308A">
        <w:rPr>
          <w:rFonts w:ascii="Lato" w:hAnsi="Lato" w:cstheme="minorHAnsi"/>
        </w:rPr>
        <w:t xml:space="preserve">Sprawozdanie z działalności Pełnomocnika Rządu do Spraw Równego Traktowania stanowi wykonanie obowiązku określonego w art. 23 ustawy z dnia 3 grudnia 2010 r. </w:t>
      </w:r>
      <w:r w:rsidR="00AE5368">
        <w:rPr>
          <w:rFonts w:ascii="Lato" w:hAnsi="Lato" w:cstheme="minorHAnsi"/>
        </w:rPr>
        <w:br/>
      </w:r>
      <w:r w:rsidRPr="00CD308A">
        <w:rPr>
          <w:rFonts w:ascii="Lato" w:hAnsi="Lato" w:cstheme="minorHAnsi"/>
        </w:rPr>
        <w:t xml:space="preserve">o wdrożeniu niektórych przepisów Unii Europejskiej w zakresie równego traktowania (Dz. U. z 2020 r. poz. 2156), zwanej dalej „ustawą równościową”, dotyczącego opracowywania i przedstawiania Radzie Ministrów okresowej informacji na temat działalności  Pełnomocnika. </w:t>
      </w:r>
    </w:p>
    <w:p w14:paraId="6D711665" w14:textId="77777777" w:rsidR="00184653" w:rsidRPr="00CD308A" w:rsidRDefault="00184653" w:rsidP="00184653">
      <w:pPr>
        <w:pStyle w:val="Default"/>
        <w:spacing w:after="120" w:line="276" w:lineRule="auto"/>
        <w:jc w:val="both"/>
        <w:rPr>
          <w:rFonts w:ascii="Lato" w:hAnsi="Lato" w:cstheme="minorHAnsi"/>
        </w:rPr>
      </w:pPr>
      <w:r w:rsidRPr="00CD308A">
        <w:rPr>
          <w:rFonts w:ascii="Lato" w:hAnsi="Lato" w:cstheme="minorHAnsi"/>
        </w:rPr>
        <w:t xml:space="preserve">Niniejsze sprawozdanie przedstawia najważniejsze działania i inicjatywy podjęte przez Pełnomocnika Rządu do Spraw Równego Traktowania, zwanego dalej „Pełnomocnikiem”, w okresie od 1 stycznia do 31 grudnia 2022 r. </w:t>
      </w:r>
    </w:p>
    <w:p w14:paraId="26752371" w14:textId="77777777" w:rsidR="00184653" w:rsidRPr="00CD308A" w:rsidRDefault="00184653" w:rsidP="00184653">
      <w:pPr>
        <w:pStyle w:val="Default"/>
        <w:spacing w:after="120" w:line="276" w:lineRule="auto"/>
        <w:jc w:val="both"/>
        <w:rPr>
          <w:rFonts w:ascii="Lato" w:hAnsi="Lato" w:cstheme="minorHAnsi"/>
        </w:rPr>
      </w:pPr>
    </w:p>
    <w:p w14:paraId="76DD7E8A" w14:textId="77777777" w:rsidR="00184653" w:rsidRPr="00CD308A" w:rsidRDefault="00184653" w:rsidP="00184653">
      <w:pPr>
        <w:pStyle w:val="Default"/>
        <w:spacing w:after="120" w:line="276" w:lineRule="auto"/>
        <w:jc w:val="both"/>
        <w:rPr>
          <w:rFonts w:ascii="Lato" w:hAnsi="Lato" w:cstheme="minorHAnsi"/>
        </w:rPr>
      </w:pPr>
    </w:p>
    <w:p w14:paraId="2A4C61D4" w14:textId="77777777" w:rsidR="00184653" w:rsidRPr="00CD308A" w:rsidRDefault="00184653" w:rsidP="00184653">
      <w:pPr>
        <w:pStyle w:val="Default"/>
        <w:spacing w:after="120" w:line="276" w:lineRule="auto"/>
        <w:jc w:val="both"/>
        <w:rPr>
          <w:rFonts w:ascii="Lato" w:hAnsi="Lato" w:cstheme="minorHAnsi"/>
        </w:rPr>
      </w:pPr>
    </w:p>
    <w:p w14:paraId="4F51D8DB" w14:textId="77777777" w:rsidR="00184653" w:rsidRPr="00CD308A" w:rsidRDefault="00184653" w:rsidP="00184653">
      <w:pPr>
        <w:pStyle w:val="Default"/>
        <w:spacing w:after="120" w:line="276" w:lineRule="auto"/>
        <w:jc w:val="both"/>
        <w:rPr>
          <w:rFonts w:ascii="Lato" w:hAnsi="Lato" w:cstheme="minorHAnsi"/>
        </w:rPr>
      </w:pPr>
    </w:p>
    <w:p w14:paraId="11F93768" w14:textId="77777777" w:rsidR="00184653" w:rsidRPr="00CD308A" w:rsidRDefault="00184653" w:rsidP="00184653">
      <w:pPr>
        <w:pStyle w:val="Default"/>
        <w:spacing w:after="120" w:line="276" w:lineRule="auto"/>
        <w:jc w:val="both"/>
        <w:rPr>
          <w:rFonts w:ascii="Lato" w:hAnsi="Lato" w:cstheme="minorHAnsi"/>
        </w:rPr>
      </w:pPr>
    </w:p>
    <w:p w14:paraId="20CF4F33" w14:textId="77777777" w:rsidR="00184653" w:rsidRPr="00CD308A" w:rsidRDefault="00184653" w:rsidP="00184653">
      <w:pPr>
        <w:pStyle w:val="Default"/>
        <w:spacing w:after="120" w:line="276" w:lineRule="auto"/>
        <w:jc w:val="both"/>
        <w:rPr>
          <w:rFonts w:ascii="Lato" w:hAnsi="Lato" w:cstheme="minorHAnsi"/>
        </w:rPr>
      </w:pPr>
    </w:p>
    <w:p w14:paraId="4C1E16C4" w14:textId="77777777" w:rsidR="00184653" w:rsidRPr="00CD308A" w:rsidRDefault="00184653" w:rsidP="00184653">
      <w:pPr>
        <w:pStyle w:val="Default"/>
        <w:spacing w:after="120" w:line="276" w:lineRule="auto"/>
        <w:jc w:val="both"/>
        <w:rPr>
          <w:rFonts w:ascii="Lato" w:hAnsi="Lato" w:cstheme="minorHAnsi"/>
        </w:rPr>
      </w:pPr>
    </w:p>
    <w:p w14:paraId="395C42BB" w14:textId="77777777" w:rsidR="00184653" w:rsidRPr="00CD308A" w:rsidRDefault="00184653" w:rsidP="00184653">
      <w:pPr>
        <w:pStyle w:val="Default"/>
        <w:spacing w:after="120" w:line="276" w:lineRule="auto"/>
        <w:jc w:val="both"/>
        <w:rPr>
          <w:rFonts w:ascii="Lato" w:hAnsi="Lato" w:cstheme="minorHAnsi"/>
        </w:rPr>
      </w:pPr>
    </w:p>
    <w:p w14:paraId="2378DE7F" w14:textId="246E5B18" w:rsidR="00184653" w:rsidRPr="00CD308A" w:rsidRDefault="00184653" w:rsidP="00184653">
      <w:pPr>
        <w:pStyle w:val="Default"/>
        <w:spacing w:after="120" w:line="276" w:lineRule="auto"/>
        <w:jc w:val="both"/>
        <w:rPr>
          <w:rFonts w:ascii="Lato" w:hAnsi="Lato" w:cstheme="minorHAnsi"/>
        </w:rPr>
      </w:pPr>
    </w:p>
    <w:p w14:paraId="6EFC6A74" w14:textId="38DC40F5" w:rsidR="00184653" w:rsidRPr="00CD308A" w:rsidRDefault="00184653" w:rsidP="00184653">
      <w:pPr>
        <w:pStyle w:val="Default"/>
        <w:spacing w:after="120" w:line="276" w:lineRule="auto"/>
        <w:jc w:val="both"/>
        <w:rPr>
          <w:rFonts w:ascii="Lato" w:hAnsi="Lato" w:cstheme="minorHAnsi"/>
        </w:rPr>
      </w:pPr>
    </w:p>
    <w:p w14:paraId="648CC672" w14:textId="2205FB6F" w:rsidR="00184653" w:rsidRPr="00CD308A" w:rsidRDefault="00184653" w:rsidP="00184653">
      <w:pPr>
        <w:pStyle w:val="Default"/>
        <w:spacing w:after="120" w:line="276" w:lineRule="auto"/>
        <w:jc w:val="both"/>
        <w:rPr>
          <w:rFonts w:ascii="Lato" w:hAnsi="Lato" w:cstheme="minorHAnsi"/>
        </w:rPr>
      </w:pPr>
    </w:p>
    <w:p w14:paraId="07A5E93F" w14:textId="71690466" w:rsidR="00184653" w:rsidRPr="00CD308A" w:rsidRDefault="00184653" w:rsidP="00184653">
      <w:pPr>
        <w:pStyle w:val="Default"/>
        <w:spacing w:after="120" w:line="276" w:lineRule="auto"/>
        <w:jc w:val="both"/>
        <w:rPr>
          <w:rFonts w:ascii="Lato" w:hAnsi="Lato" w:cstheme="minorHAnsi"/>
        </w:rPr>
      </w:pPr>
    </w:p>
    <w:p w14:paraId="02F1C399" w14:textId="6B2E3BC3" w:rsidR="00184653" w:rsidRPr="00CD308A" w:rsidRDefault="00184653" w:rsidP="00184653">
      <w:pPr>
        <w:pStyle w:val="Default"/>
        <w:spacing w:after="120" w:line="276" w:lineRule="auto"/>
        <w:jc w:val="both"/>
        <w:rPr>
          <w:rFonts w:ascii="Lato" w:hAnsi="Lato" w:cstheme="minorHAnsi"/>
        </w:rPr>
      </w:pPr>
    </w:p>
    <w:p w14:paraId="0FE9706B" w14:textId="7571D516" w:rsidR="00184653" w:rsidRPr="00CD308A" w:rsidRDefault="00184653" w:rsidP="00184653">
      <w:pPr>
        <w:pStyle w:val="Default"/>
        <w:spacing w:after="120" w:line="276" w:lineRule="auto"/>
        <w:jc w:val="both"/>
        <w:rPr>
          <w:rFonts w:ascii="Lato" w:hAnsi="Lato" w:cstheme="minorHAnsi"/>
        </w:rPr>
      </w:pPr>
    </w:p>
    <w:p w14:paraId="098A7651" w14:textId="77777777" w:rsidR="00184653" w:rsidRPr="00CD308A" w:rsidRDefault="00184653" w:rsidP="00184653">
      <w:pPr>
        <w:pStyle w:val="Default"/>
        <w:spacing w:after="120" w:line="276" w:lineRule="auto"/>
        <w:jc w:val="both"/>
        <w:rPr>
          <w:rFonts w:ascii="Lato" w:hAnsi="Lato" w:cstheme="minorHAnsi"/>
        </w:rPr>
      </w:pPr>
    </w:p>
    <w:p w14:paraId="1FE9C9CF" w14:textId="77777777" w:rsidR="00184653" w:rsidRPr="00CD308A" w:rsidRDefault="00184653" w:rsidP="00184653">
      <w:pPr>
        <w:pStyle w:val="Default"/>
        <w:spacing w:after="120" w:line="276" w:lineRule="auto"/>
        <w:jc w:val="both"/>
        <w:rPr>
          <w:rFonts w:ascii="Lato" w:hAnsi="Lato" w:cstheme="minorHAnsi"/>
        </w:rPr>
      </w:pPr>
    </w:p>
    <w:p w14:paraId="66EFCF81" w14:textId="77777777" w:rsidR="00184653" w:rsidRPr="00CD308A" w:rsidRDefault="00184653" w:rsidP="00184653">
      <w:pPr>
        <w:pStyle w:val="Default"/>
        <w:spacing w:after="120" w:line="276" w:lineRule="auto"/>
        <w:jc w:val="both"/>
        <w:rPr>
          <w:rFonts w:ascii="Lato" w:hAnsi="Lato" w:cstheme="minorHAnsi"/>
        </w:rPr>
      </w:pPr>
    </w:p>
    <w:p w14:paraId="18F888BE" w14:textId="77777777" w:rsidR="00184653" w:rsidRPr="00CD308A" w:rsidRDefault="00184653" w:rsidP="00184653">
      <w:pPr>
        <w:pStyle w:val="Default"/>
        <w:spacing w:after="120" w:line="276" w:lineRule="auto"/>
        <w:jc w:val="both"/>
        <w:rPr>
          <w:rFonts w:ascii="Lato" w:hAnsi="Lato" w:cstheme="minorHAnsi"/>
        </w:rPr>
      </w:pPr>
    </w:p>
    <w:p w14:paraId="11A2A4B0" w14:textId="77777777" w:rsidR="00184653" w:rsidRPr="00CD308A" w:rsidRDefault="00184653" w:rsidP="00184653">
      <w:pPr>
        <w:pStyle w:val="Default"/>
        <w:spacing w:after="120" w:line="276" w:lineRule="auto"/>
        <w:jc w:val="both"/>
        <w:rPr>
          <w:rFonts w:ascii="Lato" w:hAnsi="Lato" w:cstheme="minorHAnsi"/>
        </w:rPr>
      </w:pPr>
    </w:p>
    <w:p w14:paraId="2794A83D" w14:textId="77777777" w:rsidR="00184653" w:rsidRPr="00AE5368" w:rsidRDefault="00184653" w:rsidP="00034A29">
      <w:pPr>
        <w:pStyle w:val="Nagwek1"/>
        <w:numPr>
          <w:ilvl w:val="0"/>
          <w:numId w:val="16"/>
        </w:numPr>
        <w:rPr>
          <w:rStyle w:val="markedcontent"/>
        </w:rPr>
      </w:pPr>
      <w:bookmarkStart w:id="6" w:name="_Toc127958186"/>
      <w:bookmarkStart w:id="7" w:name="_Toc128750769"/>
      <w:r w:rsidRPr="00AE5368">
        <w:rPr>
          <w:rStyle w:val="markedcontent"/>
        </w:rPr>
        <w:lastRenderedPageBreak/>
        <w:t>PEŁNOMOCNIK RZĄDU DO SPRAW RÓWNEGO TRAKTOWANIA</w:t>
      </w:r>
      <w:bookmarkEnd w:id="6"/>
      <w:bookmarkEnd w:id="7"/>
    </w:p>
    <w:p w14:paraId="0D06FDC3" w14:textId="77777777" w:rsidR="00184653" w:rsidRPr="00CD308A" w:rsidRDefault="00184653" w:rsidP="00034A29">
      <w:pPr>
        <w:pStyle w:val="Nagwek2"/>
        <w:rPr>
          <w:rStyle w:val="markedcontent"/>
          <w:b w:val="0"/>
          <w:vanish/>
        </w:rPr>
      </w:pPr>
      <w:bookmarkStart w:id="8" w:name="_Toc127955463"/>
      <w:bookmarkStart w:id="9" w:name="_Toc127956473"/>
      <w:bookmarkStart w:id="10" w:name="_Toc127956515"/>
      <w:bookmarkStart w:id="11" w:name="_Toc127956562"/>
      <w:bookmarkStart w:id="12" w:name="_Toc127956608"/>
      <w:bookmarkStart w:id="13" w:name="_Toc127958126"/>
      <w:bookmarkStart w:id="14" w:name="_Toc127958187"/>
      <w:bookmarkStart w:id="15" w:name="_Toc128475759"/>
      <w:bookmarkStart w:id="16" w:name="_Toc128750521"/>
      <w:bookmarkStart w:id="17" w:name="_Toc128750770"/>
      <w:bookmarkEnd w:id="8"/>
      <w:bookmarkEnd w:id="9"/>
      <w:bookmarkEnd w:id="10"/>
      <w:bookmarkEnd w:id="11"/>
      <w:bookmarkEnd w:id="12"/>
      <w:bookmarkEnd w:id="13"/>
      <w:bookmarkEnd w:id="14"/>
      <w:bookmarkEnd w:id="15"/>
      <w:bookmarkEnd w:id="16"/>
      <w:bookmarkEnd w:id="17"/>
    </w:p>
    <w:p w14:paraId="6041CDE5" w14:textId="7997E91F" w:rsidR="00184653" w:rsidRPr="00AE5368" w:rsidRDefault="00184653" w:rsidP="00034A29">
      <w:pPr>
        <w:pStyle w:val="Nagwek2"/>
        <w:numPr>
          <w:ilvl w:val="1"/>
          <w:numId w:val="22"/>
        </w:numPr>
      </w:pPr>
      <w:bookmarkStart w:id="18" w:name="_Toc128750771"/>
      <w:r w:rsidRPr="00AE5368">
        <w:rPr>
          <w:rStyle w:val="markedcontent"/>
        </w:rPr>
        <w:t>Podstawa prawna działania, kompetencje i zadania</w:t>
      </w:r>
      <w:bookmarkEnd w:id="18"/>
    </w:p>
    <w:p w14:paraId="5784C2E6" w14:textId="48707DE3" w:rsidR="00184653" w:rsidRPr="00CD308A" w:rsidRDefault="00184653" w:rsidP="001A3066">
      <w:r w:rsidRPr="00CD308A">
        <w:t xml:space="preserve">Pełnomocnik działa na podstawie przepisów </w:t>
      </w:r>
      <w:r w:rsidR="001A3066">
        <w:t xml:space="preserve">ustawy </w:t>
      </w:r>
      <w:r w:rsidR="003B6D6D">
        <w:t>równościowej</w:t>
      </w:r>
      <w:r w:rsidRPr="00CD308A">
        <w:t xml:space="preserve">. Przepisy ustawy równościowej określają obszary i sposoby przeciwdziałania naruszeniom zasady równego traktowania ze względu na wskazane w niej cechy prawnie chronione oraz organy właściwe w zakresie realizacji zasady równego traktowania. </w:t>
      </w:r>
    </w:p>
    <w:p w14:paraId="1B35E34C" w14:textId="1C988CDF" w:rsidR="00184653" w:rsidRPr="00CD308A" w:rsidRDefault="00184653" w:rsidP="00184653">
      <w:r w:rsidRPr="00CD308A">
        <w:t>Tryb powoływania i odwoływania Pełnomocnika został określony w art. 20 ustawy równościowej, zgodnie z którym uprawnienie to przysługuje Prezesowi Rady Ministrów. Pełnomocnik</w:t>
      </w:r>
      <w:r w:rsidR="003B6D6D">
        <w:t>,</w:t>
      </w:r>
      <w:r w:rsidRPr="00CD308A">
        <w:t xml:space="preserve"> realizując zasadę równego traktowania</w:t>
      </w:r>
      <w:r w:rsidR="003B6D6D">
        <w:t>,</w:t>
      </w:r>
      <w:r w:rsidRPr="00CD308A">
        <w:t xml:space="preserve"> podległy jest Prezesowi Rady Ministrów. </w:t>
      </w:r>
    </w:p>
    <w:p w14:paraId="7D5DAA1B" w14:textId="77777777" w:rsidR="00184653" w:rsidRPr="00CD308A" w:rsidRDefault="00184653" w:rsidP="00184653">
      <w:r w:rsidRPr="00CD308A">
        <w:t>Stosownie do art. 21 ust. 2 ustawy równościowej do zadań Pełnomocnika należy w szczególności:</w:t>
      </w:r>
    </w:p>
    <w:p w14:paraId="0D53C34D" w14:textId="77777777" w:rsidR="00184653" w:rsidRPr="00CD308A" w:rsidRDefault="00184653" w:rsidP="00464DE6">
      <w:pPr>
        <w:pStyle w:val="Akapitzlist"/>
        <w:numPr>
          <w:ilvl w:val="0"/>
          <w:numId w:val="14"/>
        </w:numPr>
      </w:pPr>
      <w:bookmarkStart w:id="19" w:name="_Hlk127540185"/>
      <w:r w:rsidRPr="00CD308A">
        <w:t>opracowywanie i opiniowanie projektów aktów prawnych w zakresie równego traktowania,</w:t>
      </w:r>
    </w:p>
    <w:p w14:paraId="61780D41" w14:textId="2684D55F" w:rsidR="00184653" w:rsidRPr="00CD308A" w:rsidRDefault="00184653" w:rsidP="00464DE6">
      <w:pPr>
        <w:pStyle w:val="Akapitzlist"/>
        <w:numPr>
          <w:ilvl w:val="0"/>
          <w:numId w:val="14"/>
        </w:numPr>
      </w:pPr>
      <w:r w:rsidRPr="00CD308A">
        <w:t xml:space="preserve">przeprowadzanie analiz i ocen rozwiązań prawnych pod kątem respektowania zasady równego traktowania, a także występowanie do właściwych organów </w:t>
      </w:r>
      <w:r w:rsidR="007E7D8F">
        <w:br/>
      </w:r>
      <w:r w:rsidRPr="00CD308A">
        <w:t>z wnioskami o wydanie lub zmianę aktów prawnych,</w:t>
      </w:r>
    </w:p>
    <w:p w14:paraId="55A15DDD" w14:textId="77777777" w:rsidR="00184653" w:rsidRPr="00CD308A" w:rsidRDefault="00184653" w:rsidP="00464DE6">
      <w:pPr>
        <w:pStyle w:val="Akapitzlist"/>
        <w:numPr>
          <w:ilvl w:val="0"/>
          <w:numId w:val="14"/>
        </w:numPr>
      </w:pPr>
      <w:r w:rsidRPr="00CD308A">
        <w:t>podejmowanie działań zmierzających do eliminacji lub ograniczających skutki powstałe w wyniku naruszenia zasady równego traktowania,</w:t>
      </w:r>
    </w:p>
    <w:p w14:paraId="2A9ACCAA" w14:textId="77777777" w:rsidR="00184653" w:rsidRPr="00CD308A" w:rsidRDefault="00184653" w:rsidP="00464DE6">
      <w:pPr>
        <w:pStyle w:val="Akapitzlist"/>
        <w:numPr>
          <w:ilvl w:val="0"/>
          <w:numId w:val="14"/>
        </w:numPr>
      </w:pPr>
      <w:r w:rsidRPr="00CD308A">
        <w:t>dokonywanie analiz i ocen sytuacji prawnej i społecznej w zakresie równego traktowania oraz inicjowanie, realizowanie, koordynowanie lub monitorowanie działań zmierzających do zapewnienia równego traktowania, a także do ochrony przed dyskryminacją,</w:t>
      </w:r>
    </w:p>
    <w:p w14:paraId="0FAA6662" w14:textId="77777777" w:rsidR="00184653" w:rsidRPr="00CD308A" w:rsidRDefault="00184653" w:rsidP="00464DE6">
      <w:pPr>
        <w:pStyle w:val="Akapitzlist"/>
        <w:numPr>
          <w:ilvl w:val="0"/>
          <w:numId w:val="14"/>
        </w:numPr>
      </w:pPr>
      <w:r w:rsidRPr="00CD308A">
        <w:t>monitorowanie sytuacji w zakresie przestrzegania zasady równego traktowania,</w:t>
      </w:r>
    </w:p>
    <w:p w14:paraId="1726822A" w14:textId="77777777" w:rsidR="00184653" w:rsidRPr="00CD308A" w:rsidRDefault="00184653" w:rsidP="00464DE6">
      <w:pPr>
        <w:pStyle w:val="Akapitzlist"/>
        <w:numPr>
          <w:ilvl w:val="0"/>
          <w:numId w:val="14"/>
        </w:numPr>
      </w:pPr>
      <w:r w:rsidRPr="00CD308A">
        <w:t xml:space="preserve">promowanie, upowszechnianie i propagowanie problematyki równego traktowania, </w:t>
      </w:r>
    </w:p>
    <w:p w14:paraId="3B5C4074" w14:textId="77777777" w:rsidR="00184653" w:rsidRPr="00CD308A" w:rsidRDefault="00184653" w:rsidP="00464DE6">
      <w:pPr>
        <w:pStyle w:val="Akapitzlist"/>
        <w:numPr>
          <w:ilvl w:val="0"/>
          <w:numId w:val="14"/>
        </w:numPr>
      </w:pPr>
      <w:r w:rsidRPr="00CD308A">
        <w:t xml:space="preserve">współpraca z właściwymi organami administracji publicznej, partnerami społecznymi, organizacjami pozarządowymi i innymi podmiotami w zakresie równego traktowania, </w:t>
      </w:r>
    </w:p>
    <w:p w14:paraId="5D2168A6" w14:textId="77777777" w:rsidR="00184653" w:rsidRPr="00CD308A" w:rsidRDefault="00184653" w:rsidP="00464DE6">
      <w:pPr>
        <w:pStyle w:val="Akapitzlist"/>
        <w:numPr>
          <w:ilvl w:val="0"/>
          <w:numId w:val="14"/>
        </w:numPr>
      </w:pPr>
      <w:r w:rsidRPr="00CD308A">
        <w:t xml:space="preserve">współpraca z zagranicznymi i międzynarodowymi organizacjami i organami działającymi w zakresie równego traktowania. </w:t>
      </w:r>
    </w:p>
    <w:bookmarkEnd w:id="19"/>
    <w:p w14:paraId="65B87F38" w14:textId="57728DCF" w:rsidR="00184653" w:rsidRPr="00CD308A" w:rsidRDefault="00184653" w:rsidP="00184653">
      <w:r w:rsidRPr="00CD308A">
        <w:t xml:space="preserve">Obowiązek wskazania organu lub organów do spraw promowania, analizowania, monitorowania oraz wspierania równego traktowania, jak również świadczących niezależną pomoc ofiarom dyskryminacji we wnoszeniu skarg w sprawach związanych </w:t>
      </w:r>
      <w:r w:rsidR="007E7D8F">
        <w:br/>
      </w:r>
      <w:r w:rsidRPr="00CD308A">
        <w:lastRenderedPageBreak/>
        <w:t>z naruszeniem zasady równego traktowania został określony w dyrektywach Unii Europejskiej w zakresie równego traktowania</w:t>
      </w:r>
      <w:r w:rsidR="007E7D8F" w:rsidRPr="007E7D8F">
        <w:rPr>
          <w:rStyle w:val="Odwoanieprzypisudolnego"/>
        </w:rPr>
        <w:t xml:space="preserve"> </w:t>
      </w:r>
      <w:r w:rsidR="007E7D8F">
        <w:rPr>
          <w:rStyle w:val="Odwoanieprzypisudolnego"/>
        </w:rPr>
        <w:footnoteReference w:id="1"/>
      </w:r>
      <w:r w:rsidR="003B6D6D">
        <w:t>.</w:t>
      </w:r>
    </w:p>
    <w:p w14:paraId="71F57C27" w14:textId="1E57EA97" w:rsidR="00184653" w:rsidRPr="00CD308A" w:rsidRDefault="00184653" w:rsidP="00184653">
      <w:r w:rsidRPr="00CD308A">
        <w:t>W rozumieniu przepisów dyrektyw wdrażanych ustawą równościową organami odpowiedzialnymi za realizację zasady równego traktowania są Rzecznik Praw Obywatelskich oraz Pełnomocnik. Kompetencje tych organów, niezbędne do</w:t>
      </w:r>
      <w:r w:rsidR="001A2DF9">
        <w:t> </w:t>
      </w:r>
      <w:r w:rsidRPr="00CD308A">
        <w:t>promowania, analizowania, monitorowania i wspierania równego traktowania, zostały określone w ustawie równościowej oraz ustawie</w:t>
      </w:r>
      <w:r w:rsidR="00116573">
        <w:t xml:space="preserve"> </w:t>
      </w:r>
      <w:r w:rsidRPr="00CD308A">
        <w:t>z dnia 15 lipca 1987 r. o</w:t>
      </w:r>
      <w:r w:rsidR="001A2DF9">
        <w:t> </w:t>
      </w:r>
      <w:r w:rsidRPr="00CD308A">
        <w:t>Rzeczniku Praw Obywatelskich (Dz. U. z 2020 r. poz. 627,</w:t>
      </w:r>
      <w:r w:rsidR="004D70C5">
        <w:t xml:space="preserve"> z </w:t>
      </w:r>
      <w:proofErr w:type="spellStart"/>
      <w:r w:rsidR="004D70C5">
        <w:t>późn</w:t>
      </w:r>
      <w:proofErr w:type="spellEnd"/>
      <w:r w:rsidR="004D70C5">
        <w:t>. zm.</w:t>
      </w:r>
      <w:r w:rsidRPr="00CD308A">
        <w:t xml:space="preserve">). </w:t>
      </w:r>
    </w:p>
    <w:p w14:paraId="71A8EB30" w14:textId="74638284" w:rsidR="00184653" w:rsidRPr="00CD308A" w:rsidRDefault="00184653" w:rsidP="00184653">
      <w:r w:rsidRPr="00CD308A">
        <w:t xml:space="preserve">Dyrektywy Unii Europejskiej nałożyły na państwa członkowskie obowiązek wskazania organu lub organów świadczących niezależną pomoc ofiarom dyskryminacji </w:t>
      </w:r>
      <w:r w:rsidR="007E7D8F">
        <w:br/>
      </w:r>
      <w:r w:rsidRPr="00CD308A">
        <w:t xml:space="preserve">we wnoszeniu skarg w sprawach o dyskryminację, prowadzenia niezależnych badań dotyczących dyskryminacji oraz publikacji niezależnych sprawozdań i wydawania zaleceń na temat wszystkich problemów związanych z dyskryminacją. Kompetencje </w:t>
      </w:r>
      <w:r w:rsidR="007E7D8F">
        <w:br/>
      </w:r>
      <w:r w:rsidRPr="00CD308A">
        <w:t>w tym zakresie realizuje Rzecznik Praw Obywatelskich na podstawie art. 11 ust. 2 oraz art. 17b ustawy z dnia 15 lipca 1987 r.</w:t>
      </w:r>
      <w:r>
        <w:t xml:space="preserve"> </w:t>
      </w:r>
      <w:r w:rsidRPr="00CD308A">
        <w:t>o Rzeczniku Praw Obywatelskich.</w:t>
      </w:r>
    </w:p>
    <w:p w14:paraId="78537690" w14:textId="739409C1" w:rsidR="00184653" w:rsidRPr="00CD308A" w:rsidRDefault="00E165EA" w:rsidP="00E165EA">
      <w:pPr>
        <w:pStyle w:val="Nagwek2"/>
        <w:rPr>
          <w:rStyle w:val="markedcontent"/>
          <w:b w:val="0"/>
        </w:rPr>
      </w:pPr>
      <w:bookmarkStart w:id="20" w:name="_Toc127958188"/>
      <w:bookmarkStart w:id="21" w:name="_Toc128750772"/>
      <w:r>
        <w:rPr>
          <w:rStyle w:val="markedcontent"/>
        </w:rPr>
        <w:t>R</w:t>
      </w:r>
      <w:r w:rsidRPr="00E165EA">
        <w:rPr>
          <w:rStyle w:val="markedcontent"/>
        </w:rPr>
        <w:t xml:space="preserve">aport z realizacji </w:t>
      </w:r>
      <w:r w:rsidRPr="00CD308A">
        <w:rPr>
          <w:rStyle w:val="markedcontent"/>
        </w:rPr>
        <w:t>Krajow</w:t>
      </w:r>
      <w:r>
        <w:rPr>
          <w:rStyle w:val="markedcontent"/>
        </w:rPr>
        <w:t>ego</w:t>
      </w:r>
      <w:r w:rsidRPr="00CD308A">
        <w:rPr>
          <w:rStyle w:val="markedcontent"/>
        </w:rPr>
        <w:t xml:space="preserve"> </w:t>
      </w:r>
      <w:r w:rsidR="00184653" w:rsidRPr="00CD308A">
        <w:rPr>
          <w:rStyle w:val="markedcontent"/>
        </w:rPr>
        <w:t>Program</w:t>
      </w:r>
      <w:r>
        <w:rPr>
          <w:rStyle w:val="markedcontent"/>
        </w:rPr>
        <w:t>u</w:t>
      </w:r>
      <w:r w:rsidR="00184653" w:rsidRPr="00CD308A">
        <w:rPr>
          <w:rStyle w:val="markedcontent"/>
        </w:rPr>
        <w:t xml:space="preserve"> Działań na rzecz Równego Traktowania 2022</w:t>
      </w:r>
      <w:r w:rsidR="00184653" w:rsidRPr="00CD308A">
        <w:t>–</w:t>
      </w:r>
      <w:r w:rsidR="00184653" w:rsidRPr="00CD308A">
        <w:rPr>
          <w:rStyle w:val="markedcontent"/>
        </w:rPr>
        <w:t>2030</w:t>
      </w:r>
      <w:bookmarkEnd w:id="20"/>
      <w:bookmarkEnd w:id="21"/>
    </w:p>
    <w:p w14:paraId="34F86255" w14:textId="0AD01746" w:rsidR="00184653" w:rsidRPr="00CD308A" w:rsidRDefault="004B454F" w:rsidP="0069549F">
      <w:r>
        <w:t xml:space="preserve">Prace nad </w:t>
      </w:r>
      <w:r w:rsidR="00184653" w:rsidRPr="00CD308A">
        <w:t>Krajowy</w:t>
      </w:r>
      <w:r>
        <w:t>m</w:t>
      </w:r>
      <w:r w:rsidR="00184653" w:rsidRPr="00CD308A">
        <w:t xml:space="preserve"> Program</w:t>
      </w:r>
      <w:r>
        <w:t>em</w:t>
      </w:r>
      <w:r w:rsidR="00184653" w:rsidRPr="00CD308A">
        <w:t xml:space="preserve"> Działań na rzecz Równego Traktowania na lata 202</w:t>
      </w:r>
      <w:bookmarkStart w:id="22" w:name="_Hlk97537419"/>
      <w:r w:rsidR="00184653" w:rsidRPr="00CD308A">
        <w:t>2–</w:t>
      </w:r>
      <w:bookmarkEnd w:id="22"/>
      <w:r w:rsidR="00184653" w:rsidRPr="00CD308A">
        <w:t>2030 (zwany</w:t>
      </w:r>
      <w:r>
        <w:t>m</w:t>
      </w:r>
      <w:r w:rsidR="00184653" w:rsidRPr="00CD308A">
        <w:t xml:space="preserve"> dalej „Krajowym Programem”) </w:t>
      </w:r>
      <w:r>
        <w:t xml:space="preserve">kontynuowane były w 2022 r. </w:t>
      </w:r>
      <w:r w:rsidR="00F16DA6">
        <w:br/>
      </w:r>
      <w:r>
        <w:t xml:space="preserve">na poziomie Rządu i zakończyły się przyjęciem </w:t>
      </w:r>
      <w:r w:rsidR="00184653" w:rsidRPr="00CD308A">
        <w:t>uchwał</w:t>
      </w:r>
      <w:r>
        <w:t>y nr 113</w:t>
      </w:r>
      <w:r w:rsidR="00184653" w:rsidRPr="00CD308A">
        <w:t xml:space="preserve"> Rady Ministrów z dnia 24 maja 2022 r. </w:t>
      </w:r>
      <w:r w:rsidRPr="004B454F">
        <w:t>w sprawie ustanowienia Krajowego Programu Działań na rzecz Równego Traktowania na lata 2022–2030</w:t>
      </w:r>
      <w:r w:rsidR="0069549F">
        <w:t xml:space="preserve"> (M</w:t>
      </w:r>
      <w:r w:rsidR="00F16DA6">
        <w:t>.</w:t>
      </w:r>
      <w:r w:rsidR="0069549F">
        <w:t>P</w:t>
      </w:r>
      <w:r w:rsidR="00F16DA6">
        <w:t>.</w:t>
      </w:r>
      <w:r w:rsidR="0069549F">
        <w:t xml:space="preserve"> poz. 640</w:t>
      </w:r>
      <w:r w:rsidR="004742D9">
        <w:t>)</w:t>
      </w:r>
      <w:r>
        <w:t xml:space="preserve">. </w:t>
      </w:r>
      <w:r w:rsidR="00184653" w:rsidRPr="00CD308A">
        <w:t>Krajowy Program wyznacza cele i</w:t>
      </w:r>
      <w:r w:rsidR="001A2DF9">
        <w:t> </w:t>
      </w:r>
      <w:r w:rsidR="00184653" w:rsidRPr="00CD308A">
        <w:t>priorytety działań na rzecz równego traktowania</w:t>
      </w:r>
      <w:r>
        <w:t xml:space="preserve"> w perspektywie wieloletniej</w:t>
      </w:r>
      <w:r w:rsidR="00184653" w:rsidRPr="00CD308A">
        <w:t xml:space="preserve">. Zgodnie </w:t>
      </w:r>
      <w:r w:rsidR="00184653" w:rsidRPr="00CD308A">
        <w:lastRenderedPageBreak/>
        <w:t>z ustawą równościową zakres działań przewidzianych w Krajowym Programie obejmuje w szczególności:</w:t>
      </w:r>
    </w:p>
    <w:p w14:paraId="37E11FA3" w14:textId="77777777" w:rsidR="00184653" w:rsidRPr="00CD308A" w:rsidRDefault="00184653" w:rsidP="00464DE6">
      <w:pPr>
        <w:pStyle w:val="Akapitzlist"/>
        <w:numPr>
          <w:ilvl w:val="0"/>
          <w:numId w:val="15"/>
        </w:numPr>
      </w:pPr>
      <w:r w:rsidRPr="00CD308A">
        <w:t>podnoszenie świadomości społecznej w zakresie równego traktowania, w tym na temat przyczyn i skutków naruszenia zasady równego traktowania,</w:t>
      </w:r>
    </w:p>
    <w:p w14:paraId="52877200" w14:textId="77777777" w:rsidR="00184653" w:rsidRPr="00CD308A" w:rsidRDefault="00184653" w:rsidP="00464DE6">
      <w:pPr>
        <w:pStyle w:val="Akapitzlist"/>
        <w:numPr>
          <w:ilvl w:val="0"/>
          <w:numId w:val="15"/>
        </w:numPr>
      </w:pPr>
      <w:r w:rsidRPr="00CD308A">
        <w:t>przeciwdziałanie naruszeniom zasady równego traktowania,</w:t>
      </w:r>
    </w:p>
    <w:p w14:paraId="312D5646" w14:textId="77777777" w:rsidR="00184653" w:rsidRPr="00CD308A" w:rsidRDefault="00184653" w:rsidP="00464DE6">
      <w:pPr>
        <w:pStyle w:val="Akapitzlist"/>
        <w:numPr>
          <w:ilvl w:val="0"/>
          <w:numId w:val="15"/>
        </w:numPr>
      </w:pPr>
      <w:r w:rsidRPr="00CD308A">
        <w:t xml:space="preserve">współpracę z partnerami społecznymi, organizacjami pozarządowymi i innymi podmiotami w zakresie równego traktowania. </w:t>
      </w:r>
    </w:p>
    <w:p w14:paraId="335380F7" w14:textId="69DDFB64" w:rsidR="00184653" w:rsidRDefault="00184653" w:rsidP="00184653">
      <w:r w:rsidRPr="00CD308A">
        <w:t xml:space="preserve">Krajowy Program jest drugim programem okresowym opracowanym przez Pełnomocnika </w:t>
      </w:r>
      <w:r w:rsidR="004B454F">
        <w:t>po dokonaniu ewaluacji</w:t>
      </w:r>
      <w:r w:rsidR="004B454F" w:rsidRPr="004B454F">
        <w:t xml:space="preserve"> poprzedniej </w:t>
      </w:r>
      <w:r w:rsidR="004B454F">
        <w:t>edycji</w:t>
      </w:r>
      <w:r w:rsidR="004B454F" w:rsidRPr="004B454F">
        <w:t xml:space="preserve"> </w:t>
      </w:r>
      <w:r w:rsidR="004B454F">
        <w:t>P</w:t>
      </w:r>
      <w:r w:rsidR="004B454F" w:rsidRPr="004B454F">
        <w:t>rogramu</w:t>
      </w:r>
      <w:r w:rsidR="004D70C5">
        <w:t>,</w:t>
      </w:r>
      <w:r w:rsidR="004B454F" w:rsidRPr="004B454F">
        <w:t xml:space="preserve"> obejmujące</w:t>
      </w:r>
      <w:r w:rsidR="004B454F">
        <w:t>j</w:t>
      </w:r>
      <w:r w:rsidR="004B454F" w:rsidRPr="004B454F">
        <w:t xml:space="preserve"> lata 2013–2016</w:t>
      </w:r>
      <w:r w:rsidRPr="00CD308A">
        <w:t>.</w:t>
      </w:r>
    </w:p>
    <w:p w14:paraId="37B9CBDD" w14:textId="610AE090" w:rsidR="00F03400" w:rsidRPr="00CD308A" w:rsidRDefault="00F03400" w:rsidP="00184653">
      <w:r>
        <w:t>W pierwszych miesiącach obowiązywania Krajowego Programu podjęto starania w celu rekrutacji personelu uzupełniającego zespół Biura Pełnomocnika i pozyskania środków unijnych na realizację poszczególnych zadań, zlecono wewnętrzne analizy najpilniejszych potrzeb legislacyjnych w zakresie równego traktowania. Ponadto Pełnomocnik koordynował współpracę resortów oraz podmiotów spoza administracji rządowej w zakresie realizacji Krajowego Programu.</w:t>
      </w:r>
    </w:p>
    <w:p w14:paraId="25874CCA" w14:textId="732A3404" w:rsidR="00184653" w:rsidRPr="00CD308A" w:rsidRDefault="00184653" w:rsidP="00184653">
      <w:pPr>
        <w:rPr>
          <w:rStyle w:val="markedcontent"/>
          <w:rFonts w:cstheme="minorHAnsi"/>
        </w:rPr>
      </w:pPr>
      <w:r w:rsidRPr="00CD308A">
        <w:t>Biuro Pełnomocnika co kwartał na potrzeby aktualizacji informacji w ramach sprawozdawczości ze spełniania tzw. warunków podstawowych na lata 2021–2027 przesyła informację o stanie prac nad Krajowym Programem do Ministerstwa Funduszy i Polityki Regionalnej za pośrednictwem Departamentu Wdrażania E</w:t>
      </w:r>
      <w:r w:rsidR="00973E4F">
        <w:t xml:space="preserve">uropejskiego </w:t>
      </w:r>
      <w:r w:rsidRPr="00CD308A">
        <w:t>F</w:t>
      </w:r>
      <w:r w:rsidR="00973E4F">
        <w:t xml:space="preserve">unduszu </w:t>
      </w:r>
      <w:r w:rsidRPr="00CD308A">
        <w:t>S</w:t>
      </w:r>
      <w:r w:rsidR="00973E4F">
        <w:t>połecznego</w:t>
      </w:r>
      <w:r w:rsidRPr="00CD308A">
        <w:t xml:space="preserve"> w Ministerstwie Rodziny i Polityki Społecznej.</w:t>
      </w:r>
    </w:p>
    <w:p w14:paraId="529998AE" w14:textId="77777777" w:rsidR="00184653" w:rsidRPr="00F16DA6" w:rsidRDefault="00184653" w:rsidP="00034A29">
      <w:pPr>
        <w:pStyle w:val="Nagwek1"/>
      </w:pPr>
      <w:bookmarkStart w:id="23" w:name="_Toc127958189"/>
      <w:bookmarkStart w:id="24" w:name="_Toc128750773"/>
      <w:r w:rsidRPr="00F16DA6">
        <w:rPr>
          <w:rStyle w:val="markedcontent"/>
        </w:rPr>
        <w:t>MONITOROWANIE SYTUACJI W ZAKRESIE PRZESTRZEGANIA ZASADY</w:t>
      </w:r>
      <w:r w:rsidRPr="00F16DA6">
        <w:t xml:space="preserve"> </w:t>
      </w:r>
      <w:r w:rsidRPr="00F16DA6">
        <w:rPr>
          <w:rStyle w:val="markedcontent"/>
        </w:rPr>
        <w:t>RÓWNEGO TRAKTOWANIA</w:t>
      </w:r>
      <w:bookmarkEnd w:id="23"/>
      <w:bookmarkEnd w:id="24"/>
    </w:p>
    <w:p w14:paraId="698326FF" w14:textId="59B640E0" w:rsidR="00184653" w:rsidRPr="00456FC5" w:rsidRDefault="00184653" w:rsidP="00034A29">
      <w:pPr>
        <w:pStyle w:val="Nagwek2"/>
        <w:rPr>
          <w:rStyle w:val="markedcontent"/>
        </w:rPr>
      </w:pPr>
      <w:bookmarkStart w:id="25" w:name="_Toc127958190"/>
      <w:bookmarkStart w:id="26" w:name="_Toc128750774"/>
      <w:r w:rsidRPr="00F16DA6">
        <w:rPr>
          <w:rStyle w:val="markedcontent"/>
        </w:rPr>
        <w:t xml:space="preserve">Działania wynikające ze zobowiązań międzynarodowych i członkostwa Polski </w:t>
      </w:r>
      <w:r w:rsidRPr="00F16DA6">
        <w:rPr>
          <w:rStyle w:val="markedcontent"/>
        </w:rPr>
        <w:br/>
        <w:t>w</w:t>
      </w:r>
      <w:r w:rsidRPr="00F16DA6">
        <w:t xml:space="preserve"> </w:t>
      </w:r>
      <w:r w:rsidRPr="00F16DA6">
        <w:rPr>
          <w:rStyle w:val="markedcontent"/>
        </w:rPr>
        <w:t>organizacjach międzynarodowych</w:t>
      </w:r>
      <w:bookmarkEnd w:id="25"/>
      <w:bookmarkEnd w:id="26"/>
    </w:p>
    <w:p w14:paraId="677BF208" w14:textId="6955899B" w:rsidR="00184653" w:rsidRPr="00456FC5" w:rsidRDefault="00184653" w:rsidP="00F16DA6">
      <w:pPr>
        <w:pStyle w:val="Nagwek3"/>
        <w:rPr>
          <w:rStyle w:val="markedcontent"/>
        </w:rPr>
      </w:pPr>
      <w:bookmarkStart w:id="27" w:name="_Toc127958191"/>
      <w:bookmarkStart w:id="28" w:name="_Toc128750775"/>
      <w:r w:rsidRPr="00F16DA6">
        <w:rPr>
          <w:rStyle w:val="markedcontent"/>
        </w:rPr>
        <w:t>Przygotowywanie stanowisk w sprawach przed Trybunałem Sprawiedliwości Unii</w:t>
      </w:r>
      <w:r w:rsidRPr="00F16DA6">
        <w:t xml:space="preserve"> </w:t>
      </w:r>
      <w:r w:rsidRPr="00F16DA6">
        <w:rPr>
          <w:rStyle w:val="markedcontent"/>
        </w:rPr>
        <w:t>Europejskiej i Europejskim Trybunałem Praw Człowieka</w:t>
      </w:r>
      <w:bookmarkEnd w:id="27"/>
      <w:bookmarkEnd w:id="28"/>
    </w:p>
    <w:p w14:paraId="1900FE3E" w14:textId="77777777" w:rsidR="00184653" w:rsidRPr="00CD308A" w:rsidRDefault="00184653" w:rsidP="00184653">
      <w:r w:rsidRPr="00CD308A">
        <w:t>Biuro Pełnomocnika uczestniczy w procesie przygotowywania stanowiska Polski w sprawach toczących się przed organami Unii Europejskiej. Wśród tych działań wyróżnić można rekomendowanie stronie polskiej przyłączenia się do poszczególnych spraw, jak również budowanie merytorycznej argumentacji w sprawach, w których Polska jest stroną.</w:t>
      </w:r>
    </w:p>
    <w:p w14:paraId="5DB8930C" w14:textId="543F5767" w:rsidR="0031477E" w:rsidRPr="00CD308A" w:rsidRDefault="00184653" w:rsidP="00184653">
      <w:r w:rsidRPr="00CD308A">
        <w:lastRenderedPageBreak/>
        <w:t>Pełnomocnik w ramach wykonywanych kompetencji przedstawiał w 2022 r. stanowiska w sprawach prejudycjalnych, które rozpatrywane były przez Trybunał Sprawiedliwości Unii Europejskiej</w:t>
      </w:r>
      <w:r w:rsidR="009B53B4">
        <w:t xml:space="preserve"> (TSUE)</w:t>
      </w:r>
      <w:r w:rsidRPr="00CD308A">
        <w:t xml:space="preserve">. Sprawy te dotyczyły </w:t>
      </w:r>
      <w:r w:rsidR="004D70C5">
        <w:t>m.in.</w:t>
      </w:r>
      <w:r w:rsidRPr="00CD308A">
        <w:t xml:space="preserve">: </w:t>
      </w:r>
    </w:p>
    <w:p w14:paraId="74F3EDB1" w14:textId="1D08DC78" w:rsidR="00697EBA" w:rsidRDefault="004D70C5" w:rsidP="00903E9B">
      <w:pPr>
        <w:pStyle w:val="Akapitzlist"/>
        <w:numPr>
          <w:ilvl w:val="0"/>
          <w:numId w:val="19"/>
        </w:numPr>
        <w:ind w:left="709" w:hanging="283"/>
      </w:pPr>
      <w:r>
        <w:t xml:space="preserve">odmowy </w:t>
      </w:r>
      <w:r w:rsidR="00EA451D">
        <w:t>transkrypcji zagranicznego aktu urodzenia</w:t>
      </w:r>
      <w:r w:rsidR="00EA451D" w:rsidRPr="00EA451D">
        <w:t xml:space="preserve"> małoletnie</w:t>
      </w:r>
      <w:r w:rsidR="00EA451D">
        <w:t>go</w:t>
      </w:r>
      <w:r w:rsidR="00EA451D" w:rsidRPr="00EA451D">
        <w:t xml:space="preserve"> dzieck</w:t>
      </w:r>
      <w:r w:rsidR="00EA451D">
        <w:t>a</w:t>
      </w:r>
      <w:r w:rsidR="00EA451D" w:rsidRPr="00EA451D">
        <w:t>, będące</w:t>
      </w:r>
      <w:r w:rsidR="00EA451D">
        <w:t>go</w:t>
      </w:r>
      <w:r w:rsidR="00EA451D" w:rsidRPr="00EA451D">
        <w:t xml:space="preserve"> obywatelem </w:t>
      </w:r>
      <w:r w:rsidR="00EA451D">
        <w:t>Polski</w:t>
      </w:r>
      <w:r w:rsidR="00EA451D" w:rsidRPr="00EA451D">
        <w:t xml:space="preserve">, </w:t>
      </w:r>
      <w:r w:rsidR="00EA451D">
        <w:t xml:space="preserve">gdyż dokument </w:t>
      </w:r>
      <w:r w:rsidR="00EA451D" w:rsidRPr="00EA451D">
        <w:t xml:space="preserve">wydany przez właściwe organy jednego z państw członkowskich </w:t>
      </w:r>
      <w:r w:rsidR="00EA451D">
        <w:t xml:space="preserve">UE </w:t>
      </w:r>
      <w:r w:rsidR="00EA451D" w:rsidRPr="00EA451D">
        <w:t xml:space="preserve">wskazuje jako jego rodziców dwie osoby tej </w:t>
      </w:r>
      <w:r w:rsidR="00EA451D" w:rsidRPr="0031477E">
        <w:t xml:space="preserve">samej płci (C-2/21, </w:t>
      </w:r>
      <w:r w:rsidR="00EA451D" w:rsidRPr="00456FC5">
        <w:rPr>
          <w:i/>
          <w:iCs/>
        </w:rPr>
        <w:t>Rzecznik Praw Obywatelskich</w:t>
      </w:r>
      <w:r w:rsidR="00F16DA6">
        <w:rPr>
          <w:rStyle w:val="Odwoanieprzypisudolnego"/>
          <w:i/>
          <w:iCs/>
        </w:rPr>
        <w:footnoteReference w:id="2"/>
      </w:r>
      <w:r w:rsidR="00EA451D" w:rsidRPr="0031477E">
        <w:t>)</w:t>
      </w:r>
      <w:r w:rsidR="0031477E" w:rsidRPr="0031477E">
        <w:t>,</w:t>
      </w:r>
    </w:p>
    <w:p w14:paraId="17707155" w14:textId="10589827" w:rsidR="009B53B4" w:rsidRPr="00697EBA" w:rsidRDefault="004D70C5" w:rsidP="00903E9B">
      <w:pPr>
        <w:pStyle w:val="Akapitzlist"/>
        <w:numPr>
          <w:ilvl w:val="0"/>
          <w:numId w:val="19"/>
        </w:numPr>
        <w:ind w:left="709" w:hanging="283"/>
        <w:rPr>
          <w:bCs/>
        </w:rPr>
      </w:pPr>
      <w:r>
        <w:t>s</w:t>
      </w:r>
      <w:r w:rsidRPr="0031477E">
        <w:t>wobod</w:t>
      </w:r>
      <w:r>
        <w:t>y</w:t>
      </w:r>
      <w:r w:rsidRPr="0031477E">
        <w:t xml:space="preserve"> </w:t>
      </w:r>
      <w:r w:rsidR="0031477E" w:rsidRPr="0031477E">
        <w:t>wyboru strony umowy cywilnoprawnej</w:t>
      </w:r>
      <w:r w:rsidR="0031477E">
        <w:t xml:space="preserve"> </w:t>
      </w:r>
      <w:r w:rsidR="00697EBA">
        <w:t xml:space="preserve">i nieprzedłużenia współpracy </w:t>
      </w:r>
      <w:r w:rsidR="0031477E">
        <w:t>publicznego nadawc</w:t>
      </w:r>
      <w:r w:rsidR="00697EBA">
        <w:t>y</w:t>
      </w:r>
      <w:r w:rsidR="0031477E">
        <w:t xml:space="preserve"> telewizyjnego </w:t>
      </w:r>
      <w:r w:rsidR="00697EBA">
        <w:t xml:space="preserve">z </w:t>
      </w:r>
      <w:r w:rsidR="0031477E">
        <w:t>freelancer</w:t>
      </w:r>
      <w:r w:rsidR="00697EBA">
        <w:t xml:space="preserve">em </w:t>
      </w:r>
      <w:r w:rsidR="0031477E" w:rsidRPr="0031477E">
        <w:t xml:space="preserve">ze względu na </w:t>
      </w:r>
      <w:r w:rsidR="00697EBA">
        <w:t xml:space="preserve">jego </w:t>
      </w:r>
      <w:r w:rsidR="0031477E" w:rsidRPr="0031477E">
        <w:t>orientację seksualną</w:t>
      </w:r>
      <w:r w:rsidR="00697EBA" w:rsidRPr="00697EBA">
        <w:t xml:space="preserve"> </w:t>
      </w:r>
      <w:r w:rsidR="00F16DA6">
        <w:t>(</w:t>
      </w:r>
      <w:r w:rsidR="00697EBA" w:rsidRPr="00697EBA">
        <w:t>C-356/21</w:t>
      </w:r>
      <w:r w:rsidR="00F16DA6">
        <w:t>,</w:t>
      </w:r>
      <w:r w:rsidR="00697EBA" w:rsidRPr="00697EBA">
        <w:t xml:space="preserve"> </w:t>
      </w:r>
      <w:r w:rsidR="00697EBA" w:rsidRPr="00456FC5">
        <w:rPr>
          <w:i/>
          <w:iCs/>
        </w:rPr>
        <w:t>TP</w:t>
      </w:r>
      <w:r w:rsidR="00F16DA6">
        <w:rPr>
          <w:rStyle w:val="Odwoanieprzypisudolnego"/>
          <w:i/>
          <w:iCs/>
        </w:rPr>
        <w:footnoteReference w:id="3"/>
      </w:r>
      <w:r w:rsidR="00F16DA6">
        <w:t>)</w:t>
      </w:r>
      <w:r w:rsidR="00697EBA" w:rsidRPr="00697EBA">
        <w:t>,</w:t>
      </w:r>
    </w:p>
    <w:p w14:paraId="66AC810E" w14:textId="298C66CD" w:rsidR="00697EBA" w:rsidRPr="00F16DA6" w:rsidRDefault="004D70C5" w:rsidP="00456FC5">
      <w:pPr>
        <w:pStyle w:val="Akapitzlist"/>
        <w:numPr>
          <w:ilvl w:val="0"/>
          <w:numId w:val="19"/>
        </w:numPr>
        <w:ind w:left="709" w:hanging="283"/>
        <w:rPr>
          <w:bCs/>
        </w:rPr>
      </w:pPr>
      <w:r>
        <w:t>r</w:t>
      </w:r>
      <w:r w:rsidRPr="0031477E">
        <w:t xml:space="preserve">óżnic </w:t>
      </w:r>
      <w:r w:rsidR="0031477E" w:rsidRPr="0031477E">
        <w:t>w zasadach waloryzacji uposażeń spoczynkowych urzędników</w:t>
      </w:r>
      <w:r w:rsidR="009B53B4">
        <w:t xml:space="preserve"> </w:t>
      </w:r>
      <w:r w:rsidR="0031477E" w:rsidRPr="0031477E">
        <w:t>i</w:t>
      </w:r>
      <w:r w:rsidR="001A2DF9">
        <w:t> </w:t>
      </w:r>
      <w:r w:rsidR="0031477E" w:rsidRPr="0031477E">
        <w:t>pozostałych ubezpieczonych</w:t>
      </w:r>
      <w:r w:rsidR="00697EBA">
        <w:t xml:space="preserve"> </w:t>
      </w:r>
      <w:r w:rsidR="0031477E" w:rsidRPr="0031477E">
        <w:t>(</w:t>
      </w:r>
      <w:r w:rsidR="0031477E" w:rsidRPr="00F16DA6">
        <w:rPr>
          <w:bCs/>
        </w:rPr>
        <w:t xml:space="preserve">C-52/22, </w:t>
      </w:r>
      <w:proofErr w:type="spellStart"/>
      <w:r w:rsidR="0031477E" w:rsidRPr="00456FC5">
        <w:rPr>
          <w:bCs/>
          <w:i/>
          <w:iCs/>
        </w:rPr>
        <w:t>Versicherungsanstalt</w:t>
      </w:r>
      <w:proofErr w:type="spellEnd"/>
      <w:r w:rsidR="0031477E" w:rsidRPr="00456FC5">
        <w:rPr>
          <w:bCs/>
          <w:i/>
          <w:iCs/>
        </w:rPr>
        <w:t xml:space="preserve"> </w:t>
      </w:r>
      <w:proofErr w:type="spellStart"/>
      <w:r w:rsidR="0031477E" w:rsidRPr="00456FC5">
        <w:rPr>
          <w:bCs/>
          <w:i/>
          <w:iCs/>
        </w:rPr>
        <w:t>öffentlich</w:t>
      </w:r>
      <w:proofErr w:type="spellEnd"/>
      <w:r w:rsidR="0031477E" w:rsidRPr="00456FC5">
        <w:rPr>
          <w:bCs/>
          <w:i/>
          <w:iCs/>
        </w:rPr>
        <w:t xml:space="preserve"> </w:t>
      </w:r>
      <w:proofErr w:type="spellStart"/>
      <w:r w:rsidR="0031477E" w:rsidRPr="00456FC5">
        <w:rPr>
          <w:bCs/>
          <w:i/>
          <w:iCs/>
        </w:rPr>
        <w:t>Bediensteter</w:t>
      </w:r>
      <w:proofErr w:type="spellEnd"/>
      <w:r w:rsidR="0031477E" w:rsidRPr="00456FC5">
        <w:rPr>
          <w:bCs/>
          <w:i/>
          <w:iCs/>
        </w:rPr>
        <w:t xml:space="preserve">, </w:t>
      </w:r>
      <w:proofErr w:type="spellStart"/>
      <w:r w:rsidR="0031477E" w:rsidRPr="00456FC5">
        <w:rPr>
          <w:bCs/>
          <w:i/>
          <w:iCs/>
        </w:rPr>
        <w:t>Eisenbahnen</w:t>
      </w:r>
      <w:proofErr w:type="spellEnd"/>
      <w:r w:rsidR="0031477E" w:rsidRPr="00456FC5">
        <w:rPr>
          <w:bCs/>
          <w:i/>
          <w:iCs/>
        </w:rPr>
        <w:t xml:space="preserve"> </w:t>
      </w:r>
      <w:proofErr w:type="spellStart"/>
      <w:r w:rsidR="0031477E" w:rsidRPr="00456FC5">
        <w:rPr>
          <w:bCs/>
          <w:i/>
          <w:iCs/>
        </w:rPr>
        <w:t>und</w:t>
      </w:r>
      <w:proofErr w:type="spellEnd"/>
      <w:r w:rsidR="0031477E" w:rsidRPr="00456FC5">
        <w:rPr>
          <w:bCs/>
          <w:i/>
          <w:iCs/>
        </w:rPr>
        <w:t xml:space="preserve"> </w:t>
      </w:r>
      <w:proofErr w:type="spellStart"/>
      <w:r w:rsidR="0031477E" w:rsidRPr="00456FC5">
        <w:rPr>
          <w:bCs/>
          <w:i/>
          <w:iCs/>
        </w:rPr>
        <w:t>Bergbau</w:t>
      </w:r>
      <w:proofErr w:type="spellEnd"/>
      <w:r w:rsidR="00F16DA6">
        <w:rPr>
          <w:rStyle w:val="Odwoanieprzypisudolnego"/>
          <w:bCs/>
          <w:i/>
          <w:iCs/>
        </w:rPr>
        <w:footnoteReference w:id="4"/>
      </w:r>
      <w:r w:rsidR="0031477E" w:rsidRPr="00F16DA6">
        <w:rPr>
          <w:bCs/>
        </w:rPr>
        <w:t>)</w:t>
      </w:r>
      <w:r w:rsidR="009B53B4">
        <w:rPr>
          <w:bCs/>
        </w:rPr>
        <w:t>,</w:t>
      </w:r>
    </w:p>
    <w:p w14:paraId="128C11BA" w14:textId="77BE209D" w:rsidR="009B53B4" w:rsidRDefault="004D70C5" w:rsidP="00456FC5">
      <w:pPr>
        <w:pStyle w:val="Akapitzlist"/>
        <w:numPr>
          <w:ilvl w:val="0"/>
          <w:numId w:val="19"/>
        </w:numPr>
      </w:pPr>
      <w:r>
        <w:rPr>
          <w:bCs/>
        </w:rPr>
        <w:t>u</w:t>
      </w:r>
      <w:r w:rsidRPr="00697EBA">
        <w:rPr>
          <w:bCs/>
        </w:rPr>
        <w:t>wzg</w:t>
      </w:r>
      <w:r>
        <w:t>l</w:t>
      </w:r>
      <w:r w:rsidRPr="0031477E">
        <w:t>ędniani</w:t>
      </w:r>
      <w:r>
        <w:t>a</w:t>
      </w:r>
      <w:r w:rsidRPr="0031477E">
        <w:t xml:space="preserve"> </w:t>
      </w:r>
      <w:r w:rsidR="00697EBA">
        <w:t>przy określaniu stażu wymaganego do</w:t>
      </w:r>
      <w:r w:rsidR="00697EBA" w:rsidRPr="0031477E">
        <w:t xml:space="preserve"> zatrudniania nauczycieli w instytucjach wyższego szkolnictwa artystycznego </w:t>
      </w:r>
      <w:r w:rsidR="00184653" w:rsidRPr="0031477E">
        <w:t>wyłącznie doświadczenia zawodowego zdobytego w instytucjach krajowych</w:t>
      </w:r>
      <w:r w:rsidR="009D295B">
        <w:t xml:space="preserve"> </w:t>
      </w:r>
      <w:r w:rsidR="00184653" w:rsidRPr="0031477E">
        <w:t>(</w:t>
      </w:r>
      <w:r w:rsidR="00184653" w:rsidRPr="00903E9B">
        <w:t>C-132/22</w:t>
      </w:r>
      <w:r w:rsidR="00F16DA6">
        <w:t>,</w:t>
      </w:r>
      <w:r w:rsidR="009D295B" w:rsidRPr="009D295B">
        <w:t xml:space="preserve"> </w:t>
      </w:r>
      <w:proofErr w:type="spellStart"/>
      <w:r w:rsidR="009D295B" w:rsidRPr="00456FC5">
        <w:rPr>
          <w:i/>
          <w:iCs/>
        </w:rPr>
        <w:t>Ministero</w:t>
      </w:r>
      <w:proofErr w:type="spellEnd"/>
      <w:r w:rsidR="009D295B" w:rsidRPr="00456FC5">
        <w:rPr>
          <w:i/>
          <w:iCs/>
        </w:rPr>
        <w:t xml:space="preserve"> </w:t>
      </w:r>
      <w:proofErr w:type="spellStart"/>
      <w:r w:rsidR="009D295B" w:rsidRPr="00456FC5">
        <w:rPr>
          <w:i/>
          <w:iCs/>
        </w:rPr>
        <w:t>dell'Istruzione</w:t>
      </w:r>
      <w:proofErr w:type="spellEnd"/>
      <w:r w:rsidR="009D295B" w:rsidRPr="00456FC5">
        <w:rPr>
          <w:i/>
          <w:iCs/>
        </w:rPr>
        <w:t xml:space="preserve">, </w:t>
      </w:r>
      <w:proofErr w:type="spellStart"/>
      <w:r w:rsidR="009D295B" w:rsidRPr="00456FC5">
        <w:rPr>
          <w:i/>
          <w:iCs/>
        </w:rPr>
        <w:t>dell'Universita</w:t>
      </w:r>
      <w:proofErr w:type="spellEnd"/>
      <w:r w:rsidR="009D295B" w:rsidRPr="00456FC5">
        <w:rPr>
          <w:i/>
          <w:iCs/>
        </w:rPr>
        <w:t xml:space="preserve"> e </w:t>
      </w:r>
      <w:proofErr w:type="spellStart"/>
      <w:r w:rsidR="009D295B" w:rsidRPr="00456FC5">
        <w:rPr>
          <w:i/>
          <w:iCs/>
        </w:rPr>
        <w:t>della</w:t>
      </w:r>
      <w:proofErr w:type="spellEnd"/>
      <w:r w:rsidR="009D295B" w:rsidRPr="00456FC5">
        <w:rPr>
          <w:i/>
          <w:iCs/>
        </w:rPr>
        <w:t xml:space="preserve"> </w:t>
      </w:r>
      <w:proofErr w:type="spellStart"/>
      <w:r w:rsidR="009D295B" w:rsidRPr="00456FC5">
        <w:rPr>
          <w:i/>
          <w:iCs/>
        </w:rPr>
        <w:t>Ricerca</w:t>
      </w:r>
      <w:proofErr w:type="spellEnd"/>
      <w:r w:rsidR="00F16DA6">
        <w:rPr>
          <w:rStyle w:val="Odwoanieprzypisudolnego"/>
          <w:i/>
          <w:iCs/>
        </w:rPr>
        <w:footnoteReference w:id="5"/>
      </w:r>
      <w:r w:rsidR="00184653" w:rsidRPr="00903E9B">
        <w:t>)</w:t>
      </w:r>
      <w:r w:rsidR="009B53B4">
        <w:t>,</w:t>
      </w:r>
    </w:p>
    <w:p w14:paraId="67AAA81B" w14:textId="31E19636" w:rsidR="00A73499" w:rsidRDefault="00A73499" w:rsidP="00DF0AD1">
      <w:pPr>
        <w:pStyle w:val="Akapitzlist"/>
        <w:numPr>
          <w:ilvl w:val="0"/>
          <w:numId w:val="10"/>
        </w:numPr>
        <w:ind w:left="709" w:hanging="283"/>
      </w:pPr>
      <w:r>
        <w:t>o</w:t>
      </w:r>
      <w:r w:rsidRPr="00A73499">
        <w:t xml:space="preserve">graniczania prawa do zasiłku na dziecko pracownikom migrującym pomimo obowiązywania przepisów dotyczących koordynacji systemów zabezpieczenia społecznego w UE (C-284/22, </w:t>
      </w:r>
      <w:proofErr w:type="spellStart"/>
      <w:r w:rsidRPr="00A73499">
        <w:t>Familienkasse</w:t>
      </w:r>
      <w:proofErr w:type="spellEnd"/>
      <w:r w:rsidRPr="00A73499">
        <w:t xml:space="preserve"> Bayern </w:t>
      </w:r>
      <w:proofErr w:type="spellStart"/>
      <w:r w:rsidRPr="00A73499">
        <w:t>Nord</w:t>
      </w:r>
      <w:proofErr w:type="spellEnd"/>
      <w:r w:rsidRPr="00A73499">
        <w:t xml:space="preserve"> )</w:t>
      </w:r>
    </w:p>
    <w:p w14:paraId="1CB89F53" w14:textId="678EADB3" w:rsidR="00DF0AD1" w:rsidRDefault="004D70C5" w:rsidP="00DF0AD1">
      <w:pPr>
        <w:pStyle w:val="Akapitzlist"/>
        <w:numPr>
          <w:ilvl w:val="0"/>
          <w:numId w:val="10"/>
        </w:numPr>
        <w:ind w:left="709" w:hanging="283"/>
      </w:pPr>
      <w:r>
        <w:t xml:space="preserve">zwolnienia </w:t>
      </w:r>
      <w:r w:rsidR="00DF0AD1">
        <w:t xml:space="preserve">z pracy pracownika instytucji kościelnej po akcie apostazji </w:t>
      </w:r>
      <w:r w:rsidR="00DF0AD1" w:rsidRPr="00CD308A">
        <w:t>(</w:t>
      </w:r>
      <w:r w:rsidR="00DF0AD1" w:rsidRPr="00456FC5">
        <w:t xml:space="preserve">C-630/22, </w:t>
      </w:r>
      <w:proofErr w:type="spellStart"/>
      <w:r w:rsidR="00DF0AD1" w:rsidRPr="00456FC5">
        <w:rPr>
          <w:i/>
          <w:iCs/>
        </w:rPr>
        <w:t>Kirchliches</w:t>
      </w:r>
      <w:proofErr w:type="spellEnd"/>
      <w:r w:rsidR="00DF0AD1" w:rsidRPr="00456FC5">
        <w:rPr>
          <w:i/>
          <w:iCs/>
        </w:rPr>
        <w:t xml:space="preserve"> </w:t>
      </w:r>
      <w:proofErr w:type="spellStart"/>
      <w:r w:rsidR="00DF0AD1" w:rsidRPr="00456FC5">
        <w:rPr>
          <w:i/>
          <w:iCs/>
        </w:rPr>
        <w:t>Krankenhaus</w:t>
      </w:r>
      <w:proofErr w:type="spellEnd"/>
      <w:r w:rsidR="00111381">
        <w:rPr>
          <w:rStyle w:val="Odwoanieprzypisudolnego"/>
          <w:i/>
          <w:iCs/>
        </w:rPr>
        <w:footnoteReference w:id="6"/>
      </w:r>
      <w:r w:rsidR="00DF0AD1" w:rsidRPr="00456FC5">
        <w:t>)</w:t>
      </w:r>
      <w:r w:rsidR="00DF0AD1" w:rsidRPr="00DF0AD1">
        <w:t xml:space="preserve"> </w:t>
      </w:r>
    </w:p>
    <w:p w14:paraId="57C624C9" w14:textId="51657134" w:rsidR="00DF0AD1" w:rsidRPr="00111381" w:rsidRDefault="004D70C5" w:rsidP="00DF0AD1">
      <w:pPr>
        <w:pStyle w:val="Akapitzlist"/>
        <w:numPr>
          <w:ilvl w:val="0"/>
          <w:numId w:val="10"/>
        </w:numPr>
        <w:ind w:left="709" w:hanging="283"/>
      </w:pPr>
      <w:r>
        <w:lastRenderedPageBreak/>
        <w:t xml:space="preserve">prawa </w:t>
      </w:r>
      <w:r w:rsidR="00DF0AD1">
        <w:t xml:space="preserve">osoby z niepełnosprawnością do określania szczególnych cech asystenta osobistego, w tym formułowania ogłoszenia do kandydatów tylko w określonym wieku </w:t>
      </w:r>
      <w:r w:rsidR="00DF0AD1" w:rsidRPr="00111381">
        <w:t>(</w:t>
      </w:r>
      <w:r w:rsidR="00DF0AD1" w:rsidRPr="00456FC5">
        <w:t xml:space="preserve">C-518/22, </w:t>
      </w:r>
      <w:proofErr w:type="spellStart"/>
      <w:r w:rsidR="00DF0AD1" w:rsidRPr="00456FC5">
        <w:rPr>
          <w:i/>
          <w:iCs/>
        </w:rPr>
        <w:t>Asistenzprofis</w:t>
      </w:r>
      <w:proofErr w:type="spellEnd"/>
      <w:r w:rsidR="00111381">
        <w:rPr>
          <w:rStyle w:val="Odwoanieprzypisudolnego"/>
          <w:i/>
          <w:iCs/>
        </w:rPr>
        <w:footnoteReference w:id="7"/>
      </w:r>
      <w:r w:rsidR="00DF0AD1" w:rsidRPr="00456FC5">
        <w:t>)</w:t>
      </w:r>
      <w:r>
        <w:t>.</w:t>
      </w:r>
    </w:p>
    <w:p w14:paraId="1E310EFD" w14:textId="77777777" w:rsidR="00DF0AD1" w:rsidRPr="00903E9B" w:rsidRDefault="00DF0AD1" w:rsidP="00903E9B">
      <w:pPr>
        <w:pStyle w:val="Akapitzlist"/>
        <w:ind w:left="709"/>
      </w:pPr>
    </w:p>
    <w:p w14:paraId="510BA1E5" w14:textId="3BB4AB70" w:rsidR="00184653" w:rsidRPr="00CD308A" w:rsidRDefault="00184653" w:rsidP="00903E9B">
      <w:r w:rsidRPr="00CD308A">
        <w:t>Pełnomocnik w ramach wykonywanych kompetencji przedstawiał w 202</w:t>
      </w:r>
      <w:r w:rsidR="00697EBA">
        <w:t>2</w:t>
      </w:r>
      <w:r w:rsidRPr="00CD308A">
        <w:t xml:space="preserve"> r. stanowiska w sprawach, które rozpatrywane były przed Europejskim Trybunałem Praw Człowieka</w:t>
      </w:r>
      <w:r w:rsidR="00B83D83">
        <w:t xml:space="preserve"> (ETPC)</w:t>
      </w:r>
      <w:r w:rsidRPr="00CD308A">
        <w:t>. Postępowania te dotyczyły:</w:t>
      </w:r>
    </w:p>
    <w:p w14:paraId="464EA9C1" w14:textId="2C50C9B3" w:rsidR="00184653" w:rsidRPr="00CD308A" w:rsidRDefault="00184653" w:rsidP="00D60A8A">
      <w:pPr>
        <w:pStyle w:val="Akapitzlist"/>
        <w:numPr>
          <w:ilvl w:val="1"/>
          <w:numId w:val="11"/>
        </w:numPr>
      </w:pPr>
      <w:r w:rsidRPr="00CD308A">
        <w:t xml:space="preserve">skargi nr 40119/21, </w:t>
      </w:r>
      <w:r w:rsidRPr="00456FC5">
        <w:rPr>
          <w:i/>
        </w:rPr>
        <w:t>M.L. przeciwko Polsce</w:t>
      </w:r>
      <w:r w:rsidR="00111381">
        <w:rPr>
          <w:rStyle w:val="Odwoanieprzypisudolnego"/>
        </w:rPr>
        <w:footnoteReference w:id="8"/>
      </w:r>
      <w:r w:rsidR="00171F19">
        <w:t>, zawierającej</w:t>
      </w:r>
      <w:r w:rsidR="00171F19" w:rsidRPr="00171F19">
        <w:t xml:space="preserve"> zarzut naruszenia art. 3 (zakaz tortur i nieludzkiego traktowania) oraz art. 8 (prawo do poszanowania życia rodzinnego i prywatnego)</w:t>
      </w:r>
      <w:r w:rsidR="00171F19">
        <w:t xml:space="preserve"> </w:t>
      </w:r>
      <w:r w:rsidR="00171F19" w:rsidRPr="00171F19">
        <w:t>Konwencji o</w:t>
      </w:r>
      <w:r w:rsidR="001A2DF9">
        <w:t> </w:t>
      </w:r>
      <w:r w:rsidR="00171F19" w:rsidRPr="00171F19">
        <w:t>ochronie praw człowieka i podstawowych wolności</w:t>
      </w:r>
      <w:r w:rsidR="00111381">
        <w:t>, dalej: „Konwencja”</w:t>
      </w:r>
      <w:r w:rsidR="00111381">
        <w:rPr>
          <w:rStyle w:val="Odwoanieprzypisudolnego"/>
        </w:rPr>
        <w:footnoteReference w:id="9"/>
      </w:r>
      <w:r w:rsidR="00171F19" w:rsidRPr="00171F19">
        <w:t xml:space="preserve">, </w:t>
      </w:r>
      <w:r w:rsidR="00171F19">
        <w:t>w wyniku ograniczenia</w:t>
      </w:r>
      <w:r w:rsidRPr="00CD308A">
        <w:t xml:space="preserve"> możliwości dokonania zabiegu przerywania ciąży</w:t>
      </w:r>
      <w:r w:rsidR="00171F19">
        <w:t xml:space="preserve"> wskutek publikacji </w:t>
      </w:r>
      <w:r w:rsidR="00171F19" w:rsidRPr="00171F19">
        <w:t>wyroku Trybunał Konstytucyjnego z dnia 22 października 2020</w:t>
      </w:r>
      <w:r w:rsidR="00171F19">
        <w:t xml:space="preserve"> (sygn. </w:t>
      </w:r>
      <w:r w:rsidR="00171F19" w:rsidRPr="00171F19">
        <w:t>akt K 1/20</w:t>
      </w:r>
      <w:r w:rsidR="00D60A8A">
        <w:t>,</w:t>
      </w:r>
      <w:r w:rsidR="00D60A8A" w:rsidRPr="00D60A8A">
        <w:t xml:space="preserve"> Dz.</w:t>
      </w:r>
      <w:r w:rsidR="007D2200">
        <w:t xml:space="preserve"> </w:t>
      </w:r>
      <w:r w:rsidR="00D60A8A" w:rsidRPr="00D60A8A">
        <w:t xml:space="preserve">U. </w:t>
      </w:r>
      <w:r w:rsidR="007D2200">
        <w:t xml:space="preserve">z </w:t>
      </w:r>
      <w:r w:rsidR="00D60A8A" w:rsidRPr="00D60A8A">
        <w:t>2021 poz. 175</w:t>
      </w:r>
      <w:r w:rsidR="00171F19">
        <w:t>),</w:t>
      </w:r>
      <w:r w:rsidR="00171F19" w:rsidRPr="00171F19">
        <w:t xml:space="preserve"> </w:t>
      </w:r>
      <w:r w:rsidR="00171F19" w:rsidRPr="00CD308A">
        <w:t>stwierdzając</w:t>
      </w:r>
      <w:r w:rsidR="00171F19">
        <w:t>ego</w:t>
      </w:r>
      <w:r w:rsidR="00171F19" w:rsidRPr="00CD308A">
        <w:t xml:space="preserve"> niezgodność art. 4a ust. 1 pkt 2 ustawy z dnia 7 stycznia 1993 r. </w:t>
      </w:r>
      <w:r w:rsidR="00171F19" w:rsidRPr="00456FC5">
        <w:rPr>
          <w:iCs/>
        </w:rPr>
        <w:t>o planowaniu rodziny, ochronie płodu ludzkiego i warunkach dopuszczalności przerywania ciąży</w:t>
      </w:r>
      <w:r w:rsidR="00171F19" w:rsidRPr="00CD308A">
        <w:t xml:space="preserve"> </w:t>
      </w:r>
      <w:r w:rsidR="00D60A8A">
        <w:t>(</w:t>
      </w:r>
      <w:r w:rsidR="00D60A8A" w:rsidRPr="00D60A8A">
        <w:t>Dz.</w:t>
      </w:r>
      <w:r w:rsidR="007D2200">
        <w:t xml:space="preserve"> </w:t>
      </w:r>
      <w:r w:rsidR="00D60A8A" w:rsidRPr="00D60A8A">
        <w:t xml:space="preserve">U. </w:t>
      </w:r>
      <w:r w:rsidR="007D2200">
        <w:t xml:space="preserve">z </w:t>
      </w:r>
      <w:r w:rsidR="00D60A8A" w:rsidRPr="00D60A8A">
        <w:t xml:space="preserve">2022 </w:t>
      </w:r>
      <w:r w:rsidR="007D2200">
        <w:t xml:space="preserve">r. </w:t>
      </w:r>
      <w:r w:rsidR="00D60A8A" w:rsidRPr="00D60A8A">
        <w:t>poz. 1575</w:t>
      </w:r>
      <w:r w:rsidR="00D60A8A">
        <w:t>)</w:t>
      </w:r>
      <w:r w:rsidR="00D60A8A" w:rsidRPr="00D60A8A" w:rsidDel="00111381">
        <w:t xml:space="preserve"> </w:t>
      </w:r>
      <w:r w:rsidR="00171F19" w:rsidRPr="00CD308A">
        <w:t>z</w:t>
      </w:r>
      <w:r w:rsidR="001A2DF9">
        <w:t> </w:t>
      </w:r>
      <w:r w:rsidR="00171F19" w:rsidRPr="00CD308A">
        <w:t>Konstytucją RP</w:t>
      </w:r>
      <w:r w:rsidR="0061721B">
        <w:rPr>
          <w:rStyle w:val="Odwoanieprzypisudolnego"/>
        </w:rPr>
        <w:footnoteReference w:id="10"/>
      </w:r>
      <w:r w:rsidR="00111381">
        <w:t>,</w:t>
      </w:r>
    </w:p>
    <w:p w14:paraId="52D3299A" w14:textId="44B09C16" w:rsidR="00184653" w:rsidRPr="00CD308A" w:rsidRDefault="00184653" w:rsidP="00111381">
      <w:pPr>
        <w:pStyle w:val="Akapitzlist"/>
        <w:numPr>
          <w:ilvl w:val="1"/>
          <w:numId w:val="11"/>
        </w:numPr>
      </w:pPr>
      <w:r w:rsidRPr="00CD308A">
        <w:t xml:space="preserve">skargi nr 5014/21, </w:t>
      </w:r>
      <w:r w:rsidRPr="00456FC5">
        <w:rPr>
          <w:i/>
        </w:rPr>
        <w:t>M. B. i 4 Inn</w:t>
      </w:r>
      <w:r w:rsidR="00D60A8A">
        <w:rPr>
          <w:i/>
        </w:rPr>
        <w:t>e</w:t>
      </w:r>
      <w:r w:rsidRPr="00456FC5">
        <w:rPr>
          <w:i/>
        </w:rPr>
        <w:t xml:space="preserve"> przeciwko Polsce</w:t>
      </w:r>
      <w:r w:rsidR="00111381">
        <w:rPr>
          <w:rStyle w:val="Odwoanieprzypisudolnego"/>
        </w:rPr>
        <w:footnoteReference w:id="11"/>
      </w:r>
      <w:r w:rsidR="00171F19">
        <w:t>,</w:t>
      </w:r>
      <w:r w:rsidR="00171F19" w:rsidRPr="00171F19">
        <w:t xml:space="preserve"> zawiera</w:t>
      </w:r>
      <w:r w:rsidR="0082455B">
        <w:t>jącej zarzut naruszenia art. 3  oraz art. 8 Konwencji</w:t>
      </w:r>
      <w:r w:rsidR="00171F19" w:rsidRPr="00171F19">
        <w:t>, w wyniku ograniczenia możliwości dokonania zabiegu przerywania ciąży wskutek publikacji wyroku Trybunał Konstytucyjnego z dnia 22 października 2020 (sygn. akt K 1/20)</w:t>
      </w:r>
      <w:r w:rsidR="00111381">
        <w:t>,</w:t>
      </w:r>
      <w:r w:rsidRPr="00CD308A">
        <w:t xml:space="preserve"> </w:t>
      </w:r>
    </w:p>
    <w:p w14:paraId="09EFE6A5" w14:textId="3630522E" w:rsidR="00184653" w:rsidRPr="00CD308A" w:rsidRDefault="00184653" w:rsidP="00171F19">
      <w:pPr>
        <w:pStyle w:val="Akapitzlist"/>
        <w:numPr>
          <w:ilvl w:val="1"/>
          <w:numId w:val="11"/>
        </w:numPr>
      </w:pPr>
      <w:r w:rsidRPr="00CD308A">
        <w:lastRenderedPageBreak/>
        <w:t xml:space="preserve">skargi nr 53662/20, </w:t>
      </w:r>
      <w:proofErr w:type="spellStart"/>
      <w:r w:rsidRPr="00456FC5">
        <w:rPr>
          <w:i/>
          <w:iCs/>
        </w:rPr>
        <w:t>Bartholomew</w:t>
      </w:r>
      <w:proofErr w:type="spellEnd"/>
      <w:r w:rsidRPr="00456FC5">
        <w:rPr>
          <w:i/>
          <w:iCs/>
        </w:rPr>
        <w:t xml:space="preserve"> </w:t>
      </w:r>
      <w:proofErr w:type="spellStart"/>
      <w:r w:rsidRPr="00456FC5">
        <w:rPr>
          <w:i/>
          <w:iCs/>
        </w:rPr>
        <w:t>Kyle</w:t>
      </w:r>
      <w:proofErr w:type="spellEnd"/>
      <w:r w:rsidRPr="00456FC5">
        <w:rPr>
          <w:i/>
          <w:iCs/>
        </w:rPr>
        <w:t xml:space="preserve"> Andersen</w:t>
      </w:r>
      <w:r w:rsidR="00171F19" w:rsidRPr="00456FC5">
        <w:rPr>
          <w:i/>
          <w:iCs/>
        </w:rPr>
        <w:t xml:space="preserve"> przeciwko Polsce</w:t>
      </w:r>
      <w:r w:rsidR="00111381">
        <w:rPr>
          <w:rStyle w:val="Odwoanieprzypisudolnego"/>
        </w:rPr>
        <w:footnoteReference w:id="12"/>
      </w:r>
      <w:r w:rsidR="007D2200">
        <w:rPr>
          <w:i/>
          <w:iCs/>
        </w:rPr>
        <w:t>,</w:t>
      </w:r>
      <w:r w:rsidR="00456FC5">
        <w:t xml:space="preserve"> </w:t>
      </w:r>
      <w:r w:rsidR="00171F19">
        <w:t>zawierającej</w:t>
      </w:r>
      <w:r w:rsidRPr="00CD308A">
        <w:t xml:space="preserve"> zarzut naruszenia art. 8</w:t>
      </w:r>
      <w:r w:rsidR="00111381">
        <w:t xml:space="preserve"> </w:t>
      </w:r>
      <w:r w:rsidRPr="00CD308A">
        <w:t>oraz art. 14</w:t>
      </w:r>
      <w:r w:rsidR="00171F19">
        <w:t xml:space="preserve"> (zakaz dyskryminacji) </w:t>
      </w:r>
      <w:r w:rsidR="0082455B">
        <w:t>Konwencji</w:t>
      </w:r>
      <w:r w:rsidRPr="00CD308A">
        <w:t xml:space="preserve"> </w:t>
      </w:r>
      <w:r w:rsidR="00171F19" w:rsidRPr="00171F19">
        <w:t xml:space="preserve">w związku z brakiem w polskim systemie prawnym możliwości rejestracji małżeństwa jednopłciowego, zawartego przez skarżącego </w:t>
      </w:r>
      <w:r w:rsidR="00111381">
        <w:br/>
      </w:r>
      <w:r w:rsidR="00171F19" w:rsidRPr="00171F19">
        <w:t>w Wielkiej Brytanii</w:t>
      </w:r>
      <w:r w:rsidR="00111381">
        <w:t>,</w:t>
      </w:r>
      <w:r w:rsidR="00171F19" w:rsidRPr="00171F19" w:rsidDel="00171F19">
        <w:t xml:space="preserve"> </w:t>
      </w:r>
    </w:p>
    <w:p w14:paraId="536FF86B" w14:textId="305568E2" w:rsidR="00184653" w:rsidRPr="00CD308A" w:rsidRDefault="00184653" w:rsidP="0082455B">
      <w:pPr>
        <w:pStyle w:val="Akapitzlist"/>
        <w:numPr>
          <w:ilvl w:val="1"/>
          <w:numId w:val="11"/>
        </w:numPr>
      </w:pPr>
      <w:r w:rsidRPr="00CD308A">
        <w:t xml:space="preserve">skargi nr 29204/21, </w:t>
      </w:r>
      <w:r w:rsidRPr="00456FC5">
        <w:rPr>
          <w:i/>
          <w:iCs/>
        </w:rPr>
        <w:t>Krystyn</w:t>
      </w:r>
      <w:r w:rsidR="0082455B" w:rsidRPr="00456FC5">
        <w:rPr>
          <w:i/>
          <w:iCs/>
        </w:rPr>
        <w:t>a</w:t>
      </w:r>
      <w:r w:rsidRPr="00456FC5">
        <w:rPr>
          <w:i/>
          <w:iCs/>
        </w:rPr>
        <w:t xml:space="preserve"> Dudek</w:t>
      </w:r>
      <w:r w:rsidR="0082455B" w:rsidRPr="00456FC5">
        <w:rPr>
          <w:i/>
          <w:iCs/>
        </w:rPr>
        <w:t xml:space="preserve"> przeciwko Polsce</w:t>
      </w:r>
      <w:r w:rsidR="00456FC5">
        <w:rPr>
          <w:rStyle w:val="Odwoanieprzypisudolnego"/>
          <w:i/>
          <w:iCs/>
        </w:rPr>
        <w:footnoteReference w:id="13"/>
      </w:r>
      <w:r w:rsidR="0082455B">
        <w:t>,</w:t>
      </w:r>
      <w:r w:rsidR="0082455B" w:rsidRPr="0082455B">
        <w:t xml:space="preserve"> </w:t>
      </w:r>
      <w:r w:rsidR="0082455B">
        <w:t>zawierającej zarzut naruszenia art. 8 i art. 14 Konwencji w zw. z art. 1 (ochrona własności) Protokołu nr 1 do Konwencji, poprzez odmowę przyznania świadczenia pielęgnacyjnego w związku z opieką nad mężem, który jest osobą niezdolną do samodzielnej egzystencji.</w:t>
      </w:r>
    </w:p>
    <w:p w14:paraId="099A0EB8" w14:textId="4C99F5FB" w:rsidR="00184653" w:rsidRPr="00111381" w:rsidRDefault="00184653" w:rsidP="00034A29">
      <w:pPr>
        <w:pStyle w:val="Nagwek2"/>
      </w:pPr>
      <w:bookmarkStart w:id="29" w:name="_Toc127958192"/>
      <w:bookmarkStart w:id="30" w:name="_Toc128750776"/>
      <w:r w:rsidRPr="00111381">
        <w:t>Wniosek dotyczący dyrektywy Rady Unii Europejskiej w sprawie wzmocnienia stosowania zasady równości wynagrodzeń dla kobiet i mężczyzn za taką samą pracę lub pracę o takiej samej wartości za pośrednictwem mechanizmów przejrzystości wynagrodzeń oraz mechanizmów egzekwowania</w:t>
      </w:r>
      <w:bookmarkEnd w:id="29"/>
      <w:bookmarkEnd w:id="30"/>
    </w:p>
    <w:p w14:paraId="76336742" w14:textId="5CB5DEFC" w:rsidR="00184653" w:rsidRDefault="00184653" w:rsidP="00184653">
      <w:r w:rsidRPr="00CD308A">
        <w:t xml:space="preserve">Pełnomocnik w 2022 r. pełnił funkcję </w:t>
      </w:r>
      <w:r w:rsidR="00647EA8">
        <w:t xml:space="preserve">krajowego </w:t>
      </w:r>
      <w:r w:rsidRPr="00CD308A">
        <w:t>koordynatora</w:t>
      </w:r>
      <w:r w:rsidR="00647EA8">
        <w:t xml:space="preserve"> negocjacji</w:t>
      </w:r>
      <w:r w:rsidRPr="00CD308A">
        <w:t xml:space="preserve"> w zakresie prac legislacyjnych podejmowanych na poziomie Rady Unii Europejskiej </w:t>
      </w:r>
      <w:r w:rsidR="00111381">
        <w:t xml:space="preserve">dotyczących </w:t>
      </w:r>
      <w:r w:rsidRPr="00CD308A">
        <w:t>projektu dyrektywy Rady Unii Europejskiej w sprawie wzmocnienia stosowania zasady równości wynagrodzeń dla kobiet i mężczyzn za taką samą pracę lub pracę o takiej samej wartości za pośrednictwem mechanizmów przejrzystości wynagrodzeń oraz mechanizmów egzekwowania (</w:t>
      </w:r>
      <w:r w:rsidR="007D2200">
        <w:t xml:space="preserve">zwanej </w:t>
      </w:r>
      <w:r w:rsidRPr="00CD308A">
        <w:t>dalej „</w:t>
      </w:r>
      <w:r w:rsidR="007D2200" w:rsidRPr="00CD308A">
        <w:t>dyrektyw</w:t>
      </w:r>
      <w:r w:rsidR="007D2200">
        <w:t>ą</w:t>
      </w:r>
      <w:r w:rsidR="007D2200" w:rsidRPr="00CD308A">
        <w:t xml:space="preserve"> </w:t>
      </w:r>
      <w:proofErr w:type="spellStart"/>
      <w:r w:rsidRPr="00CD308A">
        <w:t>ws</w:t>
      </w:r>
      <w:proofErr w:type="spellEnd"/>
      <w:r w:rsidRPr="00CD308A">
        <w:t xml:space="preserve">. </w:t>
      </w:r>
      <w:r w:rsidR="004C480F">
        <w:t>przejrzystości</w:t>
      </w:r>
      <w:r w:rsidR="004C480F" w:rsidRPr="00CD308A">
        <w:t xml:space="preserve"> </w:t>
      </w:r>
      <w:r w:rsidRPr="00CD308A">
        <w:t>wynagrodzeń</w:t>
      </w:r>
      <w:r w:rsidR="00111381">
        <w:t>”</w:t>
      </w:r>
      <w:r w:rsidRPr="00CD308A">
        <w:t>)</w:t>
      </w:r>
      <w:r w:rsidR="00111381">
        <w:rPr>
          <w:rStyle w:val="Odwoanieprzypisudolnego"/>
        </w:rPr>
        <w:footnoteReference w:id="14"/>
      </w:r>
      <w:r w:rsidRPr="00CD308A">
        <w:t>.</w:t>
      </w:r>
    </w:p>
    <w:p w14:paraId="2FC3E088" w14:textId="31F6D036" w:rsidR="00534C39" w:rsidRDefault="00534C39" w:rsidP="00534C39">
      <w:r>
        <w:t xml:space="preserve">Inicjatywa legislacyjna KE ma na celu rozwiązanie problemu utrzymującego się niedostatecznego egzekwowania podstawowego prawa do równego wynagrodzenia kobiet i mężczyzn za taką samą pracę lub pracę o takiej samej wartości, które to prawo zostało zapisane już w traktacie rzymskim. Wymóg zapewnienia równości wynagrodzeń </w:t>
      </w:r>
      <w:r>
        <w:lastRenderedPageBreak/>
        <w:t>został także określony w dyrektywie 2006/</w:t>
      </w:r>
      <w:r w:rsidR="00A56922">
        <w:t>54/WE (wersja przeredagowana)</w:t>
      </w:r>
      <w:r w:rsidR="00A56922">
        <w:rPr>
          <w:rStyle w:val="Odwoanieprzypisudolnego"/>
        </w:rPr>
        <w:footnoteReference w:id="15"/>
      </w:r>
      <w:r>
        <w:t>, uzupełnionej w 2014 r. zaleceniem KE w sprawie przejrzystości wyna</w:t>
      </w:r>
      <w:r w:rsidR="00A56922">
        <w:t>grodzeń (</w:t>
      </w:r>
      <w:r w:rsidR="007D2200">
        <w:t xml:space="preserve">zwanym dalej </w:t>
      </w:r>
      <w:r w:rsidR="00A56922">
        <w:t>„zalecenie</w:t>
      </w:r>
      <w:r w:rsidR="007D2200">
        <w:t>m</w:t>
      </w:r>
      <w:r w:rsidR="00A56922">
        <w:t xml:space="preserve"> z 2014 r.”)</w:t>
      </w:r>
      <w:r w:rsidR="00A56922">
        <w:rPr>
          <w:rStyle w:val="Odwoanieprzypisudolnego"/>
        </w:rPr>
        <w:footnoteReference w:id="16"/>
      </w:r>
      <w:r>
        <w:t>.</w:t>
      </w:r>
    </w:p>
    <w:p w14:paraId="6B1E3EA1" w14:textId="2A27AB45" w:rsidR="00534C39" w:rsidRDefault="00534C39" w:rsidP="00534C39">
      <w:r>
        <w:t xml:space="preserve">Jednak pomimo tych ram prawnych skuteczne wdrożenie w UE wspomnianego prawa </w:t>
      </w:r>
      <w:r w:rsidR="00805EC5">
        <w:br/>
      </w:r>
      <w:r>
        <w:t>i jego egzekwowanie w praktyce jest nadal wyzwaniem. Zróżnicowanie wynagrodzenia ze względu na płeć utrzymu</w:t>
      </w:r>
      <w:r w:rsidR="00A56922">
        <w:t>je się w UE na poziomie około 13</w:t>
      </w:r>
      <w:r>
        <w:t>%. Oznacza to,</w:t>
      </w:r>
      <w:r w:rsidR="00A56922">
        <w:t xml:space="preserve"> że kobiety zarabiają średnio 13</w:t>
      </w:r>
      <w:r>
        <w:t>% mniej na godzinę niż mężczyźni.</w:t>
      </w:r>
      <w:r w:rsidR="00A56922">
        <w:t xml:space="preserve"> Polska plasuje się pod tym względem na 5</w:t>
      </w:r>
      <w:r w:rsidR="007D2200">
        <w:t>.</w:t>
      </w:r>
      <w:r w:rsidR="00A56922">
        <w:t xml:space="preserve"> miejscu w UE, z różnicą wynoszącą zaledwie 4,5%.</w:t>
      </w:r>
      <w:r w:rsidR="00A56922" w:rsidRPr="00A56922">
        <w:t xml:space="preserve"> Luka płacowa </w:t>
      </w:r>
      <w:r w:rsidR="00805EC5">
        <w:br/>
      </w:r>
      <w:r w:rsidR="00A56922" w:rsidRPr="00A56922">
        <w:t xml:space="preserve">w Polsce generowana jest przez sektor prywatny, w którym wynosi ona 13,0%, podczas gdy w sektorze publicznym </w:t>
      </w:r>
      <w:r w:rsidR="007D2200">
        <w:t xml:space="preserve">– </w:t>
      </w:r>
      <w:r w:rsidR="00A56922" w:rsidRPr="00A56922">
        <w:t>0,6%, tzn. kobiety zatrudnione na tych samych stanowiskach zarabiają minimalnie więcej od mężczyzn</w:t>
      </w:r>
      <w:r w:rsidR="00A56922">
        <w:rPr>
          <w:rStyle w:val="Odwoanieprzypisudolnego"/>
        </w:rPr>
        <w:footnoteReference w:id="17"/>
      </w:r>
      <w:r w:rsidR="00805EC5">
        <w:t>.</w:t>
      </w:r>
    </w:p>
    <w:p w14:paraId="4E61F3FB" w14:textId="4EE24C02" w:rsidR="00A56922" w:rsidRDefault="00A56922" w:rsidP="00534C39">
      <w:r>
        <w:t>Na poziomie krajowym, p</w:t>
      </w:r>
      <w:r w:rsidRPr="00A56922">
        <w:t xml:space="preserve">roblematyka luki płacowej jest badana w Głównym Urzędzie Statystycznym. W cyklicznym, publikowanym co dwa lata, raporcie z badania </w:t>
      </w:r>
      <w:r w:rsidR="00FB38EB">
        <w:br/>
      </w:r>
      <w:r w:rsidRPr="00A56922">
        <w:t xml:space="preserve">pt. </w:t>
      </w:r>
      <w:r w:rsidRPr="00903E9B">
        <w:rPr>
          <w:i/>
        </w:rPr>
        <w:t>Struktura wynagrodzeń według zawodów</w:t>
      </w:r>
      <w:r>
        <w:rPr>
          <w:rStyle w:val="Odwoanieprzypisudolnego"/>
        </w:rPr>
        <w:footnoteReference w:id="18"/>
      </w:r>
      <w:r w:rsidRPr="00A56922">
        <w:t xml:space="preserve"> znajdują się informacje nt. wynagrodzeń kobiet i mężczyzn w podziale na grupy zawodowe i sekcje PKD oraz informacje o luce płacowej w Polsce. </w:t>
      </w:r>
      <w:r w:rsidR="00A263D7">
        <w:t>Według danych</w:t>
      </w:r>
      <w:r w:rsidRPr="00A56922">
        <w:t xml:space="preserve"> z lutego 2022 r. różnica pomiędzy wynagrodzeniami miesięcznymi brutto kobiet i mężczyzn wynosiła 4,8% na niekorzyść kobiet. Różnica </w:t>
      </w:r>
      <w:r w:rsidR="00FB38EB">
        <w:br/>
      </w:r>
      <w:r w:rsidRPr="00A56922">
        <w:t xml:space="preserve">ta generowana była głównie przez sektor prywatny, w którym wynosiła 12,9%, podczas gdy w sektorze publicznym – 2,3%. W sektorze publicznym przeciętne miesięczne wynagrodzenie brutto kobiet wyniosło 5743,94 zł, a mężczyzn 6607,73 zł. W sektorze prywatnym przeciętne miesięczne wynagrodzenie kobiet wyniosło 5058,12 zł </w:t>
      </w:r>
      <w:r w:rsidR="00FB38EB">
        <w:br/>
      </w:r>
      <w:r w:rsidRPr="00A56922">
        <w:t>i mężczyzn 6002,77 zł.</w:t>
      </w:r>
    </w:p>
    <w:p w14:paraId="05D2CC6B" w14:textId="56502CDC" w:rsidR="006A0C9A" w:rsidRDefault="006A0C9A" w:rsidP="006A0C9A">
      <w:r>
        <w:t xml:space="preserve">Za jedną z głównych przeszkód we wdrożeniu unijnego prawa do równego wynagrodzenia kobiet i mężczyzn za taką samą pracę lub pracę o takiej samej wartości uznaje się brak przejrzystości wynagrodzeń, tj. możliwość utrzymywania nierównych wynagrodzeń kobiet i mężczyzn z zachowaniem tego faktu w tajemnicy. Proponowana </w:t>
      </w:r>
      <w:r>
        <w:lastRenderedPageBreak/>
        <w:t>przez KE dyrektywa ma zapewnić, aby ww. prawo było przestrzegane w całej UE dzięki ustanowieniu norm w zakresie przejrzystości wynagrodzeń, a tym samym umożliwieniu pracownikom dochodzenia ich praw do równego wynagrodzenia.</w:t>
      </w:r>
    </w:p>
    <w:p w14:paraId="02F8DE7F" w14:textId="77777777" w:rsidR="006A0C9A" w:rsidRDefault="006A0C9A" w:rsidP="006A0C9A">
      <w:r>
        <w:t>Realizacja ww. celu ma nastąpić poprzez przyjęcie trzech wzajemnie wspierających się kierunków działań:</w:t>
      </w:r>
    </w:p>
    <w:p w14:paraId="207C5567" w14:textId="4C09604E" w:rsidR="006A0C9A" w:rsidRDefault="006A0C9A" w:rsidP="00903E9B">
      <w:pPr>
        <w:pStyle w:val="Akapitzlist"/>
        <w:numPr>
          <w:ilvl w:val="0"/>
          <w:numId w:val="21"/>
        </w:numPr>
      </w:pPr>
      <w:r>
        <w:t>ustanowienie przejrzystości wynagrodzeń w obrębie jednostek organizacyjnych,</w:t>
      </w:r>
    </w:p>
    <w:p w14:paraId="5CE50ACA" w14:textId="5A4AA70A" w:rsidR="006A0C9A" w:rsidRDefault="006A0C9A" w:rsidP="00903E9B">
      <w:pPr>
        <w:pStyle w:val="Akapitzlist"/>
        <w:numPr>
          <w:ilvl w:val="0"/>
          <w:numId w:val="21"/>
        </w:numPr>
      </w:pPr>
      <w:r>
        <w:t xml:space="preserve">ułatwienie stosowania kluczowych pojęć dotyczących równości wynagrodzeń, </w:t>
      </w:r>
      <w:r w:rsidR="00A263D7">
        <w:br/>
      </w:r>
      <w:r>
        <w:t>w tym „wynagrodzenia” i „pracy o takiej samej wartości”,</w:t>
      </w:r>
    </w:p>
    <w:p w14:paraId="59DBC4F8" w14:textId="26FFE017" w:rsidR="006A0C9A" w:rsidRDefault="006A0C9A" w:rsidP="00903E9B">
      <w:pPr>
        <w:pStyle w:val="Akapitzlist"/>
        <w:numPr>
          <w:ilvl w:val="0"/>
          <w:numId w:val="21"/>
        </w:numPr>
      </w:pPr>
      <w:r>
        <w:t>wzmocnienie mechanizmów egzekwowania prawa.</w:t>
      </w:r>
    </w:p>
    <w:p w14:paraId="5BEEAFEC" w14:textId="1C28FAC0" w:rsidR="006A0C9A" w:rsidRPr="00CD308A" w:rsidRDefault="006A0C9A" w:rsidP="006A0C9A">
      <w:r>
        <w:t xml:space="preserve">Zaproponowany przez KE mechanizm przejrzystości wynagrodzeń umożliwi pracownikom wykrywanie oraz udowadnianie przypadków dyskryminacji ze względu na płeć. </w:t>
      </w:r>
      <w:r w:rsidR="00CA0927">
        <w:t>Z uwagi na fakt, że n</w:t>
      </w:r>
      <w:r>
        <w:t>ierówne traktowanie w zakresie wynagrodzeń jest często nieświadome</w:t>
      </w:r>
      <w:r w:rsidR="00CA0927">
        <w:t>, wprowadzenie mechanizmu</w:t>
      </w:r>
      <w:r>
        <w:t xml:space="preserve"> </w:t>
      </w:r>
      <w:r w:rsidR="00CA0927">
        <w:t xml:space="preserve">przejrzystości </w:t>
      </w:r>
      <w:r>
        <w:t xml:space="preserve">wynagrodzeń może przyczynić się do zwiększenia świadomości wśród pracodawców </w:t>
      </w:r>
      <w:r w:rsidR="00CA0927">
        <w:t xml:space="preserve">i pracowników. </w:t>
      </w:r>
    </w:p>
    <w:p w14:paraId="02D5C320" w14:textId="0E92427C" w:rsidR="002C745D" w:rsidRDefault="008E6D62" w:rsidP="00184653">
      <w:r>
        <w:t xml:space="preserve">Przyjęty na posiedzeniu </w:t>
      </w:r>
      <w:r w:rsidRPr="008E6D62">
        <w:t>Komitet</w:t>
      </w:r>
      <w:r>
        <w:t>u</w:t>
      </w:r>
      <w:r w:rsidRPr="008E6D62">
        <w:t xml:space="preserve"> Stałych Przedstawicieli </w:t>
      </w:r>
      <w:r>
        <w:t>(COREPER I) w dniu 21 grudnia 2022 r. kompromis zakłada rozszerzani</w:t>
      </w:r>
      <w:r w:rsidR="00C60979">
        <w:t>e</w:t>
      </w:r>
      <w:r>
        <w:t xml:space="preserve"> obowiązku informowania </w:t>
      </w:r>
      <w:r w:rsidR="00CA0927">
        <w:br/>
      </w:r>
      <w:r>
        <w:t>o luce płacowej</w:t>
      </w:r>
      <w:r w:rsidR="00C60979">
        <w:t xml:space="preserve"> z </w:t>
      </w:r>
      <w:r w:rsidR="00CA0927">
        <w:t xml:space="preserve">obowiązującego dotychczas </w:t>
      </w:r>
      <w:r w:rsidR="00C60979">
        <w:t>pracodawców zatrudniających co najmniej 250 pracowników (1 rok po transpozycji dyrektywy, w cyklu corocznym) na</w:t>
      </w:r>
      <w:r w:rsidR="001136A8">
        <w:t> </w:t>
      </w:r>
      <w:r w:rsidR="00C60979">
        <w:t xml:space="preserve">pracodawców zatrudniających od 150 do 249 pracowników (1 rok po transpozycji, raz na 3 lata) oraz pracodawców zatrudniających od 100 do 149 pracowników (5 lat po transpozycji dyrektywy, raz na 3 lata). </w:t>
      </w:r>
      <w:r w:rsidR="00A22B37">
        <w:t xml:space="preserve">Ponadto, do słownika dyrektywy dodano definicje </w:t>
      </w:r>
      <w:r w:rsidR="00262DC9">
        <w:t>„</w:t>
      </w:r>
      <w:r w:rsidR="00A22B37">
        <w:t xml:space="preserve">pracy o równej wartości" oraz </w:t>
      </w:r>
      <w:r w:rsidR="00262DC9">
        <w:t>„</w:t>
      </w:r>
      <w:r w:rsidR="00A22B37">
        <w:t xml:space="preserve">przedstawicieli pracowników" </w:t>
      </w:r>
      <w:r w:rsidR="00CA0927">
        <w:t xml:space="preserve">a także </w:t>
      </w:r>
      <w:r w:rsidR="00A22B37">
        <w:t>sprecyzowano, że do celów dyrektywy dyskryminacja obejmuje każde mniej korzystne traktowanie pracownika ze względu na płeć</w:t>
      </w:r>
      <w:r w:rsidR="001D242A">
        <w:t xml:space="preserve"> </w:t>
      </w:r>
      <w:r w:rsidR="00A22B37">
        <w:t>w rozumieniu dyrektywy Rady (UE) 2019/1158</w:t>
      </w:r>
      <w:r w:rsidR="001D242A">
        <w:rPr>
          <w:rStyle w:val="Odwoanieprzypisudolnego"/>
        </w:rPr>
        <w:footnoteReference w:id="19"/>
      </w:r>
      <w:r w:rsidR="001D242A">
        <w:t>, a</w:t>
      </w:r>
      <w:r w:rsidR="001136A8">
        <w:t> </w:t>
      </w:r>
      <w:r w:rsidR="001D242A">
        <w:t>także dyskryminację ze względu na płeć i występującą równocześnie inną cechę chronioną</w:t>
      </w:r>
      <w:r w:rsidR="00A22B37">
        <w:t xml:space="preserve">. </w:t>
      </w:r>
      <w:r w:rsidR="002C745D">
        <w:t>Zgodnie z przepisami dyrektywy</w:t>
      </w:r>
      <w:r w:rsidR="00A22B37">
        <w:t xml:space="preserve"> osoby ubiegające się o zatrudnienie będą miały prawo do otrzymania od przyszłego pracodawcy informacji na temat początkowego wynagrodzenia lub jego zakresu</w:t>
      </w:r>
      <w:r w:rsidR="002C745D">
        <w:t xml:space="preserve">. Dodatkowo, w trakcie rekrutacji </w:t>
      </w:r>
      <w:r w:rsidR="00A22B37">
        <w:t xml:space="preserve">nie będą mogły być pytane o swoje aktualne lub przeszłe wynagrodzenie. </w:t>
      </w:r>
    </w:p>
    <w:p w14:paraId="2D0D3495" w14:textId="37CB1360" w:rsidR="00184653" w:rsidRPr="00CD308A" w:rsidRDefault="00184653" w:rsidP="00184653"/>
    <w:p w14:paraId="6EA6F74A" w14:textId="242A4E06" w:rsidR="00184653" w:rsidRPr="002C745D" w:rsidRDefault="00184653" w:rsidP="00034A29">
      <w:pPr>
        <w:pStyle w:val="Nagwek2"/>
      </w:pPr>
      <w:bookmarkStart w:id="31" w:name="_Toc127958193"/>
      <w:bookmarkStart w:id="32" w:name="_Toc128750777"/>
      <w:r w:rsidRPr="002C745D">
        <w:t xml:space="preserve">Wniosek </w:t>
      </w:r>
      <w:r w:rsidR="00262DC9">
        <w:t>d</w:t>
      </w:r>
      <w:r w:rsidR="00262DC9" w:rsidRPr="002C745D">
        <w:t xml:space="preserve">yrektywy </w:t>
      </w:r>
      <w:r w:rsidRPr="002C745D">
        <w:t>Parlamentu Europejskiego i Rady w sprawie poprawy równowagi płci wśród dyrektorów spółek</w:t>
      </w:r>
      <w:r w:rsidR="008A2919" w:rsidRPr="002C745D">
        <w:t xml:space="preserve"> giełdowych oraz </w:t>
      </w:r>
      <w:r w:rsidRPr="002C745D">
        <w:t>powiązanych środków</w:t>
      </w:r>
      <w:bookmarkEnd w:id="31"/>
      <w:bookmarkEnd w:id="32"/>
      <w:r w:rsidRPr="002C745D">
        <w:t xml:space="preserve"> </w:t>
      </w:r>
    </w:p>
    <w:p w14:paraId="1669D6CF" w14:textId="288B1033" w:rsidR="00184653" w:rsidRDefault="00184653" w:rsidP="00184653">
      <w:r w:rsidRPr="00CD308A">
        <w:t>Pełnomocnik w 2022 r. pełnił funkcję koordynatora w zakresie prac legislacyjnych podejmowanych na poziomie Rady Unii Europejskiej w sprawie poprawy równowagi płci wśród dyrektorów spółek giełd</w:t>
      </w:r>
      <w:r w:rsidR="00797E21">
        <w:t>owych oraz powiązanych</w:t>
      </w:r>
      <w:r w:rsidRPr="00CD308A">
        <w:t xml:space="preserve"> środków (dalej jako „dyrektywa</w:t>
      </w:r>
      <w:r w:rsidR="00797E21">
        <w:t xml:space="preserve"> o kobietach w zarządach</w:t>
      </w:r>
      <w:r w:rsidRPr="00CD308A">
        <w:t>”)</w:t>
      </w:r>
      <w:r w:rsidR="002C745D">
        <w:rPr>
          <w:rStyle w:val="Odwoanieprzypisudolnego"/>
        </w:rPr>
        <w:footnoteReference w:id="20"/>
      </w:r>
      <w:r w:rsidRPr="00CD308A">
        <w:t>.</w:t>
      </w:r>
    </w:p>
    <w:p w14:paraId="2DBE8532" w14:textId="79F93F74" w:rsidR="008B1089" w:rsidRDefault="008B1089" w:rsidP="008B1089">
      <w:r>
        <w:t>Ze względu na dostrzegane korzyści wynikające z wyrównanej reprezentacji obu płci w gremiach kierowniczych Komisja Europejska w 2012 r. wystąpiła z inicjatywą zobowiązania państw członkowskich do wprowadzenia sztywnych kwot</w:t>
      </w:r>
      <w:r w:rsidRPr="008B1089">
        <w:t xml:space="preserve"> </w:t>
      </w:r>
      <w:r>
        <w:t>ustalających kryterium minimalnie 40% płci niedostatecznie reprezentowanych w radach nadzorczych lub co najmniej 33% sumarycznie w zarządach i radach nadzorczych największych spółek giełdowych. We wszystkich państwach UE to kobiety stanowią „płeć niedostatecznie reprezentowaną we władzach spółek”, a dysproporcja ta jest większa w firmach bez udziału Skarbu Państwa.</w:t>
      </w:r>
    </w:p>
    <w:p w14:paraId="1B2F04CD" w14:textId="44369AEB" w:rsidR="00797E21" w:rsidRPr="00CD308A" w:rsidRDefault="00797E21" w:rsidP="00184653">
      <w:r w:rsidRPr="00797E21">
        <w:t>Obecnie w Polsce kobiety stanowią 26% członków rad nadzorczych spółek, ale aż 36% przewodniczących rad nadzorczych (najlepszy wynik w UE) oraz 16% członków zarządów spółek giełdowych</w:t>
      </w:r>
      <w:r>
        <w:rPr>
          <w:rStyle w:val="Odwoanieprzypisudolnego"/>
        </w:rPr>
        <w:footnoteReference w:id="21"/>
      </w:r>
      <w:r w:rsidRPr="00797E21">
        <w:t>. Natomiast wśród ogółu menedżerów w Polsce prawie osiągnięto pełną równość</w:t>
      </w:r>
      <w:r w:rsidR="002C745D">
        <w:t xml:space="preserve"> </w:t>
      </w:r>
      <w:r w:rsidR="00262DC9">
        <w:t>–</w:t>
      </w:r>
      <w:r w:rsidR="00262DC9" w:rsidRPr="00797E21">
        <w:t xml:space="preserve"> </w:t>
      </w:r>
      <w:r w:rsidRPr="00797E21">
        <w:t>w badaniu Eurostatu z 3 kwartału 2020 r. Polska zajęła drugie miejsce w UE z wynikiem 44% kobiet na stanowiskach ki</w:t>
      </w:r>
      <w:r>
        <w:t>erowniczych, tuż za</w:t>
      </w:r>
      <w:r w:rsidR="001136A8">
        <w:t> </w:t>
      </w:r>
      <w:r>
        <w:t>Łotwą (45%)</w:t>
      </w:r>
      <w:r>
        <w:rPr>
          <w:rStyle w:val="Odwoanieprzypisudolnego"/>
        </w:rPr>
        <w:footnoteReference w:id="22"/>
      </w:r>
      <w:r>
        <w:t>.</w:t>
      </w:r>
    </w:p>
    <w:p w14:paraId="76A9DDD5" w14:textId="15641AE7" w:rsidR="00797E21" w:rsidRPr="00BD20E6" w:rsidRDefault="00797E21" w:rsidP="00184653">
      <w:r>
        <w:t xml:space="preserve">Podobnie jak ma to miejsce w odniesieniu do wzrostu odsetka kobiet-parlamentarzystek, niezależne badania potwierdzają systematycznie rosnący udział kobiet w gremiach decyzyjnych spółek giełdowych. </w:t>
      </w:r>
      <w:r w:rsidRPr="00797E21">
        <w:t xml:space="preserve">Europejski Instytut ds. Równości Kobiet i Mężczyzn (EIGE) ustalił, że mimo negatywnego wpływu pandemii COVID-19 na równość płci odsetek kobiet w radach nadzorczych i zarządach największych spółek </w:t>
      </w:r>
      <w:r w:rsidRPr="00797E21">
        <w:lastRenderedPageBreak/>
        <w:t>przekroczył w 2021 r. 30%, osiągając wartość 30,6% w skali całej UE. Oznacza to, że nawet bez interwencji legislacyjnej Unii Europejskiej osiągnięto wzrost o ponad jedną trzecią w ciągu 6 lat (z 22,7% w 2015 r.)</w:t>
      </w:r>
      <w:r w:rsidR="00BD20E6">
        <w:t xml:space="preserve">. Jak dotąd tylko w jednym państwie, które wprowadziło ustawowy </w:t>
      </w:r>
      <w:r w:rsidR="00BD20E6">
        <w:rPr>
          <w:i/>
        </w:rPr>
        <w:t>numerus clausus</w:t>
      </w:r>
      <w:r w:rsidR="00BD20E6">
        <w:t xml:space="preserve"> (we Francji, 40%), udało się osiągnąć zamierzony próg reprezentacji obu płci we władzach spółek</w:t>
      </w:r>
      <w:r w:rsidR="00BD20E6">
        <w:rPr>
          <w:rStyle w:val="Odwoanieprzypisudolnego"/>
        </w:rPr>
        <w:footnoteReference w:id="23"/>
      </w:r>
      <w:r w:rsidR="00BD20E6">
        <w:t>.</w:t>
      </w:r>
    </w:p>
    <w:p w14:paraId="5EC88D00" w14:textId="3C68D7ED" w:rsidR="00184653" w:rsidRPr="00CD308A" w:rsidRDefault="00BD20E6" w:rsidP="00BD20E6">
      <w:pPr>
        <w:rPr>
          <w:i/>
        </w:rPr>
      </w:pPr>
      <w:r w:rsidRPr="00CD308A">
        <w:t>W opinii Polski materia regulowana projektem należy do kompetencji Państw Członkowskich, a zamierzone cele mogą być osiągnięte na gruncie krajowym.</w:t>
      </w:r>
      <w:r>
        <w:t xml:space="preserve"> Ponadto z</w:t>
      </w:r>
      <w:r w:rsidR="00184653" w:rsidRPr="00CD308A">
        <w:t>apewnienie założonego poziomu reprezentacji kobiet we władzach spółek obciąża Polskę w większym stopniu niż państwa o mniejszej liczbie spółek objętych zakresem dyrektywy, posiadających unitarny model zarządzania (zarząd bez rady nadzorczej) lub praktykujących jednoosobowe zarządzanie spółkami</w:t>
      </w:r>
      <w:r>
        <w:t>, które zgodnie z dyrektywą może być pozostawione całkowicie w męskich rękach</w:t>
      </w:r>
      <w:r w:rsidR="00184653" w:rsidRPr="00CD308A">
        <w:t xml:space="preserve">. </w:t>
      </w:r>
    </w:p>
    <w:p w14:paraId="06330D0E" w14:textId="77777777" w:rsidR="00184653" w:rsidRPr="002C745D" w:rsidRDefault="00184653" w:rsidP="00034A29">
      <w:pPr>
        <w:pStyle w:val="Nagwek2"/>
      </w:pPr>
      <w:bookmarkStart w:id="33" w:name="_Toc127958194"/>
      <w:bookmarkStart w:id="34" w:name="_Toc128750778"/>
      <w:r w:rsidRPr="002C745D">
        <w:t>Wniosek dotyczący dyrektywy Rady w sprawie wprowadzenia w życie zasady równego traktowania osób bez względu na religię lub światopogląd, niepełnosprawność, wiek lub orientację seksualną</w:t>
      </w:r>
      <w:bookmarkEnd w:id="33"/>
      <w:bookmarkEnd w:id="34"/>
      <w:r w:rsidRPr="002C745D">
        <w:t xml:space="preserve"> </w:t>
      </w:r>
    </w:p>
    <w:p w14:paraId="66ED05A5" w14:textId="13ADFE49" w:rsidR="002C745D" w:rsidRDefault="00184653" w:rsidP="00184653">
      <w:r w:rsidRPr="00CD308A">
        <w:t>Pełnomocnik w 2022 r. pełnił funkcję koordynatora w zakresie prac legislacyjnych podejmowanych na poziomie Rady Unii Europejskiej w sprawie dyrektywy Rady w</w:t>
      </w:r>
      <w:r w:rsidR="001136A8">
        <w:t> </w:t>
      </w:r>
      <w:r w:rsidRPr="00CD308A">
        <w:t>sprawie wprowadzenia w życie zasady równego traktowania osób bez względu na religię lub światopogląd, niepełnosprawność, wiek lub orientację seksualną</w:t>
      </w:r>
      <w:r w:rsidR="002C745D">
        <w:rPr>
          <w:rStyle w:val="Odwoanieprzypisudolnego"/>
        </w:rPr>
        <w:footnoteReference w:id="24"/>
      </w:r>
      <w:r w:rsidRPr="00CD308A">
        <w:t>.</w:t>
      </w:r>
      <w:r w:rsidR="00C612D3" w:rsidRPr="00C612D3">
        <w:t xml:space="preserve"> </w:t>
      </w:r>
    </w:p>
    <w:p w14:paraId="65C8DC57" w14:textId="2AF0A1E0" w:rsidR="00184653" w:rsidRDefault="00C612D3" w:rsidP="00184653">
      <w:r>
        <w:t>Spotkania Grupy Roboczej ds. Społecznych z udziałem przedstawicieli Pełnomocnika odbyły się 17 lipca i 30 września</w:t>
      </w:r>
      <w:r w:rsidRPr="00C612D3">
        <w:t xml:space="preserve"> 2022</w:t>
      </w:r>
      <w:r>
        <w:t xml:space="preserve"> r. Negocjacje skupiały się na stosunku dyrektywy do </w:t>
      </w:r>
      <w:r w:rsidRPr="00CD308A">
        <w:t xml:space="preserve">Konwencji </w:t>
      </w:r>
      <w:r>
        <w:t xml:space="preserve">ONZ z 13 grudnia 2006 r. </w:t>
      </w:r>
      <w:r w:rsidRPr="00CD308A">
        <w:t>o prawach osób niepełnosprawnych</w:t>
      </w:r>
      <w:r w:rsidR="002C745D">
        <w:rPr>
          <w:rStyle w:val="Odwoanieprzypisudolnego"/>
        </w:rPr>
        <w:footnoteReference w:id="25"/>
      </w:r>
      <w:r w:rsidRPr="00CD308A">
        <w:t>,</w:t>
      </w:r>
      <w:r>
        <w:t xml:space="preserve"> </w:t>
      </w:r>
      <w:r w:rsidR="00FB38EB">
        <w:br/>
      </w:r>
      <w:r>
        <w:t xml:space="preserve">w szczególności kwestii pomijania w projekcie </w:t>
      </w:r>
      <w:r w:rsidR="00184653" w:rsidRPr="00CD308A">
        <w:t>wieloaspektow</w:t>
      </w:r>
      <w:r>
        <w:t>ej</w:t>
      </w:r>
      <w:r w:rsidR="00184653" w:rsidRPr="00CD308A">
        <w:t xml:space="preserve"> dostępnoś</w:t>
      </w:r>
      <w:r w:rsidR="00B075D3">
        <w:t>ci, realizowanej w Polce m.in. w oparciu o postanowienia</w:t>
      </w:r>
      <w:r w:rsidR="00184653" w:rsidRPr="00CD308A">
        <w:t xml:space="preserve"> ustaw</w:t>
      </w:r>
      <w:r w:rsidR="00B075D3">
        <w:t>y z 19 lipca 2019 r.</w:t>
      </w:r>
      <w:r w:rsidR="00184653" w:rsidRPr="00CD308A">
        <w:t xml:space="preserve"> </w:t>
      </w:r>
      <w:r w:rsidR="00FB38EB">
        <w:br/>
      </w:r>
      <w:r w:rsidR="00184653" w:rsidRPr="00CD308A">
        <w:t>o zapewnianiu dostępności osobom ze szczególnymi potrzebami</w:t>
      </w:r>
      <w:r w:rsidR="002C745D">
        <w:rPr>
          <w:rStyle w:val="Odwoanieprzypisudolnego"/>
        </w:rPr>
        <w:footnoteReference w:id="26"/>
      </w:r>
      <w:r w:rsidR="00184653" w:rsidRPr="00CD308A">
        <w:t>, Strategi</w:t>
      </w:r>
      <w:r w:rsidR="00B075D3">
        <w:t>i</w:t>
      </w:r>
      <w:r w:rsidR="00184653" w:rsidRPr="00CD308A">
        <w:t xml:space="preserve"> na rzecz </w:t>
      </w:r>
      <w:r w:rsidR="00184653" w:rsidRPr="00CD308A">
        <w:lastRenderedPageBreak/>
        <w:t>Osób z Niepełnosprawnościami 2021</w:t>
      </w:r>
      <w:r w:rsidR="00CB6493">
        <w:t>–</w:t>
      </w:r>
      <w:r w:rsidR="00184653" w:rsidRPr="00CD308A">
        <w:t>2030</w:t>
      </w:r>
      <w:r w:rsidR="002C745D">
        <w:rPr>
          <w:rStyle w:val="Odwoanieprzypisudolnego"/>
        </w:rPr>
        <w:footnoteReference w:id="27"/>
      </w:r>
      <w:r w:rsidR="00184653" w:rsidRPr="00CD308A">
        <w:t xml:space="preserve">, </w:t>
      </w:r>
      <w:r w:rsidR="00B075D3">
        <w:t>oraz projektowane rozwiązania wdrażające</w:t>
      </w:r>
      <w:r w:rsidR="00184653" w:rsidRPr="00CD308A">
        <w:t xml:space="preserve"> </w:t>
      </w:r>
      <w:r w:rsidR="00262DC9">
        <w:t>d</w:t>
      </w:r>
      <w:r w:rsidR="00262DC9" w:rsidRPr="00CD308A">
        <w:t xml:space="preserve">yrektywę </w:t>
      </w:r>
      <w:r w:rsidR="00184653" w:rsidRPr="00CD308A">
        <w:t>Parlamentu Europejskiego i Rady (UE) 2019/882 (</w:t>
      </w:r>
      <w:r w:rsidR="00262DC9">
        <w:t>p</w:t>
      </w:r>
      <w:r w:rsidR="00262DC9" w:rsidRPr="00B075D3">
        <w:t xml:space="preserve">rojekt </w:t>
      </w:r>
      <w:r w:rsidR="00B075D3" w:rsidRPr="00B075D3">
        <w:t>ustawy o zapewnianiu spełniania wymogów dostępności niektórych produktów i usług przez podmioty gospodarcze</w:t>
      </w:r>
      <w:r w:rsidR="002C745D">
        <w:rPr>
          <w:rStyle w:val="Odwoanieprzypisudolnego"/>
        </w:rPr>
        <w:footnoteReference w:id="28"/>
      </w:r>
      <w:r w:rsidR="00184653" w:rsidRPr="00CD308A">
        <w:t xml:space="preserve">). </w:t>
      </w:r>
      <w:r w:rsidR="002C745D">
        <w:t>P</w:t>
      </w:r>
      <w:r w:rsidR="00B075D3">
        <w:t xml:space="preserve">olscy negocjatorzy </w:t>
      </w:r>
      <w:r w:rsidR="002C745D">
        <w:t>zwracali uwagę na fakt, że</w:t>
      </w:r>
      <w:r w:rsidR="00184653" w:rsidRPr="00CD308A">
        <w:t xml:space="preserve"> pojęcie niepełnoprawności nie jest tożsame z terminem racjonalnych usprawnień</w:t>
      </w:r>
      <w:r w:rsidR="002C745D">
        <w:t>.</w:t>
      </w:r>
      <w:r w:rsidR="00B075D3">
        <w:t xml:space="preserve"> </w:t>
      </w:r>
      <w:r w:rsidR="00B90F20">
        <w:t>R</w:t>
      </w:r>
      <w:r w:rsidR="00B90F20" w:rsidRPr="000A1B40">
        <w:t>acjonalne usprawnienia są de facto</w:t>
      </w:r>
      <w:r w:rsidR="00B90F20">
        <w:t xml:space="preserve"> tylko</w:t>
      </w:r>
      <w:r w:rsidR="00B90F20" w:rsidRPr="000A1B40">
        <w:t xml:space="preserve"> jednym z instrumentów wyrównywania szans osób </w:t>
      </w:r>
      <w:r w:rsidR="00FB38EB">
        <w:br/>
      </w:r>
      <w:r w:rsidR="00B90F20" w:rsidRPr="000A1B40">
        <w:t>z niepełnosprawnościami</w:t>
      </w:r>
      <w:r w:rsidR="00CB6493">
        <w:t>,</w:t>
      </w:r>
      <w:r w:rsidR="00B90F20" w:rsidRPr="000A1B40">
        <w:t xml:space="preserve"> o ile nie jest możliwe zapewnienie dostępności, która uwzględnia potrzeby wszystkich osób w sposób uniwersalny</w:t>
      </w:r>
      <w:r w:rsidR="00B90F20">
        <w:t xml:space="preserve">. </w:t>
      </w:r>
      <w:r w:rsidR="002C745D">
        <w:t>N</w:t>
      </w:r>
      <w:r w:rsidR="002C745D" w:rsidRPr="00CD308A">
        <w:t xml:space="preserve">iepełnoprawność </w:t>
      </w:r>
      <w:r w:rsidR="00B90F20">
        <w:t xml:space="preserve">obejmuje </w:t>
      </w:r>
      <w:r w:rsidR="00184653" w:rsidRPr="00CD308A">
        <w:t>znacznie szerszy</w:t>
      </w:r>
      <w:r w:rsidR="00B90F20">
        <w:t xml:space="preserve"> zakres wyzwań prawnych, społecznych, zawodowych</w:t>
      </w:r>
      <w:r w:rsidR="00B90F20">
        <w:br/>
        <w:t>i osobistych</w:t>
      </w:r>
      <w:r w:rsidR="001D5547">
        <w:t>,</w:t>
      </w:r>
      <w:r w:rsidR="00B90F20">
        <w:t xml:space="preserve"> które mają wpływ na </w:t>
      </w:r>
      <w:r w:rsidR="00184653" w:rsidRPr="00CD308A">
        <w:t>możliwoś</w:t>
      </w:r>
      <w:r w:rsidR="00B90F20">
        <w:t>ć</w:t>
      </w:r>
      <w:r w:rsidR="00184653" w:rsidRPr="00CD308A">
        <w:t xml:space="preserve"> korzystania z praw człowieka</w:t>
      </w:r>
      <w:r w:rsidR="00B90F20">
        <w:br/>
      </w:r>
      <w:r w:rsidR="00184653" w:rsidRPr="00CD308A">
        <w:t xml:space="preserve">i podstawowych wolności </w:t>
      </w:r>
      <w:r w:rsidR="00B90F20">
        <w:t>przez wszystkich obywateli.</w:t>
      </w:r>
      <w:r w:rsidR="002B4AA2">
        <w:t xml:space="preserve"> </w:t>
      </w:r>
    </w:p>
    <w:p w14:paraId="54CB5722" w14:textId="57A84C4F" w:rsidR="00C612D3" w:rsidRPr="00CD308A" w:rsidRDefault="00C612D3" w:rsidP="00184653">
      <w:r w:rsidRPr="00CD308A">
        <w:t>Główne wątpliwości P</w:t>
      </w:r>
      <w:r w:rsidR="00A61B1B">
        <w:t xml:space="preserve">ełnomocnika </w:t>
      </w:r>
      <w:r w:rsidRPr="00CD308A">
        <w:t xml:space="preserve">dotyczą </w:t>
      </w:r>
      <w:r w:rsidR="001D5547">
        <w:t>wpływu</w:t>
      </w:r>
      <w:r w:rsidR="001D5547" w:rsidRPr="00CD308A">
        <w:t xml:space="preserve"> </w:t>
      </w:r>
      <w:r w:rsidRPr="00CD308A">
        <w:t>postanowień projektu</w:t>
      </w:r>
      <w:r w:rsidR="00A61B1B">
        <w:t xml:space="preserve"> dyrektywy</w:t>
      </w:r>
      <w:r w:rsidRPr="00CD308A">
        <w:t xml:space="preserve"> </w:t>
      </w:r>
      <w:r w:rsidR="001D5547">
        <w:t>na</w:t>
      </w:r>
      <w:r w:rsidR="001D5547" w:rsidRPr="00CD308A">
        <w:t xml:space="preserve"> </w:t>
      </w:r>
      <w:r w:rsidRPr="00CD308A">
        <w:t xml:space="preserve">kompetencje Państw Członkowskich i </w:t>
      </w:r>
      <w:r w:rsidR="001D5547">
        <w:t>realizację</w:t>
      </w:r>
      <w:r w:rsidR="001D5547" w:rsidRPr="00CD308A">
        <w:t xml:space="preserve"> </w:t>
      </w:r>
      <w:r w:rsidRPr="00CD308A">
        <w:t xml:space="preserve">zasady subsydiarności. </w:t>
      </w:r>
      <w:r w:rsidR="001D5547">
        <w:t>P</w:t>
      </w:r>
      <w:r w:rsidR="001D5547" w:rsidRPr="00CD308A">
        <w:t xml:space="preserve">rojekt </w:t>
      </w:r>
      <w:r w:rsidRPr="00CD308A">
        <w:t>przewiduje daleko idącą ingerencję w swobodę prowadzenia działalności gospodarczej</w:t>
      </w:r>
      <w:r w:rsidR="001D5547">
        <w:t xml:space="preserve"> poprzez</w:t>
      </w:r>
      <w:r w:rsidRPr="00CD308A">
        <w:t xml:space="preserve"> nakładan</w:t>
      </w:r>
      <w:r w:rsidR="001D5547">
        <w:t>i</w:t>
      </w:r>
      <w:r w:rsidRPr="00CD308A">
        <w:t xml:space="preserve">e w sposób nieproporcjonalny </w:t>
      </w:r>
      <w:r w:rsidR="001D5547">
        <w:t xml:space="preserve">obowiązków na </w:t>
      </w:r>
      <w:r w:rsidRPr="00CD308A">
        <w:t xml:space="preserve">małe i średnie przedsiębiorstwa, a </w:t>
      </w:r>
      <w:r w:rsidR="001D5547">
        <w:t xml:space="preserve">także </w:t>
      </w:r>
      <w:r w:rsidRPr="00CD308A">
        <w:t xml:space="preserve">brak </w:t>
      </w:r>
      <w:r w:rsidR="001D5547">
        <w:t xml:space="preserve">zapewnienia </w:t>
      </w:r>
      <w:r w:rsidRPr="00CD308A">
        <w:t>dostatecznych gwarancji sfinansowania działań kontrolnych ze strony Państw Członkowskich.</w:t>
      </w:r>
    </w:p>
    <w:p w14:paraId="64A5AAE8" w14:textId="1C0DE4D0" w:rsidR="00184653" w:rsidRPr="00CD308A" w:rsidRDefault="00495F62" w:rsidP="00034A29">
      <w:pPr>
        <w:pStyle w:val="Nagwek1"/>
        <w:rPr>
          <w:rStyle w:val="markedcontent"/>
          <w:b w:val="0"/>
        </w:rPr>
      </w:pPr>
      <w:bookmarkStart w:id="35" w:name="_Toc127958197"/>
      <w:bookmarkStart w:id="36" w:name="_Toc128750779"/>
      <w:r w:rsidRPr="00CD308A">
        <w:rPr>
          <w:rStyle w:val="markedcontent"/>
        </w:rPr>
        <w:t>DZIAŁANIA NA RZECZ OBYWATELI I PRZEDSTAWICIELI GRUP MNIEJSZOŚCIOWYCH</w:t>
      </w:r>
      <w:bookmarkEnd w:id="35"/>
      <w:bookmarkEnd w:id="36"/>
      <w:r w:rsidRPr="00CD308A">
        <w:rPr>
          <w:rStyle w:val="markedcontent"/>
        </w:rPr>
        <w:t xml:space="preserve"> </w:t>
      </w:r>
    </w:p>
    <w:p w14:paraId="429A800A" w14:textId="3D4914F9" w:rsidR="00184653" w:rsidRPr="00CD308A" w:rsidRDefault="00184653" w:rsidP="00184653">
      <w:pPr>
        <w:rPr>
          <w:rFonts w:eastAsia="Times New Roman"/>
        </w:rPr>
      </w:pPr>
      <w:r w:rsidRPr="00CD308A">
        <w:t xml:space="preserve">Głównym celem polityki równego traktowania realizowanym przez Pełnomocnika jest wyeliminowanie w jak najwyższym </w:t>
      </w:r>
      <w:r w:rsidR="006A1DA5">
        <w:t xml:space="preserve">stopniu </w:t>
      </w:r>
      <w:r w:rsidRPr="00CD308A">
        <w:t xml:space="preserve">dyskryminacji z życia społecznego </w:t>
      </w:r>
      <w:r w:rsidR="006A1DA5">
        <w:br/>
      </w:r>
      <w:r w:rsidRPr="00CD308A">
        <w:t>w</w:t>
      </w:r>
      <w:r w:rsidR="001136A8">
        <w:t xml:space="preserve"> </w:t>
      </w:r>
      <w:r w:rsidRPr="00CD308A">
        <w:t xml:space="preserve">Polsce. </w:t>
      </w:r>
      <w:r w:rsidR="00B90F20">
        <w:t>Polityka ta obejmuje działania prawne</w:t>
      </w:r>
      <w:r w:rsidR="008766C9">
        <w:t>, w tym konsultację projektów w</w:t>
      </w:r>
      <w:r w:rsidR="001136A8">
        <w:t> </w:t>
      </w:r>
      <w:r w:rsidR="008766C9">
        <w:t xml:space="preserve">rządowym procesie legislacyjnym, działania informacyjne, którym służą m.in. strona internetowa Pełnomocnika oraz jego konta w mediach społecznościowych, organizacja konferencji, udział w wydarzeniach oraz honorowe patronaty, ale przede wszystkim pomoc udzielana konkretnym obywatelom w ich trudnych sprawach. Nie mogąc przyjąć wszystkich zainteresowanych osobiście podczas wznowionych po pandemii COVID-19 comiesięcznych </w:t>
      </w:r>
      <w:r w:rsidR="00CB6493">
        <w:t xml:space="preserve">dyżurów </w:t>
      </w:r>
      <w:r w:rsidR="008766C9">
        <w:t>w gmachu Ministerstwa Rodziny i Polityki Społecznej, Pełnomocnik z pomocą obsługującego go Biura przyjmuje skargi i wnioski przekazane listem oraz pocztą elektroniczną, w uzasadnionych przypadkach podejmując interwencję u podmiotów, co do których zachodzi podejrzenie, że stosują dyskryminację.</w:t>
      </w:r>
    </w:p>
    <w:p w14:paraId="6D4E1DA2" w14:textId="77777777" w:rsidR="00184653" w:rsidRPr="00CD308A" w:rsidRDefault="00184653" w:rsidP="00034A29">
      <w:pPr>
        <w:pStyle w:val="Nagwek2"/>
        <w:rPr>
          <w:rStyle w:val="markedcontent"/>
          <w:b w:val="0"/>
        </w:rPr>
      </w:pPr>
      <w:bookmarkStart w:id="37" w:name="_Toc127958198"/>
      <w:bookmarkStart w:id="38" w:name="_Toc128750780"/>
      <w:r w:rsidRPr="00CD308A">
        <w:rPr>
          <w:rStyle w:val="markedcontent"/>
        </w:rPr>
        <w:lastRenderedPageBreak/>
        <w:t>Listy i prośby o interwencję od obywateli</w:t>
      </w:r>
      <w:bookmarkEnd w:id="37"/>
      <w:bookmarkEnd w:id="38"/>
      <w:r w:rsidRPr="00CD308A">
        <w:rPr>
          <w:rStyle w:val="markedcontent"/>
        </w:rPr>
        <w:t xml:space="preserve"> </w:t>
      </w:r>
    </w:p>
    <w:p w14:paraId="68D3CA95" w14:textId="30A74EFF" w:rsidR="00184653" w:rsidRPr="00CD308A" w:rsidRDefault="00184653" w:rsidP="00184653">
      <w:r w:rsidRPr="00CD308A">
        <w:t>Do zadań Pełnomocnika należy podejmowanie interwencji w sprawach indywidualnych w przypadku, kiedy z okoliczności sprawy wynika, iż dana osoba została przez organ państwa czy podmiot prywatny potraktowana inaczej niż inne osoby tylko i wyłącznie z uwagi na posiadanie jakiejś cechy szczególnej (płeć, rasę, pochodzenie etniczne, narodowość, religię, wyznanie, światopogląd, niepełnosprawność, wiek lub orientację seksualną).</w:t>
      </w:r>
    </w:p>
    <w:p w14:paraId="200FA45A" w14:textId="0C55E4C2" w:rsidR="00184653" w:rsidRPr="00CD308A" w:rsidRDefault="00184653" w:rsidP="00184653">
      <w:r w:rsidRPr="00CD308A">
        <w:t xml:space="preserve">Pełnomocnik podejmuje działania </w:t>
      </w:r>
      <w:r w:rsidR="00F92EA7">
        <w:t xml:space="preserve">z urzędu, </w:t>
      </w:r>
      <w:r w:rsidRPr="00CD308A">
        <w:t xml:space="preserve">na podstawie informacji ze strony obywateli, grup obywateli lub organizacji pozarządowych. </w:t>
      </w:r>
    </w:p>
    <w:p w14:paraId="1320CB98" w14:textId="7AE16948" w:rsidR="00184653" w:rsidRPr="00CD308A" w:rsidRDefault="00184653" w:rsidP="00184653">
      <w:r w:rsidRPr="00CD308A">
        <w:t xml:space="preserve">W okresie od 1 stycznia do 31 grudnia 2022 r. do Biura Pełnomocnika wpłynęło 95 próśb </w:t>
      </w:r>
      <w:r w:rsidRPr="00CD308A">
        <w:br/>
        <w:t xml:space="preserve">o pomoc lub interwencję. </w:t>
      </w:r>
      <w:r w:rsidR="00F92EA7">
        <w:t>Część z nich, jako należących do kompetencji sądów lub innych organów i instytucji, musiała zostać zgodnie z kodeksem postępowania administracyjnego przekazana do rozpatrzenia przez właściwe podmioty. Ponadto nie wszystkie zjawiska subiektywnie postrzegane jako przejaw dyskryminacji istotnie stanowią nieuprawnione gorsze traktowanie osób znajdujących się w tej samej sytuacji ze względu na posiadanie prawem chronionej cechy</w:t>
      </w:r>
      <w:r w:rsidRPr="00CD308A">
        <w:t xml:space="preserve">, lecz </w:t>
      </w:r>
      <w:r w:rsidR="00F92EA7">
        <w:t xml:space="preserve">przejaw </w:t>
      </w:r>
      <w:r w:rsidRPr="00CD308A">
        <w:t xml:space="preserve">innych zdarzeń lub procesów odbieranych jako niesprawiedliwe społecznie lub niezgodne z prawem. </w:t>
      </w:r>
    </w:p>
    <w:p w14:paraId="6C2F30DA" w14:textId="37976A08" w:rsidR="00184653" w:rsidRPr="00CD308A" w:rsidRDefault="008579F7" w:rsidP="00184653">
      <w:r>
        <w:t xml:space="preserve">Największa część korespondencji dotyczyła problemów </w:t>
      </w:r>
      <w:r w:rsidR="00184653" w:rsidRPr="00CD308A">
        <w:t>osób z niepełnosprawnościami</w:t>
      </w:r>
      <w:r w:rsidR="006A1DA5">
        <w:t>. Kolejna część</w:t>
      </w:r>
      <w:r w:rsidR="00184653" w:rsidRPr="00CD308A">
        <w:t xml:space="preserve"> </w:t>
      </w:r>
      <w:r>
        <w:t xml:space="preserve">listów obywatelskich </w:t>
      </w:r>
      <w:r w:rsidR="006A1DA5" w:rsidRPr="00CD308A">
        <w:t>dotyczył</w:t>
      </w:r>
      <w:r w:rsidR="006A1DA5">
        <w:t>a</w:t>
      </w:r>
      <w:r w:rsidR="006A1DA5" w:rsidRPr="00CD308A">
        <w:t xml:space="preserve"> </w:t>
      </w:r>
      <w:r w:rsidR="00184653" w:rsidRPr="00CD308A">
        <w:t>zagadnień związanych z sytuacją epidemiologiczną spowodowaną przez COVID-19</w:t>
      </w:r>
      <w:r w:rsidR="00A91166">
        <w:t>. W</w:t>
      </w:r>
      <w:r w:rsidR="00A91166" w:rsidRPr="00CD308A">
        <w:t xml:space="preserve">śród </w:t>
      </w:r>
      <w:r w:rsidR="00184653" w:rsidRPr="00CD308A">
        <w:t xml:space="preserve">równie często występujących zagadnień pojawiały się kwestie związane z dyskryminacją ze względu na płeć </w:t>
      </w:r>
      <w:r>
        <w:t>oraz</w:t>
      </w:r>
      <w:r w:rsidR="00184653" w:rsidRPr="00CD308A">
        <w:t xml:space="preserve"> narodowość</w:t>
      </w:r>
      <w:r w:rsidR="00A91166">
        <w:t>.</w:t>
      </w:r>
      <w:r w:rsidR="00184653" w:rsidRPr="00CD308A">
        <w:t xml:space="preserve"> Pozostałe </w:t>
      </w:r>
      <w:r>
        <w:t>wystąpienia</w:t>
      </w:r>
      <w:r w:rsidR="00184653" w:rsidRPr="00CD308A">
        <w:t xml:space="preserve"> związane</w:t>
      </w:r>
      <w:r>
        <w:t xml:space="preserve"> były</w:t>
      </w:r>
      <w:r w:rsidR="00184653" w:rsidRPr="00CD308A">
        <w:t xml:space="preserve"> z </w:t>
      </w:r>
      <w:r>
        <w:t xml:space="preserve">realizacją prawa do kontaktów </w:t>
      </w:r>
      <w:r w:rsidR="00FB38EB">
        <w:br/>
      </w:r>
      <w:r>
        <w:t>z dzieckiem po rozstaniu rodziców</w:t>
      </w:r>
      <w:r w:rsidR="00184653" w:rsidRPr="00CD308A">
        <w:t>, samotnym rodzicielstwem, luką płacową</w:t>
      </w:r>
      <w:r>
        <w:t xml:space="preserve"> i</w:t>
      </w:r>
      <w:r w:rsidR="00184653" w:rsidRPr="00CD308A">
        <w:t xml:space="preserve"> </w:t>
      </w:r>
      <w:r>
        <w:t xml:space="preserve">równym traktowaniem </w:t>
      </w:r>
      <w:r w:rsidR="00184653" w:rsidRPr="00CD308A">
        <w:t>mniejszości</w:t>
      </w:r>
      <w:r>
        <w:t xml:space="preserve"> </w:t>
      </w:r>
      <w:r w:rsidR="00184653" w:rsidRPr="00CD308A">
        <w:t>narodowy</w:t>
      </w:r>
      <w:r>
        <w:t>ch. Odrębną kategorię skarg i wniosków stanowiły</w:t>
      </w:r>
      <w:r w:rsidR="00184653" w:rsidRPr="00CD308A">
        <w:t xml:space="preserve"> pytania</w:t>
      </w:r>
      <w:r>
        <w:t xml:space="preserve"> dotyczące </w:t>
      </w:r>
      <w:r w:rsidR="00184653" w:rsidRPr="00CD308A">
        <w:t>Krajow</w:t>
      </w:r>
      <w:r>
        <w:t>ego</w:t>
      </w:r>
      <w:r w:rsidR="00184653" w:rsidRPr="00CD308A">
        <w:t xml:space="preserve"> Program</w:t>
      </w:r>
      <w:r>
        <w:t>u</w:t>
      </w:r>
      <w:r w:rsidR="00184653" w:rsidRPr="00CD308A">
        <w:t xml:space="preserve"> Działań na rzecz Równego Traktowania</w:t>
      </w:r>
      <w:r>
        <w:t xml:space="preserve"> na lata</w:t>
      </w:r>
      <w:r w:rsidR="00184653" w:rsidRPr="00CD308A">
        <w:t xml:space="preserve"> 2022</w:t>
      </w:r>
      <w:r w:rsidR="00CB6493">
        <w:t>–</w:t>
      </w:r>
      <w:r w:rsidR="00184653" w:rsidRPr="00CD308A">
        <w:t>2030</w:t>
      </w:r>
      <w:r>
        <w:t>.</w:t>
      </w:r>
      <w:r w:rsidR="00184653" w:rsidRPr="00CD308A">
        <w:t xml:space="preserve"> </w:t>
      </w:r>
    </w:p>
    <w:p w14:paraId="69720298" w14:textId="61B0229D" w:rsidR="00184653" w:rsidRPr="00CB0889" w:rsidRDefault="00184653" w:rsidP="00184653">
      <w:pPr>
        <w:rPr>
          <w:sz w:val="20"/>
          <w:szCs w:val="20"/>
        </w:rPr>
      </w:pPr>
      <w:r w:rsidRPr="00CB0889">
        <w:rPr>
          <w:noProof/>
          <w:sz w:val="20"/>
          <w:szCs w:val="20"/>
          <w:lang w:eastAsia="pl-PL"/>
        </w:rPr>
        <w:lastRenderedPageBreak/>
        <w:drawing>
          <wp:anchor distT="0" distB="0" distL="114300" distR="114300" simplePos="0" relativeHeight="251660288" behindDoc="1" locked="0" layoutInCell="1" allowOverlap="1" wp14:anchorId="4C6A4DE3" wp14:editId="18B2FC7E">
            <wp:simplePos x="0" y="0"/>
            <wp:positionH relativeFrom="column">
              <wp:posOffset>-635</wp:posOffset>
            </wp:positionH>
            <wp:positionV relativeFrom="paragraph">
              <wp:posOffset>0</wp:posOffset>
            </wp:positionV>
            <wp:extent cx="5753100" cy="3200400"/>
            <wp:effectExtent l="0" t="0" r="0" b="0"/>
            <wp:wrapTight wrapText="bothSides">
              <wp:wrapPolygon edited="0">
                <wp:start x="0" y="0"/>
                <wp:lineTo x="0" y="21471"/>
                <wp:lineTo x="21528" y="21471"/>
                <wp:lineTo x="21528" y="0"/>
                <wp:lineTo x="0" y="0"/>
              </wp:wrapPolygon>
            </wp:wrapTight>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Pr="00CB0889">
        <w:rPr>
          <w:sz w:val="20"/>
          <w:szCs w:val="20"/>
        </w:rPr>
        <w:t>Wykres 1</w:t>
      </w:r>
      <w:r w:rsidR="00A91166">
        <w:rPr>
          <w:sz w:val="20"/>
          <w:szCs w:val="20"/>
        </w:rPr>
        <w:t>:</w:t>
      </w:r>
      <w:r w:rsidRPr="00CB0889">
        <w:rPr>
          <w:sz w:val="20"/>
          <w:szCs w:val="20"/>
        </w:rPr>
        <w:t xml:space="preserve"> Korespondencja od obywateli w podziale na kategorie</w:t>
      </w:r>
    </w:p>
    <w:p w14:paraId="55DA7488" w14:textId="47D2CCB0" w:rsidR="00184653" w:rsidRPr="00CD308A" w:rsidRDefault="00A91166" w:rsidP="00184653">
      <w:r>
        <w:t>Pełnomocnik podjął interwencje w 20 sprawach:</w:t>
      </w:r>
    </w:p>
    <w:p w14:paraId="38B57427" w14:textId="77777777" w:rsidR="00184653" w:rsidRPr="00CD308A" w:rsidRDefault="00184653" w:rsidP="00184653">
      <w:r w:rsidRPr="00CD308A">
        <w:rPr>
          <w:noProof/>
          <w:lang w:eastAsia="pl-PL"/>
        </w:rPr>
        <w:drawing>
          <wp:inline distT="0" distB="0" distL="0" distR="0" wp14:anchorId="5CCD23BB" wp14:editId="4C71073C">
            <wp:extent cx="5486400" cy="32004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35C17B" w14:textId="05A7F1D4" w:rsidR="00184653" w:rsidRPr="00CB0889" w:rsidRDefault="00184653" w:rsidP="00184653">
      <w:pPr>
        <w:rPr>
          <w:sz w:val="20"/>
          <w:szCs w:val="20"/>
        </w:rPr>
      </w:pPr>
      <w:r w:rsidRPr="00CB0889">
        <w:rPr>
          <w:sz w:val="20"/>
          <w:szCs w:val="20"/>
        </w:rPr>
        <w:t>Wykres 2</w:t>
      </w:r>
      <w:r w:rsidR="00A91166">
        <w:rPr>
          <w:sz w:val="20"/>
          <w:szCs w:val="20"/>
        </w:rPr>
        <w:t>:</w:t>
      </w:r>
      <w:r w:rsidRPr="00CB0889">
        <w:rPr>
          <w:sz w:val="20"/>
          <w:szCs w:val="20"/>
        </w:rPr>
        <w:t xml:space="preserve"> </w:t>
      </w:r>
      <w:r w:rsidR="00A91166">
        <w:rPr>
          <w:sz w:val="20"/>
          <w:szCs w:val="20"/>
        </w:rPr>
        <w:t>Liczba interwencji Pełnomocnika</w:t>
      </w:r>
    </w:p>
    <w:p w14:paraId="3D4C3FD6" w14:textId="2FE8DD9B" w:rsidR="00184653" w:rsidRPr="00CD308A" w:rsidRDefault="00184653" w:rsidP="00184653">
      <w:r w:rsidRPr="00CD308A">
        <w:t xml:space="preserve">Problematyka podejmowana </w:t>
      </w:r>
      <w:r w:rsidR="00A91166">
        <w:t xml:space="preserve">w interwencjach Pełnomocnika </w:t>
      </w:r>
      <w:r w:rsidR="00A91166" w:rsidRPr="00CD308A">
        <w:t>dotyczył</w:t>
      </w:r>
      <w:r w:rsidR="00A91166">
        <w:t>a</w:t>
      </w:r>
      <w:r w:rsidR="00A91166" w:rsidRPr="00CD308A">
        <w:t xml:space="preserve"> </w:t>
      </w:r>
      <w:r w:rsidRPr="00CD308A">
        <w:t>w szczególności zagadnień</w:t>
      </w:r>
      <w:r w:rsidR="00A91166">
        <w:t xml:space="preserve"> związanych z</w:t>
      </w:r>
      <w:r w:rsidRPr="00CD308A">
        <w:t xml:space="preserve"> </w:t>
      </w:r>
      <w:r w:rsidR="00A91166" w:rsidRPr="00CD308A">
        <w:t>dyskryminacj</w:t>
      </w:r>
      <w:r w:rsidR="00A91166">
        <w:t>ą</w:t>
      </w:r>
      <w:r w:rsidR="00A91166" w:rsidRPr="00CD308A">
        <w:t xml:space="preserve"> </w:t>
      </w:r>
      <w:r w:rsidRPr="00CD308A">
        <w:t xml:space="preserve">osób z niepełnosprawnościami, </w:t>
      </w:r>
      <w:r w:rsidR="00A91166" w:rsidRPr="00CD308A">
        <w:t>dyskryminacj</w:t>
      </w:r>
      <w:r w:rsidR="00A91166">
        <w:t>ą</w:t>
      </w:r>
      <w:r w:rsidR="00A91166" w:rsidRPr="00CD308A">
        <w:t xml:space="preserve"> </w:t>
      </w:r>
      <w:r w:rsidRPr="00CD308A">
        <w:lastRenderedPageBreak/>
        <w:t xml:space="preserve">ze względu na płeć, narodowość, wiek, </w:t>
      </w:r>
      <w:r w:rsidR="00A91166">
        <w:t xml:space="preserve">a także </w:t>
      </w:r>
      <w:r w:rsidRPr="00CD308A">
        <w:t>zagadnień związanych z epidemią COVID-19</w:t>
      </w:r>
      <w:r w:rsidR="00A91166">
        <w:t xml:space="preserve"> w obszarach </w:t>
      </w:r>
      <w:r w:rsidR="00A91166" w:rsidRPr="00CD308A">
        <w:t>edukacji, usług, barier architektonicznych</w:t>
      </w:r>
      <w:r w:rsidR="00A91166">
        <w:t>.</w:t>
      </w:r>
      <w:r w:rsidR="00A91166" w:rsidRPr="00CD308A">
        <w:t xml:space="preserve"> </w:t>
      </w:r>
    </w:p>
    <w:p w14:paraId="3139B867" w14:textId="5EAE4E92" w:rsidR="00184653" w:rsidRDefault="00DA035A" w:rsidP="00184653">
      <w:r>
        <w:t xml:space="preserve">Znacząca liczba listów obywateli dotyczyła równoczesnego występowania kilku przesłanek dyskryminacji, np. </w:t>
      </w:r>
      <w:r w:rsidR="00184653" w:rsidRPr="00CD308A">
        <w:t xml:space="preserve">ze względu na płeć </w:t>
      </w:r>
      <w:r>
        <w:t>i wiek przy rekrutacji do pracy.</w:t>
      </w:r>
      <w:r w:rsidR="00184653" w:rsidRPr="00CD308A">
        <w:t xml:space="preserve"> </w:t>
      </w:r>
    </w:p>
    <w:p w14:paraId="0E642216" w14:textId="5F5B97C7" w:rsidR="00184653" w:rsidRPr="00CD308A" w:rsidRDefault="00DA035A" w:rsidP="00184653">
      <w:r>
        <w:t xml:space="preserve">Wybuch wojny na Ukrainie nie wpłynął na wzrost </w:t>
      </w:r>
      <w:r w:rsidR="00D27992">
        <w:t xml:space="preserve">antagonizmów na tle narodowym </w:t>
      </w:r>
      <w:r w:rsidR="00A91166">
        <w:br/>
      </w:r>
      <w:r w:rsidR="00D27992">
        <w:t>i etnicznym.</w:t>
      </w:r>
      <w:r w:rsidR="00DD7657">
        <w:t xml:space="preserve"> </w:t>
      </w:r>
      <w:r w:rsidR="00D27992">
        <w:t>Do</w:t>
      </w:r>
      <w:r w:rsidR="00184653" w:rsidRPr="00CD308A">
        <w:t xml:space="preserve"> Biura</w:t>
      </w:r>
      <w:r w:rsidR="00D27992">
        <w:t xml:space="preserve"> Pełnomocnika</w:t>
      </w:r>
      <w:r w:rsidR="00184653" w:rsidRPr="00CD308A">
        <w:t xml:space="preserve"> zgłaszały się pojedyncze osoby o narodowości rosyjskiej </w:t>
      </w:r>
      <w:r w:rsidR="00D27992">
        <w:t>lub</w:t>
      </w:r>
      <w:r w:rsidR="00184653" w:rsidRPr="00CD308A">
        <w:t xml:space="preserve"> białoruskiej, które wskazywały na sytuacje z problemami w dostępie </w:t>
      </w:r>
      <w:r w:rsidR="00FB38EB">
        <w:br/>
      </w:r>
      <w:r w:rsidR="00184653" w:rsidRPr="00CD308A">
        <w:t xml:space="preserve">do usług. </w:t>
      </w:r>
    </w:p>
    <w:p w14:paraId="7DCAE41E" w14:textId="77777777" w:rsidR="00184653" w:rsidRPr="00CD308A" w:rsidRDefault="00184653" w:rsidP="00034A29">
      <w:pPr>
        <w:pStyle w:val="Nagwek2"/>
        <w:rPr>
          <w:rStyle w:val="markedcontent"/>
          <w:b w:val="0"/>
        </w:rPr>
      </w:pPr>
      <w:bookmarkStart w:id="39" w:name="_Toc127958199"/>
      <w:bookmarkStart w:id="40" w:name="_Toc128750781"/>
      <w:r w:rsidRPr="00CD308A">
        <w:rPr>
          <w:rStyle w:val="markedcontent"/>
        </w:rPr>
        <w:t>Osoby z niepełnosprawnościami</w:t>
      </w:r>
      <w:bookmarkEnd w:id="39"/>
      <w:bookmarkEnd w:id="40"/>
    </w:p>
    <w:p w14:paraId="6B9E44A3" w14:textId="57DA9751" w:rsidR="00184653" w:rsidRPr="00456FC5" w:rsidRDefault="00184653" w:rsidP="00A91166">
      <w:pPr>
        <w:pStyle w:val="Nagwek3"/>
        <w:rPr>
          <w:rStyle w:val="markedcontent"/>
        </w:rPr>
      </w:pPr>
      <w:bookmarkStart w:id="41" w:name="_Toc127958200"/>
      <w:bookmarkStart w:id="42" w:name="_Toc128750782"/>
      <w:bookmarkStart w:id="43" w:name="_Hlk127951621"/>
      <w:r w:rsidRPr="00A91166">
        <w:rPr>
          <w:rStyle w:val="markedcontent"/>
        </w:rPr>
        <w:t xml:space="preserve">Udział w posiedzeniu Zespołu ds. wykonywania postanowień Konwencji </w:t>
      </w:r>
      <w:r w:rsidR="00FB38EB">
        <w:rPr>
          <w:rStyle w:val="markedcontent"/>
        </w:rPr>
        <w:br/>
      </w:r>
      <w:r w:rsidRPr="00A91166">
        <w:rPr>
          <w:rStyle w:val="markedcontent"/>
        </w:rPr>
        <w:t>o prawach osób niepełnosprawnych</w:t>
      </w:r>
      <w:bookmarkEnd w:id="41"/>
      <w:bookmarkEnd w:id="42"/>
      <w:r w:rsidRPr="00A91166">
        <w:rPr>
          <w:rStyle w:val="markedcontent"/>
        </w:rPr>
        <w:t xml:space="preserve"> </w:t>
      </w:r>
    </w:p>
    <w:bookmarkEnd w:id="43"/>
    <w:p w14:paraId="31BC173A" w14:textId="0FD5DC1D" w:rsidR="00184653" w:rsidRPr="00CD308A" w:rsidRDefault="00A91166" w:rsidP="00184653">
      <w:r>
        <w:t>P</w:t>
      </w:r>
      <w:r w:rsidR="00184653" w:rsidRPr="00CD308A">
        <w:t xml:space="preserve">racownicy Biura Pełnomocnika </w:t>
      </w:r>
      <w:r w:rsidR="00264DA7">
        <w:t>brali</w:t>
      </w:r>
      <w:r w:rsidR="00264DA7" w:rsidRPr="00CD308A">
        <w:t xml:space="preserve"> </w:t>
      </w:r>
      <w:r w:rsidR="00184653" w:rsidRPr="00CD308A">
        <w:t>udział w posiedzeniach Zespołu ds. wykonywania postanowień Konwencji o prawach osób niepełnosprawnych</w:t>
      </w:r>
      <w:r w:rsidR="00184653" w:rsidRPr="00CD308A">
        <w:rPr>
          <w:rStyle w:val="Odwoanieprzypisudolnego"/>
          <w:rFonts w:cstheme="minorHAnsi"/>
        </w:rPr>
        <w:footnoteReference w:id="29"/>
      </w:r>
      <w:r w:rsidR="00184653" w:rsidRPr="00CD308A">
        <w:t xml:space="preserve">. </w:t>
      </w:r>
      <w:r w:rsidR="008E24E5">
        <w:t xml:space="preserve">Prace zespołu koncentrowały się na ocenie funkcjonowania </w:t>
      </w:r>
      <w:r w:rsidR="008E24E5" w:rsidRPr="00CD308A">
        <w:t>ustawy o zapewnianiu dostępności osobom ze szczególnymi potrzebami</w:t>
      </w:r>
      <w:r w:rsidR="008E24E5">
        <w:t xml:space="preserve">, w szczególności skuteczności przewidzianej w niej procedury skargowej, a także na konsultacji projektu ustawy o wyrównywaniu szans osób z niepełnosprawnościami, opracowanego w Biurze Pełnomocnika Rządu </w:t>
      </w:r>
      <w:r w:rsidR="00FB38EB">
        <w:br/>
      </w:r>
      <w:r w:rsidR="008E24E5">
        <w:t xml:space="preserve">ds. Osób Niepełnosprawnych. </w:t>
      </w:r>
    </w:p>
    <w:p w14:paraId="17D3E935" w14:textId="77777777" w:rsidR="00184653" w:rsidRPr="00456FC5" w:rsidRDefault="00184653" w:rsidP="00034A29">
      <w:pPr>
        <w:pStyle w:val="Nagwek2"/>
        <w:rPr>
          <w:rStyle w:val="markedcontent"/>
        </w:rPr>
      </w:pPr>
      <w:bookmarkStart w:id="44" w:name="_Toc127958201"/>
      <w:bookmarkStart w:id="45" w:name="_Toc128750783"/>
      <w:r w:rsidRPr="00264DA7">
        <w:rPr>
          <w:rStyle w:val="markedcontent"/>
        </w:rPr>
        <w:t>Mniejszości narodowe, etniczne i społeczności posługujące się językami regionalnymi oraz mniejszości wyznaniowe</w:t>
      </w:r>
      <w:bookmarkEnd w:id="44"/>
      <w:bookmarkEnd w:id="45"/>
      <w:r w:rsidRPr="00264DA7">
        <w:rPr>
          <w:rStyle w:val="markedcontent"/>
        </w:rPr>
        <w:t xml:space="preserve"> </w:t>
      </w:r>
    </w:p>
    <w:p w14:paraId="37A667A0" w14:textId="78F8F1E2" w:rsidR="00184653" w:rsidRPr="00456FC5" w:rsidRDefault="00184653" w:rsidP="00264DA7">
      <w:pPr>
        <w:pStyle w:val="Nagwek3"/>
        <w:rPr>
          <w:rStyle w:val="markedcontent"/>
        </w:rPr>
      </w:pPr>
      <w:bookmarkStart w:id="46" w:name="_Toc127958202"/>
      <w:bookmarkStart w:id="47" w:name="_Toc128750784"/>
      <w:r w:rsidRPr="00264DA7">
        <w:rPr>
          <w:rStyle w:val="markedcontent"/>
        </w:rPr>
        <w:t>Udział Pełnomocnika Rządu do Spraw Równego Traktowania w posiedzeniu Komisji Wspólnej Rządu i Mniejszości Narodowych i Etnicznych</w:t>
      </w:r>
      <w:bookmarkEnd w:id="46"/>
      <w:bookmarkEnd w:id="47"/>
    </w:p>
    <w:p w14:paraId="05E24902" w14:textId="0148F90E" w:rsidR="00184653" w:rsidRPr="00CD308A" w:rsidRDefault="00184653" w:rsidP="00184653">
      <w:r w:rsidRPr="00CD308A">
        <w:t>Jednym z zadań Pełnomocnika jest monitorowanie przestrzegania zasady równego traktowania na poziomie krajowym. W ramach tego zadania przedstawiciele Pełnomocnika utrzymują kontakty z Komisją Wspólną Rządu i Mniejszości Narodowych</w:t>
      </w:r>
      <w:r>
        <w:t xml:space="preserve"> </w:t>
      </w:r>
      <w:r w:rsidRPr="00CD308A">
        <w:t>i Etnicznych oraz z sejmową Komisją Mniejszości Narodowych i Etnicznych</w:t>
      </w:r>
      <w:r w:rsidR="00264DA7">
        <w:t xml:space="preserve"> i </w:t>
      </w:r>
      <w:r w:rsidRPr="00CD308A">
        <w:t>biorą udział w posiedzeniach wymienionych wyżej komisji.</w:t>
      </w:r>
    </w:p>
    <w:p w14:paraId="0318C529" w14:textId="03E40E11" w:rsidR="00184653" w:rsidRPr="00CD308A" w:rsidRDefault="00184653" w:rsidP="00184653">
      <w:r w:rsidRPr="00CD308A">
        <w:lastRenderedPageBreak/>
        <w:t xml:space="preserve">1 czerwca 2022 r. przedstawiciel Pełnomocnika uczestniczył w charakterze obserwatora w LXXVIII plenarnym Posiedzeniu Komisji wspólnej Rządu i Mniejszości Narodowych i Etnicznych. </w:t>
      </w:r>
    </w:p>
    <w:p w14:paraId="6FEFD2CC" w14:textId="08A638C8" w:rsidR="00184653" w:rsidRPr="00CD308A" w:rsidRDefault="00313DBD" w:rsidP="00184653">
      <w:r>
        <w:t xml:space="preserve">Podczas </w:t>
      </w:r>
      <w:r w:rsidR="00DD7657">
        <w:t xml:space="preserve">posiedzenia w dniu </w:t>
      </w:r>
      <w:r w:rsidR="00184653" w:rsidRPr="00CD308A">
        <w:t xml:space="preserve">10 maja 2022 r. </w:t>
      </w:r>
      <w:r w:rsidR="00DD7657">
        <w:t xml:space="preserve">została </w:t>
      </w:r>
      <w:r w:rsidR="00184653" w:rsidRPr="00CD308A">
        <w:t>przedstawi</w:t>
      </w:r>
      <w:r w:rsidR="00DD7657">
        <w:t xml:space="preserve">ona </w:t>
      </w:r>
      <w:r w:rsidR="00DD7657" w:rsidRPr="00CD308A">
        <w:t xml:space="preserve">Komisji Mniejszości Narodowych i Etnicznych </w:t>
      </w:r>
      <w:r w:rsidR="00184653" w:rsidRPr="00CD308A">
        <w:t>informacj</w:t>
      </w:r>
      <w:r w:rsidR="00DD7657">
        <w:t xml:space="preserve">a </w:t>
      </w:r>
      <w:r w:rsidR="00DD7657" w:rsidRPr="00CD308A">
        <w:t>Pełnomocnik</w:t>
      </w:r>
      <w:r w:rsidR="00DD7657">
        <w:t>a</w:t>
      </w:r>
      <w:r w:rsidR="00DD7657" w:rsidRPr="00CD308A">
        <w:t xml:space="preserve"> </w:t>
      </w:r>
      <w:r w:rsidR="00184653" w:rsidRPr="00CD308A">
        <w:t xml:space="preserve">dotyczącą między innymi prawa antydyskryminacyjnego </w:t>
      </w:r>
      <w:r w:rsidR="0049302A">
        <w:t xml:space="preserve">obowiązującego </w:t>
      </w:r>
      <w:r w:rsidR="00184653" w:rsidRPr="00CD308A">
        <w:t xml:space="preserve">w Unii Europejskiej w odniesieniu do kwestii mniejszości narodowych i etnicznych. </w:t>
      </w:r>
      <w:r w:rsidR="001952C3" w:rsidRPr="00CD308A">
        <w:t xml:space="preserve">Poinformowano o zgłoszeniach do Biura Pełnomocnika </w:t>
      </w:r>
      <w:r w:rsidR="001952C3">
        <w:t>przypadków łamania</w:t>
      </w:r>
      <w:r w:rsidR="001952C3" w:rsidRPr="00CD308A">
        <w:t xml:space="preserve"> zasad</w:t>
      </w:r>
      <w:r w:rsidR="001952C3">
        <w:t>y</w:t>
      </w:r>
      <w:r w:rsidR="001952C3" w:rsidRPr="00CD308A">
        <w:t xml:space="preserve"> równego traktowania wobec przedstawicieli mniejszości</w:t>
      </w:r>
      <w:r w:rsidR="001952C3">
        <w:t xml:space="preserve"> narodowych i etnicznych</w:t>
      </w:r>
      <w:r w:rsidR="001952C3" w:rsidRPr="00CD308A" w:rsidDel="00313DBD">
        <w:t xml:space="preserve"> </w:t>
      </w:r>
    </w:p>
    <w:p w14:paraId="0B125979" w14:textId="77777777" w:rsidR="00184653" w:rsidRPr="00456FC5" w:rsidRDefault="00184653" w:rsidP="00034A29">
      <w:pPr>
        <w:pStyle w:val="Nagwek2"/>
        <w:rPr>
          <w:rStyle w:val="markedcontent"/>
        </w:rPr>
      </w:pPr>
      <w:bookmarkStart w:id="48" w:name="_Toc127958203"/>
      <w:bookmarkStart w:id="49" w:name="_Toc128750785"/>
      <w:r w:rsidRPr="00313DBD">
        <w:rPr>
          <w:rStyle w:val="markedcontent"/>
        </w:rPr>
        <w:t>Dyskryminacja ze względu na płeć</w:t>
      </w:r>
      <w:bookmarkEnd w:id="48"/>
      <w:bookmarkEnd w:id="49"/>
    </w:p>
    <w:p w14:paraId="59FF3D9D" w14:textId="489FDE52" w:rsidR="00184653" w:rsidRPr="00456FC5" w:rsidRDefault="00184653" w:rsidP="00313DBD">
      <w:pPr>
        <w:pStyle w:val="Nagwek3"/>
        <w:rPr>
          <w:rStyle w:val="markedcontent"/>
        </w:rPr>
      </w:pPr>
      <w:bookmarkStart w:id="50" w:name="_Toc127958204"/>
      <w:bookmarkStart w:id="51" w:name="_Toc128750786"/>
      <w:r w:rsidRPr="00313DBD">
        <w:rPr>
          <w:rStyle w:val="markedcontent"/>
        </w:rPr>
        <w:t>Udział Pełnomocnika Rządu do Spraw Równego Traktowania w posiedzeniu Parlamentarnego Zespołu ds. Sportu Kobiet</w:t>
      </w:r>
      <w:bookmarkEnd w:id="50"/>
      <w:bookmarkEnd w:id="51"/>
    </w:p>
    <w:p w14:paraId="2FEB94E4" w14:textId="663F7027" w:rsidR="00184653" w:rsidRPr="00CD308A" w:rsidRDefault="00184653" w:rsidP="00184653">
      <w:r w:rsidRPr="00CD308A">
        <w:t>10 marca 2022 r. odbyło się posiedzenie Parlamentarnego Zespołu ds. Sportu Kobiet</w:t>
      </w:r>
      <w:r w:rsidR="00313DBD">
        <w:t>,</w:t>
      </w:r>
      <w:r w:rsidRPr="00CD308A">
        <w:t xml:space="preserve"> podczas którego przedstawiciel Pełnomocnik</w:t>
      </w:r>
      <w:r w:rsidR="00313DBD">
        <w:t>a</w:t>
      </w:r>
      <w:r w:rsidRPr="00CD308A">
        <w:t xml:space="preserve"> zaprezentował informację w zakresie działań </w:t>
      </w:r>
      <w:r w:rsidR="0056055C">
        <w:t>R</w:t>
      </w:r>
      <w:r w:rsidR="0056055C" w:rsidRPr="00CD308A">
        <w:t xml:space="preserve">ządu </w:t>
      </w:r>
      <w:r w:rsidRPr="00CD308A">
        <w:t>w sprawie równego traktowania, ze szczególnym uwzględnieniem dyskryminacji ze względu na płeć w sporcie</w:t>
      </w:r>
      <w:r w:rsidR="0056055C">
        <w:t>,</w:t>
      </w:r>
      <w:r w:rsidRPr="00CD308A">
        <w:t xml:space="preserve"> a także planów Pełnomocnik na rok 2022 oraz kolejne lata w kwestii ochrony kobiet i dziewczynek w sporcie. </w:t>
      </w:r>
    </w:p>
    <w:p w14:paraId="7BBBB508" w14:textId="2ABE7185" w:rsidR="00184653" w:rsidRPr="00CD308A" w:rsidRDefault="00184653" w:rsidP="00184653">
      <w:r w:rsidRPr="00CD308A">
        <w:t>2 grudnia 2022 r. odbyło się posiedzenie Parlamentarnego Zespołu ds. Sportu Kobiet</w:t>
      </w:r>
      <w:r w:rsidR="0056055C">
        <w:t>,</w:t>
      </w:r>
      <w:r w:rsidRPr="00CD308A">
        <w:t xml:space="preserve"> podczas którego przedstawiciel Pełnomocnik przekazał informację w zakresie planowanych zadań w Krajowym Programie Działań na rzecz Równego Traktowania 2022-2030 mających na celu ochronę dzieci i młodzieży przed przemocą, a także wykorzystaniem seksualnym czy przeciwdziałaniem kreowaniu wizerunku naruszającego godność kobiet i dziewcząt o charakterze seksualnym.</w:t>
      </w:r>
    </w:p>
    <w:p w14:paraId="6B1CFBAD" w14:textId="69A242A3" w:rsidR="00184653" w:rsidRPr="00CD308A" w:rsidRDefault="0049302A" w:rsidP="00184653">
      <w:r>
        <w:t>W reakcji na</w:t>
      </w:r>
      <w:r w:rsidR="00184653" w:rsidRPr="00CD308A">
        <w:t xml:space="preserve"> zgłoszenie o niemoralnym zachowaniu instruktora w jednym z ośrodków sportowych Pełnomocnik </w:t>
      </w:r>
      <w:r>
        <w:t xml:space="preserve">złożył zawiadomienie o podejrzeniu popełnienia przestępstwa oraz wystosował </w:t>
      </w:r>
      <w:r w:rsidR="00184653" w:rsidRPr="00CD308A">
        <w:t>do związków sportowych</w:t>
      </w:r>
      <w:r>
        <w:t xml:space="preserve"> apel wzywający do zgłaszania organom ścigania</w:t>
      </w:r>
      <w:r w:rsidR="00184653" w:rsidRPr="00CD308A">
        <w:t xml:space="preserve"> podejrzenie popełnienia przestępstwa oraz</w:t>
      </w:r>
      <w:r w:rsidR="00FC009B">
        <w:t xml:space="preserve"> do zwrócenia szczególnej uwagi w przypadku obawy wystąpienia </w:t>
      </w:r>
      <w:r w:rsidR="00184653" w:rsidRPr="00CD308A">
        <w:t>naduży</w:t>
      </w:r>
      <w:r w:rsidR="00FC009B">
        <w:t>ć</w:t>
      </w:r>
      <w:r w:rsidR="00184653" w:rsidRPr="00CD308A">
        <w:t xml:space="preserve"> względem dzieci. </w:t>
      </w:r>
    </w:p>
    <w:p w14:paraId="51EFFAC8" w14:textId="77777777" w:rsidR="00184653" w:rsidRPr="00313DBD" w:rsidRDefault="00184653" w:rsidP="00034A29">
      <w:pPr>
        <w:pStyle w:val="Nagwek2"/>
      </w:pPr>
      <w:bookmarkStart w:id="52" w:name="_Toc127958205"/>
      <w:bookmarkStart w:id="53" w:name="_Toc128750787"/>
      <w:r w:rsidRPr="00313DBD">
        <w:t>Mniejszości seksualne</w:t>
      </w:r>
      <w:bookmarkEnd w:id="52"/>
      <w:bookmarkEnd w:id="53"/>
    </w:p>
    <w:p w14:paraId="7E74A9E3" w14:textId="6FAC8059" w:rsidR="00184653" w:rsidRPr="00456FC5" w:rsidRDefault="00184653" w:rsidP="00313DBD">
      <w:pPr>
        <w:pStyle w:val="Nagwek3"/>
        <w:rPr>
          <w:rStyle w:val="y2iqfc"/>
        </w:rPr>
      </w:pPr>
      <w:bookmarkStart w:id="54" w:name="_Toc127958206"/>
      <w:bookmarkStart w:id="55" w:name="_Toc128750788"/>
      <w:r w:rsidRPr="00313DBD">
        <w:t xml:space="preserve">Udział Pełnomocnika Rządu do Spraw Równego Traktowania w </w:t>
      </w:r>
      <w:r w:rsidRPr="00313DBD">
        <w:rPr>
          <w:rStyle w:val="y2iqfc"/>
        </w:rPr>
        <w:t>Podgrupie ds. Równości LGBTQIA w ramach Organizacji społeczeństwa obywatelskiego UE</w:t>
      </w:r>
      <w:bookmarkEnd w:id="54"/>
      <w:bookmarkEnd w:id="55"/>
    </w:p>
    <w:p w14:paraId="5CA6647F" w14:textId="68F77A28" w:rsidR="00184653" w:rsidRDefault="00184653" w:rsidP="00184653">
      <w:pPr>
        <w:pStyle w:val="HTML-wstpniesformatowany"/>
        <w:spacing w:line="276" w:lineRule="auto"/>
        <w:rPr>
          <w:rStyle w:val="y2iqfc"/>
          <w:rFonts w:ascii="Lato" w:eastAsiaTheme="minorEastAsia" w:hAnsi="Lato" w:cstheme="minorHAnsi"/>
          <w:sz w:val="24"/>
          <w:szCs w:val="24"/>
        </w:rPr>
      </w:pPr>
      <w:r w:rsidRPr="00184653">
        <w:rPr>
          <w:rStyle w:val="y2iqfc"/>
          <w:rFonts w:ascii="Lato" w:eastAsiaTheme="minorEastAsia" w:hAnsi="Lato" w:cstheme="minorHAnsi"/>
          <w:sz w:val="24"/>
          <w:szCs w:val="24"/>
        </w:rPr>
        <w:t xml:space="preserve">Między 13 a 15 listopada 2022 r. przedstawiciel Pełnomocnika </w:t>
      </w:r>
      <w:r w:rsidRPr="00184653">
        <w:rPr>
          <w:rFonts w:ascii="Lato" w:hAnsi="Lato"/>
          <w:sz w:val="24"/>
          <w:szCs w:val="24"/>
        </w:rPr>
        <w:t xml:space="preserve">uczestniczył w 7. posiedzeniu </w:t>
      </w:r>
      <w:r w:rsidRPr="00184653">
        <w:rPr>
          <w:rStyle w:val="y2iqfc"/>
          <w:rFonts w:ascii="Lato" w:eastAsiaTheme="minorEastAsia" w:hAnsi="Lato" w:cstheme="minorHAnsi"/>
          <w:sz w:val="24"/>
          <w:szCs w:val="24"/>
        </w:rPr>
        <w:t xml:space="preserve">Podgrupy </w:t>
      </w:r>
      <w:r w:rsidR="00FC009B">
        <w:rPr>
          <w:rStyle w:val="y2iqfc"/>
          <w:rFonts w:ascii="Lato" w:eastAsiaTheme="minorEastAsia" w:hAnsi="Lato" w:cstheme="minorHAnsi"/>
          <w:sz w:val="24"/>
          <w:szCs w:val="24"/>
        </w:rPr>
        <w:t xml:space="preserve">Komisji Europejskiej </w:t>
      </w:r>
      <w:r w:rsidRPr="00184653">
        <w:rPr>
          <w:rStyle w:val="y2iqfc"/>
          <w:rFonts w:ascii="Lato" w:eastAsiaTheme="minorEastAsia" w:hAnsi="Lato" w:cstheme="minorHAnsi"/>
          <w:sz w:val="24"/>
          <w:szCs w:val="24"/>
        </w:rPr>
        <w:t xml:space="preserve">ds. Równości LGBTQIA. </w:t>
      </w:r>
      <w:r w:rsidR="00FC009B">
        <w:rPr>
          <w:rStyle w:val="y2iqfc"/>
          <w:rFonts w:ascii="Lato" w:eastAsiaTheme="minorEastAsia" w:hAnsi="Lato" w:cstheme="minorHAnsi"/>
          <w:sz w:val="24"/>
          <w:szCs w:val="24"/>
        </w:rPr>
        <w:t xml:space="preserve">Problematyka </w:t>
      </w:r>
      <w:r w:rsidR="00FC009B">
        <w:rPr>
          <w:rStyle w:val="y2iqfc"/>
          <w:rFonts w:ascii="Lato" w:eastAsiaTheme="minorEastAsia" w:hAnsi="Lato" w:cstheme="minorHAnsi"/>
          <w:sz w:val="24"/>
          <w:szCs w:val="24"/>
        </w:rPr>
        <w:lastRenderedPageBreak/>
        <w:t xml:space="preserve">posiedzenia obejmowała </w:t>
      </w:r>
      <w:r w:rsidRPr="00184653">
        <w:rPr>
          <w:rStyle w:val="y2iqfc"/>
          <w:rFonts w:ascii="Lato" w:eastAsiaTheme="minorEastAsia" w:hAnsi="Lato" w:cstheme="minorHAnsi"/>
          <w:sz w:val="24"/>
          <w:szCs w:val="24"/>
        </w:rPr>
        <w:t>blok</w:t>
      </w:r>
      <w:r w:rsidR="00FC009B">
        <w:rPr>
          <w:rStyle w:val="y2iqfc"/>
          <w:rFonts w:ascii="Lato" w:eastAsiaTheme="minorEastAsia" w:hAnsi="Lato" w:cstheme="minorHAnsi"/>
          <w:sz w:val="24"/>
          <w:szCs w:val="24"/>
        </w:rPr>
        <w:t>i</w:t>
      </w:r>
      <w:r w:rsidRPr="00184653">
        <w:rPr>
          <w:rStyle w:val="y2iqfc"/>
          <w:rFonts w:ascii="Lato" w:eastAsiaTheme="minorEastAsia" w:hAnsi="Lato" w:cstheme="minorHAnsi"/>
          <w:sz w:val="24"/>
          <w:szCs w:val="24"/>
        </w:rPr>
        <w:t xml:space="preserve"> tematyczn</w:t>
      </w:r>
      <w:r w:rsidR="00FC009B">
        <w:rPr>
          <w:rStyle w:val="y2iqfc"/>
          <w:rFonts w:ascii="Lato" w:eastAsiaTheme="minorEastAsia" w:hAnsi="Lato" w:cstheme="minorHAnsi"/>
          <w:sz w:val="24"/>
          <w:szCs w:val="24"/>
        </w:rPr>
        <w:t>e</w:t>
      </w:r>
      <w:r w:rsidRPr="00184653">
        <w:rPr>
          <w:rStyle w:val="y2iqfc"/>
          <w:rFonts w:ascii="Lato" w:eastAsiaTheme="minorEastAsia" w:hAnsi="Lato" w:cstheme="minorHAnsi"/>
          <w:sz w:val="24"/>
          <w:szCs w:val="24"/>
        </w:rPr>
        <w:t xml:space="preserve"> poświęcon</w:t>
      </w:r>
      <w:r w:rsidR="00FC009B">
        <w:rPr>
          <w:rStyle w:val="y2iqfc"/>
          <w:rFonts w:ascii="Lato" w:eastAsiaTheme="minorEastAsia" w:hAnsi="Lato" w:cstheme="minorHAnsi"/>
          <w:sz w:val="24"/>
          <w:szCs w:val="24"/>
        </w:rPr>
        <w:t>e</w:t>
      </w:r>
      <w:r w:rsidRPr="00184653">
        <w:rPr>
          <w:rStyle w:val="y2iqfc"/>
          <w:rFonts w:ascii="Lato" w:eastAsiaTheme="minorEastAsia" w:hAnsi="Lato" w:cstheme="minorHAnsi"/>
          <w:sz w:val="24"/>
          <w:szCs w:val="24"/>
        </w:rPr>
        <w:t>: procedurom prawnego stwierdzenia przynależności do płci innej niż metrykalna w Belgii, Chorwacji i Finlandii, oraz wniosków z badania zleconego przez FRA (Komisję Praw Podstawowych UE)</w:t>
      </w:r>
      <w:r w:rsidR="00FC009B">
        <w:rPr>
          <w:rStyle w:val="y2iqfc"/>
          <w:rFonts w:ascii="Lato" w:eastAsiaTheme="minorEastAsia" w:hAnsi="Lato" w:cstheme="minorHAnsi"/>
          <w:sz w:val="24"/>
          <w:szCs w:val="24"/>
        </w:rPr>
        <w:t>. W</w:t>
      </w:r>
      <w:r w:rsidR="001A2DF9">
        <w:rPr>
          <w:rStyle w:val="y2iqfc"/>
          <w:rFonts w:ascii="Lato" w:eastAsiaTheme="minorEastAsia" w:hAnsi="Lato" w:cstheme="minorHAnsi"/>
          <w:sz w:val="24"/>
          <w:szCs w:val="24"/>
        </w:rPr>
        <w:t> </w:t>
      </w:r>
      <w:r w:rsidR="00FC009B">
        <w:rPr>
          <w:rStyle w:val="y2iqfc"/>
          <w:rFonts w:ascii="Lato" w:eastAsiaTheme="minorEastAsia" w:hAnsi="Lato" w:cstheme="minorHAnsi"/>
          <w:sz w:val="24"/>
          <w:szCs w:val="24"/>
        </w:rPr>
        <w:t>spotkaniu uczestniczyli przedstawiciele</w:t>
      </w:r>
      <w:r w:rsidRPr="00184653">
        <w:rPr>
          <w:rStyle w:val="y2iqfc"/>
          <w:rFonts w:ascii="Lato" w:eastAsiaTheme="minorEastAsia" w:hAnsi="Lato" w:cstheme="minorHAnsi"/>
          <w:sz w:val="24"/>
          <w:szCs w:val="24"/>
        </w:rPr>
        <w:t xml:space="preserve"> organizacji pozarządowych</w:t>
      </w:r>
      <w:r w:rsidR="00FC009B">
        <w:rPr>
          <w:rStyle w:val="y2iqfc"/>
          <w:rFonts w:ascii="Lato" w:eastAsiaTheme="minorEastAsia" w:hAnsi="Lato" w:cstheme="minorHAnsi"/>
          <w:sz w:val="24"/>
          <w:szCs w:val="24"/>
        </w:rPr>
        <w:t>, m</w:t>
      </w:r>
      <w:r w:rsidR="0056055C">
        <w:rPr>
          <w:rStyle w:val="y2iqfc"/>
          <w:rFonts w:ascii="Lato" w:eastAsiaTheme="minorEastAsia" w:hAnsi="Lato" w:cstheme="minorHAnsi"/>
          <w:sz w:val="24"/>
          <w:szCs w:val="24"/>
        </w:rPr>
        <w:t>.</w:t>
      </w:r>
      <w:r w:rsidR="00FC009B">
        <w:rPr>
          <w:rStyle w:val="y2iqfc"/>
          <w:rFonts w:ascii="Lato" w:eastAsiaTheme="minorEastAsia" w:hAnsi="Lato" w:cstheme="minorHAnsi"/>
          <w:sz w:val="24"/>
          <w:szCs w:val="24"/>
        </w:rPr>
        <w:t>in.</w:t>
      </w:r>
      <w:r w:rsidRPr="00184653">
        <w:rPr>
          <w:rStyle w:val="y2iqfc"/>
          <w:rFonts w:ascii="Lato" w:eastAsiaTheme="minorEastAsia" w:hAnsi="Lato" w:cstheme="minorHAnsi"/>
          <w:sz w:val="24"/>
          <w:szCs w:val="24"/>
        </w:rPr>
        <w:t xml:space="preserve"> TGEU (</w:t>
      </w:r>
      <w:proofErr w:type="spellStart"/>
      <w:r w:rsidRPr="00184653">
        <w:rPr>
          <w:rStyle w:val="y2iqfc"/>
          <w:rFonts w:ascii="Lato" w:eastAsiaTheme="minorEastAsia" w:hAnsi="Lato" w:cstheme="minorHAnsi"/>
          <w:sz w:val="24"/>
          <w:szCs w:val="24"/>
        </w:rPr>
        <w:t>Transgender</w:t>
      </w:r>
      <w:proofErr w:type="spellEnd"/>
      <w:r w:rsidRPr="00184653">
        <w:rPr>
          <w:rStyle w:val="y2iqfc"/>
          <w:rFonts w:ascii="Lato" w:eastAsiaTheme="minorEastAsia" w:hAnsi="Lato" w:cstheme="minorHAnsi"/>
          <w:sz w:val="24"/>
          <w:szCs w:val="24"/>
        </w:rPr>
        <w:t xml:space="preserve"> Europe)</w:t>
      </w:r>
      <w:r w:rsidR="00FC009B">
        <w:rPr>
          <w:rStyle w:val="y2iqfc"/>
          <w:rFonts w:ascii="Lato" w:eastAsiaTheme="minorEastAsia" w:hAnsi="Lato" w:cstheme="minorHAnsi"/>
          <w:sz w:val="24"/>
          <w:szCs w:val="24"/>
        </w:rPr>
        <w:t>, którzy poświęcili swoje wystąpienie</w:t>
      </w:r>
      <w:r w:rsidRPr="00184653">
        <w:rPr>
          <w:rStyle w:val="y2iqfc"/>
          <w:rFonts w:ascii="Lato" w:eastAsiaTheme="minorEastAsia" w:hAnsi="Lato" w:cstheme="minorHAnsi"/>
          <w:sz w:val="24"/>
          <w:szCs w:val="24"/>
        </w:rPr>
        <w:t xml:space="preserve"> udział</w:t>
      </w:r>
      <w:r w:rsidR="00FC009B">
        <w:rPr>
          <w:rStyle w:val="y2iqfc"/>
          <w:rFonts w:ascii="Lato" w:eastAsiaTheme="minorEastAsia" w:hAnsi="Lato" w:cstheme="minorHAnsi"/>
          <w:sz w:val="24"/>
          <w:szCs w:val="24"/>
        </w:rPr>
        <w:t>owi</w:t>
      </w:r>
      <w:r w:rsidRPr="00184653">
        <w:rPr>
          <w:rStyle w:val="y2iqfc"/>
          <w:rFonts w:ascii="Lato" w:eastAsiaTheme="minorEastAsia" w:hAnsi="Lato" w:cstheme="minorHAnsi"/>
          <w:sz w:val="24"/>
          <w:szCs w:val="24"/>
        </w:rPr>
        <w:t xml:space="preserve"> osób </w:t>
      </w:r>
      <w:proofErr w:type="spellStart"/>
      <w:r w:rsidRPr="00184653">
        <w:rPr>
          <w:rStyle w:val="y2iqfc"/>
          <w:rFonts w:ascii="Lato" w:eastAsiaTheme="minorEastAsia" w:hAnsi="Lato" w:cstheme="minorHAnsi"/>
          <w:sz w:val="24"/>
          <w:szCs w:val="24"/>
        </w:rPr>
        <w:t>transpłciowych</w:t>
      </w:r>
      <w:proofErr w:type="spellEnd"/>
      <w:r w:rsidRPr="00184653">
        <w:rPr>
          <w:rStyle w:val="y2iqfc"/>
          <w:rFonts w:ascii="Lato" w:eastAsiaTheme="minorEastAsia" w:hAnsi="Lato" w:cstheme="minorHAnsi"/>
          <w:sz w:val="24"/>
          <w:szCs w:val="24"/>
        </w:rPr>
        <w:t xml:space="preserve"> i </w:t>
      </w:r>
      <w:proofErr w:type="spellStart"/>
      <w:r w:rsidRPr="00184653">
        <w:rPr>
          <w:rStyle w:val="y2iqfc"/>
          <w:rFonts w:ascii="Lato" w:eastAsiaTheme="minorEastAsia" w:hAnsi="Lato" w:cstheme="minorHAnsi"/>
          <w:sz w:val="24"/>
          <w:szCs w:val="24"/>
        </w:rPr>
        <w:t>intersex</w:t>
      </w:r>
      <w:proofErr w:type="spellEnd"/>
      <w:r w:rsidRPr="00184653">
        <w:rPr>
          <w:rStyle w:val="y2iqfc"/>
          <w:rFonts w:ascii="Lato" w:eastAsiaTheme="minorEastAsia" w:hAnsi="Lato" w:cstheme="minorHAnsi"/>
          <w:sz w:val="24"/>
          <w:szCs w:val="24"/>
        </w:rPr>
        <w:t xml:space="preserve"> w rynku pracy</w:t>
      </w:r>
      <w:r w:rsidR="00FC009B">
        <w:rPr>
          <w:rStyle w:val="y2iqfc"/>
          <w:rFonts w:ascii="Lato" w:eastAsiaTheme="minorEastAsia" w:hAnsi="Lato" w:cstheme="minorHAnsi"/>
          <w:sz w:val="24"/>
          <w:szCs w:val="24"/>
        </w:rPr>
        <w:t xml:space="preserve">. Komisja zaprezentowała </w:t>
      </w:r>
      <w:r w:rsidRPr="00184653">
        <w:rPr>
          <w:rStyle w:val="y2iqfc"/>
          <w:rFonts w:ascii="Lato" w:eastAsiaTheme="minorEastAsia" w:hAnsi="Lato" w:cstheme="minorHAnsi"/>
          <w:sz w:val="24"/>
          <w:szCs w:val="24"/>
        </w:rPr>
        <w:t>przegląd</w:t>
      </w:r>
      <w:r w:rsidR="00FC009B">
        <w:rPr>
          <w:rStyle w:val="y2iqfc"/>
          <w:rFonts w:ascii="Lato" w:eastAsiaTheme="minorEastAsia" w:hAnsi="Lato" w:cstheme="minorHAnsi"/>
          <w:sz w:val="24"/>
          <w:szCs w:val="24"/>
        </w:rPr>
        <w:t xml:space="preserve"> obowiązującego</w:t>
      </w:r>
      <w:r w:rsidRPr="00184653">
        <w:rPr>
          <w:rStyle w:val="y2iqfc"/>
          <w:rFonts w:ascii="Lato" w:eastAsiaTheme="minorEastAsia" w:hAnsi="Lato" w:cstheme="minorHAnsi"/>
          <w:sz w:val="24"/>
          <w:szCs w:val="24"/>
        </w:rPr>
        <w:t xml:space="preserve"> prawa i orzecznictwa unijnego nt. prawnego uznania płci</w:t>
      </w:r>
      <w:r w:rsidR="00FC009B">
        <w:rPr>
          <w:rStyle w:val="y2iqfc"/>
          <w:rFonts w:ascii="Lato" w:eastAsiaTheme="minorEastAsia" w:hAnsi="Lato" w:cstheme="minorHAnsi"/>
          <w:sz w:val="24"/>
          <w:szCs w:val="24"/>
        </w:rPr>
        <w:t xml:space="preserve">. Najlepszymi praktykami w zakresie równouprawnienia osób </w:t>
      </w:r>
      <w:proofErr w:type="spellStart"/>
      <w:r w:rsidR="00FC009B">
        <w:rPr>
          <w:rStyle w:val="y2iqfc"/>
          <w:rFonts w:ascii="Lato" w:eastAsiaTheme="minorEastAsia" w:hAnsi="Lato" w:cstheme="minorHAnsi"/>
          <w:sz w:val="24"/>
          <w:szCs w:val="24"/>
        </w:rPr>
        <w:t>transpłciowych</w:t>
      </w:r>
      <w:proofErr w:type="spellEnd"/>
      <w:r w:rsidR="00FC009B">
        <w:rPr>
          <w:rStyle w:val="y2iqfc"/>
          <w:rFonts w:ascii="Lato" w:eastAsiaTheme="minorEastAsia" w:hAnsi="Lato" w:cstheme="minorHAnsi"/>
          <w:sz w:val="24"/>
          <w:szCs w:val="24"/>
        </w:rPr>
        <w:t xml:space="preserve"> na rynku pracy podzieliły się delegacja </w:t>
      </w:r>
      <w:r w:rsidRPr="00184653">
        <w:rPr>
          <w:rStyle w:val="y2iqfc"/>
          <w:rFonts w:ascii="Lato" w:eastAsiaTheme="minorEastAsia" w:hAnsi="Lato" w:cstheme="minorHAnsi"/>
          <w:sz w:val="24"/>
          <w:szCs w:val="24"/>
        </w:rPr>
        <w:t>Szwecji</w:t>
      </w:r>
      <w:r w:rsidR="00FC009B">
        <w:rPr>
          <w:rStyle w:val="y2iqfc"/>
          <w:rFonts w:ascii="Lato" w:eastAsiaTheme="minorEastAsia" w:hAnsi="Lato" w:cstheme="minorHAnsi"/>
          <w:sz w:val="24"/>
          <w:szCs w:val="24"/>
        </w:rPr>
        <w:t xml:space="preserve">, </w:t>
      </w:r>
      <w:r w:rsidRPr="00184653">
        <w:rPr>
          <w:rStyle w:val="y2iqfc"/>
          <w:rFonts w:ascii="Lato" w:eastAsiaTheme="minorEastAsia" w:hAnsi="Lato" w:cstheme="minorHAnsi"/>
          <w:sz w:val="24"/>
          <w:szCs w:val="24"/>
        </w:rPr>
        <w:t>zrzeszające ponad 600 organizacji</w:t>
      </w:r>
      <w:r w:rsidR="00FC009B">
        <w:rPr>
          <w:rStyle w:val="y2iqfc"/>
          <w:rFonts w:ascii="Lato" w:eastAsiaTheme="minorEastAsia" w:hAnsi="Lato" w:cstheme="minorHAnsi"/>
          <w:sz w:val="24"/>
          <w:szCs w:val="24"/>
        </w:rPr>
        <w:t xml:space="preserve"> osób LGBT</w:t>
      </w:r>
      <w:r w:rsidRPr="00184653">
        <w:rPr>
          <w:rStyle w:val="y2iqfc"/>
          <w:rFonts w:ascii="Lato" w:eastAsiaTheme="minorEastAsia" w:hAnsi="Lato" w:cstheme="minorHAnsi"/>
          <w:sz w:val="24"/>
          <w:szCs w:val="24"/>
        </w:rPr>
        <w:t xml:space="preserve"> Europejski</w:t>
      </w:r>
      <w:r w:rsidR="00FC009B">
        <w:rPr>
          <w:rStyle w:val="y2iqfc"/>
          <w:rFonts w:ascii="Lato" w:eastAsiaTheme="minorEastAsia" w:hAnsi="Lato" w:cstheme="minorHAnsi"/>
          <w:sz w:val="24"/>
          <w:szCs w:val="24"/>
        </w:rPr>
        <w:t>e</w:t>
      </w:r>
      <w:r w:rsidRPr="00184653">
        <w:rPr>
          <w:rStyle w:val="y2iqfc"/>
          <w:rFonts w:ascii="Lato" w:eastAsiaTheme="minorEastAsia" w:hAnsi="Lato" w:cstheme="minorHAnsi"/>
          <w:sz w:val="24"/>
          <w:szCs w:val="24"/>
        </w:rPr>
        <w:t xml:space="preserve"> Stowarzyszeni</w:t>
      </w:r>
      <w:r w:rsidR="00FC009B">
        <w:rPr>
          <w:rStyle w:val="y2iqfc"/>
          <w:rFonts w:ascii="Lato" w:eastAsiaTheme="minorEastAsia" w:hAnsi="Lato" w:cstheme="minorHAnsi"/>
          <w:sz w:val="24"/>
          <w:szCs w:val="24"/>
        </w:rPr>
        <w:t>e</w:t>
      </w:r>
      <w:r w:rsidRPr="00184653">
        <w:rPr>
          <w:rStyle w:val="y2iqfc"/>
          <w:rFonts w:ascii="Lato" w:eastAsiaTheme="minorEastAsia" w:hAnsi="Lato" w:cstheme="minorHAnsi"/>
          <w:sz w:val="24"/>
          <w:szCs w:val="24"/>
        </w:rPr>
        <w:t xml:space="preserve"> Gejów i Lesbijek (ILGA-Europe) oraz koncern Unilever.</w:t>
      </w:r>
    </w:p>
    <w:p w14:paraId="1DC54391" w14:textId="77777777" w:rsidR="00184653" w:rsidRPr="00313DBD" w:rsidRDefault="00184653" w:rsidP="00034A29">
      <w:pPr>
        <w:pStyle w:val="Nagwek1"/>
      </w:pPr>
      <w:bookmarkStart w:id="56" w:name="_Toc127958207"/>
      <w:bookmarkStart w:id="57" w:name="_Toc128750789"/>
      <w:r w:rsidRPr="00313DBD">
        <w:t>PROMOWANIE, UPOWSZECHNIANIE I PROPAGOWANIE PROBLEMATYKI RÓWNEGO TRAKTOWANIA</w:t>
      </w:r>
      <w:bookmarkEnd w:id="56"/>
      <w:bookmarkEnd w:id="57"/>
    </w:p>
    <w:p w14:paraId="33BDCA53" w14:textId="08D1FF60" w:rsidR="00184653" w:rsidRPr="00313DBD" w:rsidRDefault="00184653" w:rsidP="00034A29">
      <w:pPr>
        <w:pStyle w:val="Nagwek2"/>
      </w:pPr>
      <w:bookmarkStart w:id="58" w:name="_Toc127958208"/>
      <w:bookmarkStart w:id="59" w:name="_Toc128750790"/>
      <w:r w:rsidRPr="00313DBD">
        <w:t>Projekty realizowane przez Pełnomocnika Rządu do Spraw Równego Traktowania</w:t>
      </w:r>
      <w:bookmarkEnd w:id="58"/>
      <w:bookmarkEnd w:id="59"/>
      <w:r w:rsidRPr="00313DBD">
        <w:t xml:space="preserve"> </w:t>
      </w:r>
    </w:p>
    <w:p w14:paraId="130791EB" w14:textId="427E433D" w:rsidR="00184653" w:rsidRPr="00456FC5" w:rsidRDefault="00184653" w:rsidP="00313DBD">
      <w:pPr>
        <w:pStyle w:val="Nagwek3"/>
        <w:rPr>
          <w:rStyle w:val="markedcontent"/>
        </w:rPr>
      </w:pPr>
      <w:bookmarkStart w:id="60" w:name="_Toc127958209"/>
      <w:bookmarkStart w:id="61" w:name="_Toc128750791"/>
      <w:r w:rsidRPr="00313DBD">
        <w:rPr>
          <w:rStyle w:val="markedcontent"/>
        </w:rPr>
        <w:t>Realizacja projektu pt. „Opracowanie i wdrożenie spójnego systemu</w:t>
      </w:r>
      <w:r w:rsidRPr="00313DBD">
        <w:t xml:space="preserve"> </w:t>
      </w:r>
      <w:r w:rsidRPr="00313DBD">
        <w:rPr>
          <w:rStyle w:val="markedcontent"/>
        </w:rPr>
        <w:t>monitorowania równości szans płci oraz modelu współpracy międzysektorowej na rzecz równości szans płci”</w:t>
      </w:r>
      <w:bookmarkEnd w:id="60"/>
      <w:bookmarkEnd w:id="61"/>
    </w:p>
    <w:p w14:paraId="406BF275" w14:textId="77777777" w:rsidR="00B17F9D" w:rsidRDefault="00AF1C08" w:rsidP="00AF1C08">
      <w:r>
        <w:t xml:space="preserve">W 2022 r. w ramach realizowanego projektu systemowego pn. „Opracowanie i upowszechnianie modelu współpracy międzysektorowej na rzecz równości szans płci oraz podniesienie kompetencji kadry instytucji publicznych w zakresie równości szans płci” współfinansowanego  przez Unię Europejską ze środków Europejskiego Funduszu Społecznego, Programu Operacyjnego Wiedza Edukacja Rozwój 2014–2020, Osi Priorytetowej II Efektywne polityki publiczne dla rynku pracy, gospodarki i edukacji, Działania 2.1 Równość szans mężczyzn i kobiet we wszystkich dziedzinach, w tym w dostępie do zatrudnienia, rozwoju kariery, godzenia życia zawodowego i prywatnego, procedowano zmiany w celu aktualizacji i dostosowania zakresu zadań projektowych do aktualnej sytuacji i potrzeb odbiorców wsparcia. </w:t>
      </w:r>
    </w:p>
    <w:p w14:paraId="519F2B5A" w14:textId="7E313284" w:rsidR="00184653" w:rsidRPr="00CD308A" w:rsidRDefault="00184653" w:rsidP="00AF1C08">
      <w:r w:rsidRPr="00CD308A">
        <w:t xml:space="preserve">Celem głównym projektu jest: </w:t>
      </w:r>
    </w:p>
    <w:p w14:paraId="624F00FF" w14:textId="77777777" w:rsidR="00184653" w:rsidRPr="00CD308A" w:rsidRDefault="00184653" w:rsidP="00464DE6">
      <w:pPr>
        <w:pStyle w:val="Akapitzlist"/>
        <w:numPr>
          <w:ilvl w:val="0"/>
          <w:numId w:val="1"/>
        </w:numPr>
      </w:pPr>
      <w:r w:rsidRPr="00CD308A">
        <w:t xml:space="preserve">ustanowienie systemu współpracy na rzecz horyzontalnego wdrażania polityki równego traktowania ze względu na płeć w podmiotach administracji rządowej </w:t>
      </w:r>
      <w:r w:rsidRPr="00CD308A">
        <w:br/>
        <w:t xml:space="preserve">na poziomie województw na terenie całego kraju, </w:t>
      </w:r>
    </w:p>
    <w:p w14:paraId="0BE626A8" w14:textId="1D1924D3" w:rsidR="00184653" w:rsidRPr="00CD308A" w:rsidRDefault="00184653" w:rsidP="00464DE6">
      <w:pPr>
        <w:pStyle w:val="Akapitzlist"/>
        <w:numPr>
          <w:ilvl w:val="0"/>
          <w:numId w:val="1"/>
        </w:numPr>
      </w:pPr>
      <w:r w:rsidRPr="00CD308A">
        <w:t>opracowanie i upowszechnienie modelu współpracy międzysektorowej, który realnie przyczyni się do podniesienia standardów realizacji działań na rzecz równości szans</w:t>
      </w:r>
      <w:r w:rsidR="00D8501B">
        <w:t xml:space="preserve"> </w:t>
      </w:r>
      <w:r w:rsidRPr="00CD308A">
        <w:t xml:space="preserve">i przeciwdziałania dyskryminacji. </w:t>
      </w:r>
    </w:p>
    <w:p w14:paraId="1765C3B7" w14:textId="6C2B115B" w:rsidR="00184653" w:rsidRPr="00CD308A" w:rsidRDefault="00184653" w:rsidP="00184653">
      <w:r w:rsidRPr="00CD308A">
        <w:lastRenderedPageBreak/>
        <w:t>Projekt skierowany jest do Pełnomocników do Spraw Równego Traktowania powołanych przez wojewodów (zwanych dalej „Wojewódzkimi Pełnomocnikami”) oraz Koordynatorów</w:t>
      </w:r>
      <w:r w:rsidR="00D8501B">
        <w:t xml:space="preserve"> </w:t>
      </w:r>
      <w:r w:rsidRPr="00CD308A">
        <w:t>do Spraw Równego Traktowania (zwanych dalej „Koordynatorami”) z</w:t>
      </w:r>
      <w:r w:rsidR="001136A8">
        <w:t> </w:t>
      </w:r>
      <w:r w:rsidRPr="00CD308A">
        <w:t>ministerstw i wybranych urzędów centralnych, stanowiąc odpowiedź na wcześniejsze postulaty zgłaszane Pełnomocnikowi bezpośrednio przez ww. grupy. Projektem objęte są wszystkie urzędy wojewódzkie (16) oraz 18 urzędów centralnych, tj. ministerstwa, Kancelaria Prezesa Rady Ministrów oraz Główny Urząd Statystyczny.</w:t>
      </w:r>
    </w:p>
    <w:p w14:paraId="3611FE4D" w14:textId="77777777" w:rsidR="00184653" w:rsidRPr="00CD308A" w:rsidRDefault="00184653" w:rsidP="00034A29">
      <w:pPr>
        <w:pStyle w:val="Nagwek2"/>
        <w:rPr>
          <w:rStyle w:val="markedcontent"/>
          <w:b w:val="0"/>
        </w:rPr>
      </w:pPr>
      <w:bookmarkStart w:id="62" w:name="_Toc127958210"/>
      <w:bookmarkStart w:id="63" w:name="_Toc128750792"/>
      <w:r w:rsidRPr="00CD308A">
        <w:rPr>
          <w:rStyle w:val="markedcontent"/>
        </w:rPr>
        <w:t>Realizacja projektu pt. „</w:t>
      </w:r>
      <w:r w:rsidRPr="00CD308A">
        <w:t>Dobry klimat dla miejsc pracy dobrej jakości</w:t>
      </w:r>
      <w:r w:rsidRPr="00CD308A">
        <w:rPr>
          <w:rStyle w:val="markedcontent"/>
        </w:rPr>
        <w:t>”</w:t>
      </w:r>
      <w:bookmarkEnd w:id="62"/>
      <w:bookmarkEnd w:id="63"/>
    </w:p>
    <w:p w14:paraId="6B559A00" w14:textId="67F4B09A" w:rsidR="00184653" w:rsidRPr="00CD308A" w:rsidRDefault="00184653" w:rsidP="00184653">
      <w:r w:rsidRPr="00CD308A">
        <w:t xml:space="preserve">W 2022 r. Biuro Pełnomocnika </w:t>
      </w:r>
      <w:r w:rsidR="00D8501B">
        <w:t>pozostawało podmiotem odpowiedzialnym za</w:t>
      </w:r>
      <w:r w:rsidRPr="00CD308A">
        <w:t xml:space="preserve"> realizacj</w:t>
      </w:r>
      <w:r w:rsidR="00D8501B">
        <w:t>ę</w:t>
      </w:r>
      <w:r w:rsidRPr="00CD308A">
        <w:t xml:space="preserve"> projektu</w:t>
      </w:r>
      <w:r w:rsidR="00D8501B">
        <w:t>, jednak ze względu na ograniczenia związane z pandemią COVID-19 oraz dużą rotację pracowników zaangażowanych w projekt nie udało się osiągnąć znaczących postępów</w:t>
      </w:r>
      <w:r w:rsidRPr="00CD308A">
        <w:t xml:space="preserve">.  </w:t>
      </w:r>
    </w:p>
    <w:p w14:paraId="4E01DD86" w14:textId="77777777" w:rsidR="00184653" w:rsidRPr="00CD308A" w:rsidRDefault="00184653" w:rsidP="00184653">
      <w:r w:rsidRPr="00CD308A">
        <w:t xml:space="preserve">Celem głównym projektu było stworzenie klimatu sprzyjającego kreowaniu dobrej jakości miejsc pracy. Tworzenie dobrej jakości miejsc pracy, obejmujące przede wszystkim zastosowanie mechanizmów umożliwiających godzenie życia zawodowego z rodzinnym oraz transparentnej polityki płacowej, jest odpowiedzią na zachodzące na polskim rynku pracy przemiany i wynikające z nich potrzeby.  </w:t>
      </w:r>
    </w:p>
    <w:p w14:paraId="50FD5F18" w14:textId="77777777" w:rsidR="0056055C" w:rsidRDefault="00184653" w:rsidP="00184653">
      <w:r w:rsidRPr="00CD308A">
        <w:t xml:space="preserve">Cele szczegółowe projektu: </w:t>
      </w:r>
    </w:p>
    <w:p w14:paraId="389C2A55" w14:textId="2017ED75" w:rsidR="00184653" w:rsidRPr="00CD308A" w:rsidRDefault="00184653" w:rsidP="00BE1631">
      <w:pPr>
        <w:pStyle w:val="Akapitzlist"/>
        <w:numPr>
          <w:ilvl w:val="0"/>
          <w:numId w:val="2"/>
        </w:numPr>
      </w:pPr>
      <w:r w:rsidRPr="00CD308A">
        <w:t>dostosowanie platformy internetowej dla pracodawców i pracowników, pomagającej we wdrażaniu mechanizmów ułatwiających rodzicom/opiekunom godzenie ról zawodowych i rodzinnych/prywatnych,</w:t>
      </w:r>
    </w:p>
    <w:p w14:paraId="5A10D1C0" w14:textId="77777777" w:rsidR="00184653" w:rsidRPr="00CD308A" w:rsidRDefault="00184653" w:rsidP="00464DE6">
      <w:pPr>
        <w:pStyle w:val="Akapitzlist"/>
        <w:numPr>
          <w:ilvl w:val="0"/>
          <w:numId w:val="2"/>
        </w:numPr>
      </w:pPr>
      <w:r w:rsidRPr="00CD308A">
        <w:t>dostosowanie narzędzia dla pracodawców, pomagającego w ocenie występowania luki płacowej w firmie,</w:t>
      </w:r>
    </w:p>
    <w:p w14:paraId="524B888B" w14:textId="77777777" w:rsidR="00184653" w:rsidRPr="00CD308A" w:rsidRDefault="00184653" w:rsidP="00464DE6">
      <w:pPr>
        <w:pStyle w:val="Akapitzlist"/>
        <w:numPr>
          <w:ilvl w:val="0"/>
          <w:numId w:val="2"/>
        </w:numPr>
      </w:pPr>
      <w:r w:rsidRPr="00CD308A">
        <w:t>zwiększenie wiedzy i świadomości pracodawców i pracowników na temat dobrej jakości miejsc pracy, w tym możliwości zastosowania mechanizmów godzenia ról w firmach oraz transparentnej polityki płacowej,</w:t>
      </w:r>
    </w:p>
    <w:p w14:paraId="36C21583" w14:textId="77777777" w:rsidR="00184653" w:rsidRPr="00CD308A" w:rsidRDefault="00184653" w:rsidP="00464DE6">
      <w:pPr>
        <w:pStyle w:val="Akapitzlist"/>
        <w:numPr>
          <w:ilvl w:val="0"/>
          <w:numId w:val="2"/>
        </w:numPr>
      </w:pPr>
      <w:r w:rsidRPr="00CD308A">
        <w:t>zwiększenie liczby firm stosujących mechanizmy godzenia ról, ze szczególnym uwzględnieniem elastycznych form zatrudnienia i miejsca pracy,</w:t>
      </w:r>
    </w:p>
    <w:p w14:paraId="4EC01456" w14:textId="77777777" w:rsidR="00184653" w:rsidRPr="00CD308A" w:rsidRDefault="00184653" w:rsidP="00464DE6">
      <w:pPr>
        <w:pStyle w:val="Akapitzlist"/>
        <w:numPr>
          <w:ilvl w:val="0"/>
          <w:numId w:val="2"/>
        </w:numPr>
      </w:pPr>
      <w:r w:rsidRPr="00CD308A">
        <w:t>zwiększenie liczby firm kreujących niedyskryminujące polityki płacowe,</w:t>
      </w:r>
    </w:p>
    <w:p w14:paraId="39D9079A" w14:textId="77777777" w:rsidR="00184653" w:rsidRPr="00CD308A" w:rsidRDefault="00184653" w:rsidP="00464DE6">
      <w:pPr>
        <w:pStyle w:val="Akapitzlist"/>
        <w:numPr>
          <w:ilvl w:val="0"/>
          <w:numId w:val="2"/>
        </w:numPr>
      </w:pPr>
      <w:r w:rsidRPr="00CD308A">
        <w:t>zacieśnienie współpracy polsko-norweskiej w obszarze kreowania dobrej jakości miejsc pracy,</w:t>
      </w:r>
    </w:p>
    <w:p w14:paraId="5605690C" w14:textId="77777777" w:rsidR="00184653" w:rsidRPr="00CD308A" w:rsidRDefault="00184653" w:rsidP="00464DE6">
      <w:pPr>
        <w:pStyle w:val="Akapitzlist"/>
        <w:numPr>
          <w:ilvl w:val="0"/>
          <w:numId w:val="2"/>
        </w:numPr>
      </w:pPr>
      <w:r w:rsidRPr="00CD308A">
        <w:t>zacieśnienie współpracy z partnerami społecznymi w obszarze tworzenia miejsc pracy dobrej jakości.</w:t>
      </w:r>
    </w:p>
    <w:p w14:paraId="289BE3DA" w14:textId="77777777" w:rsidR="00184653" w:rsidRPr="00CD308A" w:rsidRDefault="00184653" w:rsidP="00184653">
      <w:pPr>
        <w:pStyle w:val="Akapitzlist"/>
      </w:pPr>
    </w:p>
    <w:p w14:paraId="7F80EAA6" w14:textId="77777777" w:rsidR="00184653" w:rsidRPr="00CD308A" w:rsidRDefault="00184653" w:rsidP="00034A29">
      <w:pPr>
        <w:pStyle w:val="Nagwek2"/>
      </w:pPr>
      <w:bookmarkStart w:id="64" w:name="_Toc128750793"/>
      <w:bookmarkStart w:id="65" w:name="_Toc127958211"/>
      <w:r w:rsidRPr="00CD308A">
        <w:lastRenderedPageBreak/>
        <w:t>Przygotowania do realizacji dwóch projektów w ramach Funduszu Europejskiego dla Rozwoju Społecznego</w:t>
      </w:r>
      <w:bookmarkEnd w:id="64"/>
      <w:r w:rsidRPr="00CD308A">
        <w:t xml:space="preserve"> </w:t>
      </w:r>
      <w:bookmarkEnd w:id="65"/>
    </w:p>
    <w:p w14:paraId="0FB6D4F3" w14:textId="4703B160" w:rsidR="00184653" w:rsidRPr="00CD308A" w:rsidRDefault="006452FA" w:rsidP="00184653">
      <w:pPr>
        <w:rPr>
          <w:rFonts w:cstheme="minorHAnsi"/>
        </w:rPr>
      </w:pPr>
      <w:hyperlink r:id="rId11" w:tgtFrame="_blank" w:history="1">
        <w:r w:rsidR="00184653" w:rsidRPr="00CD308A">
          <w:rPr>
            <w:rFonts w:cstheme="minorHAnsi"/>
          </w:rPr>
          <w:t>Fundusze Europejskie dla Rozwoju Społecznego 2021–2027</w:t>
        </w:r>
      </w:hyperlink>
      <w:r w:rsidR="00184653" w:rsidRPr="00CD308A">
        <w:rPr>
          <w:rFonts w:cstheme="minorHAnsi"/>
        </w:rPr>
        <w:t xml:space="preserve"> (zwane dalej „FERS”) to</w:t>
      </w:r>
      <w:r w:rsidR="00AF1C08">
        <w:rPr>
          <w:rFonts w:cstheme="minorHAnsi"/>
        </w:rPr>
        <w:t> </w:t>
      </w:r>
      <w:r w:rsidR="00184653" w:rsidRPr="00CD308A">
        <w:rPr>
          <w:rFonts w:cstheme="minorHAnsi"/>
        </w:rPr>
        <w:t>kolejny etap do rozwoju społecznego i gospodarczego kraju. Program stanowi kontynuację Programu Operacyjnego Wiedza Edukacja Rozwój 2014–2020 i</w:t>
      </w:r>
      <w:r w:rsidR="00AF1C08">
        <w:rPr>
          <w:rFonts w:cstheme="minorHAnsi"/>
        </w:rPr>
        <w:t> </w:t>
      </w:r>
      <w:r w:rsidR="00184653" w:rsidRPr="00CD308A">
        <w:rPr>
          <w:rFonts w:cstheme="minorHAnsi"/>
        </w:rPr>
        <w:t xml:space="preserve">realizowany będzie w ramach </w:t>
      </w:r>
      <w:hyperlink r:id="rId12" w:tgtFrame="_blank" w:history="1">
        <w:r w:rsidR="00184653" w:rsidRPr="00CD308A">
          <w:rPr>
            <w:rFonts w:cstheme="minorHAnsi"/>
          </w:rPr>
          <w:t>nowej perspektywy finansowej Fundusze Europejskie 2021–2027</w:t>
        </w:r>
      </w:hyperlink>
      <w:r w:rsidR="00AF1C08">
        <w:rPr>
          <w:rFonts w:cstheme="minorHAnsi"/>
        </w:rPr>
        <w:t xml:space="preserve">. </w:t>
      </w:r>
    </w:p>
    <w:p w14:paraId="74141E74" w14:textId="77777777" w:rsidR="00184653" w:rsidRPr="00CD308A" w:rsidRDefault="00184653" w:rsidP="00184653">
      <w:r w:rsidRPr="00CD308A">
        <w:t>FERS będzie oferował wsparcie m.in. na rzecz poprawy sytuacji osób na rynku pracy, zwiększenia dostępności dla osób ze szczególnymi potrzebami, zapewnienia opieki nad dziećmi, podnoszenia jakości edukacji i rozwoju kompetencji, integracji społecznej, rozwoju usług społecznych i ekonomii społecznej oraz ochrony zdrowia.</w:t>
      </w:r>
    </w:p>
    <w:p w14:paraId="42E1407A" w14:textId="77777777" w:rsidR="00184653" w:rsidRPr="00CD308A" w:rsidRDefault="00184653" w:rsidP="00184653">
      <w:r w:rsidRPr="00CD308A">
        <w:t>Do głównych celów realizowanych przez FERS należą:</w:t>
      </w:r>
    </w:p>
    <w:p w14:paraId="5673575E" w14:textId="77777777" w:rsidR="00184653" w:rsidRPr="00CD308A" w:rsidRDefault="00184653" w:rsidP="00464DE6">
      <w:pPr>
        <w:pStyle w:val="Akapitzlist"/>
        <w:numPr>
          <w:ilvl w:val="0"/>
          <w:numId w:val="3"/>
        </w:numPr>
      </w:pPr>
      <w:r w:rsidRPr="00CD308A">
        <w:t>wzmocnienie systemu ochrony zdrowia i edukacji,</w:t>
      </w:r>
    </w:p>
    <w:p w14:paraId="21EBA331" w14:textId="77777777" w:rsidR="00184653" w:rsidRPr="00CD308A" w:rsidRDefault="00184653" w:rsidP="00464DE6">
      <w:pPr>
        <w:pStyle w:val="Akapitzlist"/>
        <w:numPr>
          <w:ilvl w:val="0"/>
          <w:numId w:val="3"/>
        </w:numPr>
      </w:pPr>
      <w:r w:rsidRPr="00CD308A">
        <w:t>kształcenie kadr dla gospodarki,</w:t>
      </w:r>
    </w:p>
    <w:p w14:paraId="67E053CF" w14:textId="77777777" w:rsidR="00184653" w:rsidRPr="00CD308A" w:rsidRDefault="00184653" w:rsidP="00464DE6">
      <w:pPr>
        <w:pStyle w:val="Akapitzlist"/>
        <w:numPr>
          <w:ilvl w:val="0"/>
          <w:numId w:val="3"/>
        </w:numPr>
      </w:pPr>
      <w:r w:rsidRPr="00CD308A">
        <w:t>zwiększenie jakości usług świadczonych przez publiczne służby zatrudnienia,</w:t>
      </w:r>
    </w:p>
    <w:p w14:paraId="23FC1134" w14:textId="77777777" w:rsidR="00184653" w:rsidRPr="00CD308A" w:rsidRDefault="00184653" w:rsidP="00464DE6">
      <w:pPr>
        <w:pStyle w:val="Akapitzlist"/>
        <w:numPr>
          <w:ilvl w:val="0"/>
          <w:numId w:val="3"/>
        </w:numPr>
      </w:pPr>
      <w:r w:rsidRPr="00CD308A">
        <w:t>wsparcie realizacji polityki społecznej w obszarach integracji społecznej, usług społecznych i ekonomii społecznej,</w:t>
      </w:r>
    </w:p>
    <w:p w14:paraId="182CCC0A" w14:textId="77777777" w:rsidR="00184653" w:rsidRPr="00CD308A" w:rsidRDefault="00184653" w:rsidP="00464DE6">
      <w:pPr>
        <w:pStyle w:val="Akapitzlist"/>
        <w:numPr>
          <w:ilvl w:val="0"/>
          <w:numId w:val="3"/>
        </w:numPr>
      </w:pPr>
      <w:r w:rsidRPr="00CD308A">
        <w:t>poprawa sytuacji zawodowej i społecznej osób z niepełnosprawnościami,</w:t>
      </w:r>
    </w:p>
    <w:p w14:paraId="099C4E70" w14:textId="77777777" w:rsidR="00184653" w:rsidRPr="00CD308A" w:rsidRDefault="00184653" w:rsidP="00464DE6">
      <w:pPr>
        <w:pStyle w:val="Akapitzlist"/>
        <w:numPr>
          <w:ilvl w:val="0"/>
          <w:numId w:val="3"/>
        </w:numPr>
      </w:pPr>
      <w:r w:rsidRPr="00CD308A">
        <w:t>zwiększenie dostępu do opieki nad najmłodszymi dziećmi,</w:t>
      </w:r>
    </w:p>
    <w:p w14:paraId="4C79D802" w14:textId="77777777" w:rsidR="00184653" w:rsidRPr="00CD308A" w:rsidRDefault="00184653" w:rsidP="00464DE6">
      <w:pPr>
        <w:pStyle w:val="Akapitzlist"/>
        <w:numPr>
          <w:ilvl w:val="0"/>
          <w:numId w:val="3"/>
        </w:numPr>
      </w:pPr>
      <w:r w:rsidRPr="00CD308A">
        <w:t>poprawa dostępności do usług publicznych,</w:t>
      </w:r>
    </w:p>
    <w:p w14:paraId="79609CD7" w14:textId="77777777" w:rsidR="00184653" w:rsidRPr="00CD308A" w:rsidRDefault="00184653" w:rsidP="00464DE6">
      <w:pPr>
        <w:pStyle w:val="Akapitzlist"/>
        <w:numPr>
          <w:ilvl w:val="0"/>
          <w:numId w:val="3"/>
        </w:numPr>
      </w:pPr>
      <w:r w:rsidRPr="00CD308A">
        <w:t>zwiększenie wykorzystania innowacji społecznych, w tym w zakresie świadczenia usług publicznych,</w:t>
      </w:r>
    </w:p>
    <w:p w14:paraId="0A6DD553" w14:textId="77777777" w:rsidR="00184653" w:rsidRPr="00CD308A" w:rsidRDefault="00184653" w:rsidP="00464DE6">
      <w:pPr>
        <w:pStyle w:val="Akapitzlist"/>
        <w:numPr>
          <w:ilvl w:val="0"/>
          <w:numId w:val="3"/>
        </w:numPr>
      </w:pPr>
      <w:r w:rsidRPr="00CD308A">
        <w:t>rozwój dialogu społecznego i obywatelskiego. </w:t>
      </w:r>
    </w:p>
    <w:p w14:paraId="329D9650" w14:textId="77777777" w:rsidR="00184653" w:rsidRPr="00CD308A" w:rsidRDefault="00184653" w:rsidP="00184653">
      <w:r w:rsidRPr="00CD308A">
        <w:t>Wsparcie z programu FERS kierowane jest przede wszystkim do:</w:t>
      </w:r>
    </w:p>
    <w:p w14:paraId="629C47A3" w14:textId="77777777" w:rsidR="00184653" w:rsidRPr="00CD308A" w:rsidRDefault="00184653" w:rsidP="00464DE6">
      <w:pPr>
        <w:pStyle w:val="Akapitzlist"/>
        <w:numPr>
          <w:ilvl w:val="0"/>
          <w:numId w:val="4"/>
        </w:numPr>
      </w:pPr>
      <w:r w:rsidRPr="00CD308A">
        <w:t>jednostek samorządu terytorialnego,</w:t>
      </w:r>
    </w:p>
    <w:p w14:paraId="20752A7C" w14:textId="77777777" w:rsidR="00184653" w:rsidRPr="00CD308A" w:rsidRDefault="00184653" w:rsidP="00464DE6">
      <w:pPr>
        <w:pStyle w:val="Akapitzlist"/>
        <w:numPr>
          <w:ilvl w:val="0"/>
          <w:numId w:val="4"/>
        </w:numPr>
      </w:pPr>
      <w:r w:rsidRPr="00CD308A">
        <w:t>administracji rządowej,</w:t>
      </w:r>
    </w:p>
    <w:p w14:paraId="49EB8A99" w14:textId="77777777" w:rsidR="00184653" w:rsidRPr="00CD308A" w:rsidRDefault="00184653" w:rsidP="00464DE6">
      <w:pPr>
        <w:pStyle w:val="Akapitzlist"/>
        <w:numPr>
          <w:ilvl w:val="0"/>
          <w:numId w:val="4"/>
        </w:numPr>
      </w:pPr>
      <w:r w:rsidRPr="00CD308A">
        <w:t>organizacji pozarządowych,</w:t>
      </w:r>
    </w:p>
    <w:p w14:paraId="6C30E838" w14:textId="77777777" w:rsidR="00184653" w:rsidRPr="00CD308A" w:rsidRDefault="00184653" w:rsidP="00464DE6">
      <w:pPr>
        <w:pStyle w:val="Akapitzlist"/>
        <w:numPr>
          <w:ilvl w:val="0"/>
          <w:numId w:val="4"/>
        </w:numPr>
      </w:pPr>
      <w:r w:rsidRPr="00CD308A">
        <w:t>przedsiębiorców,</w:t>
      </w:r>
    </w:p>
    <w:p w14:paraId="2B49A7FA" w14:textId="77777777" w:rsidR="00184653" w:rsidRPr="00CD308A" w:rsidRDefault="00184653" w:rsidP="00464DE6">
      <w:pPr>
        <w:pStyle w:val="Akapitzlist"/>
        <w:numPr>
          <w:ilvl w:val="0"/>
          <w:numId w:val="4"/>
        </w:numPr>
      </w:pPr>
      <w:r w:rsidRPr="00CD308A">
        <w:t>partnerów społecznych,</w:t>
      </w:r>
    </w:p>
    <w:p w14:paraId="43BDF092" w14:textId="77777777" w:rsidR="00184653" w:rsidRPr="00CD308A" w:rsidRDefault="00184653" w:rsidP="00464DE6">
      <w:pPr>
        <w:pStyle w:val="Akapitzlist"/>
        <w:numPr>
          <w:ilvl w:val="0"/>
          <w:numId w:val="4"/>
        </w:numPr>
      </w:pPr>
      <w:r w:rsidRPr="00CD308A">
        <w:t>uczelni,</w:t>
      </w:r>
    </w:p>
    <w:p w14:paraId="68C2E734" w14:textId="77777777" w:rsidR="00184653" w:rsidRPr="00CD308A" w:rsidRDefault="00184653" w:rsidP="00464DE6">
      <w:pPr>
        <w:pStyle w:val="Akapitzlist"/>
        <w:numPr>
          <w:ilvl w:val="0"/>
          <w:numId w:val="4"/>
        </w:numPr>
      </w:pPr>
      <w:r w:rsidRPr="00CD308A">
        <w:t>jednostek naukowych,</w:t>
      </w:r>
    </w:p>
    <w:p w14:paraId="182CB1C0" w14:textId="77777777" w:rsidR="00184653" w:rsidRPr="00CD308A" w:rsidRDefault="00184653" w:rsidP="00464DE6">
      <w:pPr>
        <w:pStyle w:val="Akapitzlist"/>
        <w:numPr>
          <w:ilvl w:val="0"/>
          <w:numId w:val="4"/>
        </w:numPr>
      </w:pPr>
      <w:r w:rsidRPr="00CD308A">
        <w:t>placówek i podmiotów systemu opieki zdrowotnej,</w:t>
      </w:r>
    </w:p>
    <w:p w14:paraId="05ABCFE5" w14:textId="77777777" w:rsidR="00184653" w:rsidRPr="00CD308A" w:rsidRDefault="00184653" w:rsidP="00464DE6">
      <w:pPr>
        <w:pStyle w:val="Akapitzlist"/>
        <w:numPr>
          <w:ilvl w:val="0"/>
          <w:numId w:val="4"/>
        </w:numPr>
      </w:pPr>
      <w:r w:rsidRPr="00CD308A">
        <w:t>osób z niepełnosprawnościami oraz ich rodzin,</w:t>
      </w:r>
    </w:p>
    <w:p w14:paraId="2B534010" w14:textId="77777777" w:rsidR="00184653" w:rsidRPr="00CD308A" w:rsidRDefault="00184653" w:rsidP="00464DE6">
      <w:pPr>
        <w:pStyle w:val="Akapitzlist"/>
        <w:numPr>
          <w:ilvl w:val="0"/>
          <w:numId w:val="4"/>
        </w:numPr>
      </w:pPr>
      <w:r w:rsidRPr="00CD308A">
        <w:t>rodziców dzieci do 3 lat.</w:t>
      </w:r>
    </w:p>
    <w:p w14:paraId="33CD5E4F" w14:textId="6E2B7EF5" w:rsidR="00184653" w:rsidRPr="00CD308A" w:rsidRDefault="00184653" w:rsidP="00184653">
      <w:r w:rsidRPr="00CD308A">
        <w:lastRenderedPageBreak/>
        <w:t xml:space="preserve">Biuro Pełnomocnika w 2022 r. aktywnie uczestniczyło w projektowaniu programu FERS. </w:t>
      </w:r>
      <w:r w:rsidRPr="00CD308A">
        <w:br/>
        <w:t>W ramach swojej właściwości Biuro Pełnomocnika opracowało założenia merytoryczne</w:t>
      </w:r>
      <w:r w:rsidRPr="00CD308A">
        <w:br/>
        <w:t>do dwóch projektów, których celem głównym jest wspieranie zrównoważonego</w:t>
      </w:r>
      <w:r w:rsidRPr="00CD308A">
        <w:br/>
        <w:t xml:space="preserve">pod względem płci uczestnictwa w rynku pracy, równych warunków pracy oraz lepszej równowagi między życiem zawodowym a prywatnym, w tym poprzez dostęp </w:t>
      </w:r>
      <w:r w:rsidR="00FB38EB">
        <w:br/>
      </w:r>
      <w:r w:rsidRPr="00CD308A">
        <w:t xml:space="preserve">do przystępnej cenowo opieki nad dziećmi i osobami wymagającymi wsparcia </w:t>
      </w:r>
      <w:r w:rsidR="00FB38EB">
        <w:br/>
      </w:r>
      <w:r w:rsidRPr="00CD308A">
        <w:t>w codziennym funkcjonowaniu.</w:t>
      </w:r>
    </w:p>
    <w:p w14:paraId="68A7D4E3" w14:textId="666E43B8" w:rsidR="00184653" w:rsidRPr="00CD308A" w:rsidRDefault="00184653" w:rsidP="00184653">
      <w:pPr>
        <w:rPr>
          <w:rFonts w:eastAsia="Times New Roman"/>
          <w:lang w:eastAsia="pl-PL"/>
        </w:rPr>
      </w:pPr>
      <w:r w:rsidRPr="00CD308A">
        <w:rPr>
          <w:color w:val="000000" w:themeColor="text1"/>
        </w:rPr>
        <w:t xml:space="preserve">Projekty, które będą realizowane </w:t>
      </w:r>
      <w:r w:rsidRPr="00CD308A">
        <w:rPr>
          <w:rFonts w:eastAsia="Times New Roman"/>
          <w:lang w:eastAsia="pl-PL"/>
        </w:rPr>
        <w:t>w ramach FERS przez Biuro Pełnomocnika</w:t>
      </w:r>
      <w:r w:rsidR="0056055C">
        <w:rPr>
          <w:rFonts w:eastAsia="Times New Roman"/>
          <w:lang w:eastAsia="pl-PL"/>
        </w:rPr>
        <w:t>,</w:t>
      </w:r>
      <w:r w:rsidRPr="00CD308A">
        <w:rPr>
          <w:rFonts w:eastAsia="Times New Roman"/>
          <w:lang w:eastAsia="pl-PL"/>
        </w:rPr>
        <w:t xml:space="preserve"> to:</w:t>
      </w:r>
    </w:p>
    <w:p w14:paraId="099F00A7" w14:textId="64AD3493" w:rsidR="00184653" w:rsidRPr="00CD308A" w:rsidRDefault="00184653" w:rsidP="00464DE6">
      <w:pPr>
        <w:pStyle w:val="Akapitzlist"/>
        <w:numPr>
          <w:ilvl w:val="0"/>
          <w:numId w:val="6"/>
        </w:numPr>
      </w:pPr>
      <w:r w:rsidRPr="00CD308A">
        <w:t xml:space="preserve">„Opracowanie i wdrożenie modeli wsparcia dla kluczowych aktorów, jako metoda osiągnięcia równego traktowania kobiet i mężczyzn na rynku pracy </w:t>
      </w:r>
      <w:r w:rsidR="0056055C">
        <w:t>–</w:t>
      </w:r>
      <w:r w:rsidR="0056055C" w:rsidRPr="00CD308A">
        <w:t xml:space="preserve"> </w:t>
      </w:r>
      <w:r w:rsidRPr="00CD308A">
        <w:t>świadomy pracodawca, rozwijająca się liderka, aktywny ojciec, aktywny opiekun osoby wymagającej wsparcia w codziennym funkcjonowaniu”,</w:t>
      </w:r>
    </w:p>
    <w:p w14:paraId="33E8C7A2" w14:textId="77777777" w:rsidR="00184653" w:rsidRPr="00CD308A" w:rsidRDefault="00184653" w:rsidP="00464DE6">
      <w:pPr>
        <w:pStyle w:val="Akapitzlist"/>
        <w:numPr>
          <w:ilvl w:val="0"/>
          <w:numId w:val="6"/>
        </w:numPr>
        <w:rPr>
          <w:i/>
        </w:rPr>
      </w:pPr>
      <w:r w:rsidRPr="00CD308A">
        <w:t xml:space="preserve">„Opracowanie systemu gromadzenia danych na rzecz urzeczywistnienia zasady równości szans kobiet i mężczyzn oraz innych grup społecznych narażonych </w:t>
      </w:r>
      <w:r w:rsidRPr="00CD308A">
        <w:br/>
        <w:t>na wykluczenie z życia społeczno-gospodarczego”</w:t>
      </w:r>
      <w:r w:rsidRPr="00CD308A">
        <w:rPr>
          <w:i/>
        </w:rPr>
        <w:t xml:space="preserve">. </w:t>
      </w:r>
    </w:p>
    <w:p w14:paraId="043F57D7" w14:textId="77777777" w:rsidR="00184653" w:rsidRPr="00CD308A" w:rsidRDefault="00184653" w:rsidP="00184653">
      <w:pPr>
        <w:rPr>
          <w:rFonts w:eastAsia="Times New Roman"/>
          <w:iCs/>
          <w:noProof/>
        </w:rPr>
      </w:pPr>
      <w:r w:rsidRPr="00CD308A">
        <w:rPr>
          <w:rFonts w:eastAsia="Times New Roman"/>
          <w:noProof/>
        </w:rPr>
        <w:t>W ramach projektu „</w:t>
      </w:r>
      <w:r w:rsidRPr="00CD308A">
        <w:t xml:space="preserve">Opracowanie i wdrożenie modeli wsparcia dla kluczowych aktorów, jako metoda osiągnięcia równego traktowania kobiet i mężczyzn na rynku pracy – świadomy pracodawca, rozwijająca się liderka, aktywny ojciec, aktywny opiekun osoby wymagającej wsparcia w codziennym funkcjonowaniu” </w:t>
      </w:r>
      <w:r w:rsidRPr="00CD308A">
        <w:rPr>
          <w:rFonts w:eastAsia="Times New Roman"/>
          <w:noProof/>
        </w:rPr>
        <w:t>będą realizowane następujące działania:</w:t>
      </w:r>
    </w:p>
    <w:p w14:paraId="0D19793F" w14:textId="20A4AC41" w:rsidR="00184653" w:rsidRPr="00CD308A" w:rsidRDefault="00184653" w:rsidP="00464DE6">
      <w:pPr>
        <w:pStyle w:val="Akapitzlist"/>
        <w:numPr>
          <w:ilvl w:val="0"/>
          <w:numId w:val="5"/>
        </w:numPr>
        <w:rPr>
          <w:rFonts w:eastAsia="Times New Roman"/>
          <w:noProof/>
        </w:rPr>
      </w:pPr>
      <w:r w:rsidRPr="00CD308A">
        <w:rPr>
          <w:rFonts w:eastAsia="Times New Roman"/>
          <w:noProof/>
        </w:rPr>
        <w:t>Wsparcie dla pracodawców w tworzeniu miejsc pracy wolnych od dyskryminacji, transparentnych pod względem płacowym, wspierających awans kobiet</w:t>
      </w:r>
      <w:r w:rsidRPr="00CD308A">
        <w:rPr>
          <w:rFonts w:eastAsia="Times New Roman"/>
          <w:noProof/>
        </w:rPr>
        <w:br/>
        <w:t xml:space="preserve">oraz umożliwiających godzenie obowiązków rodzinnych i zawodowych poprzez stworzenie, pilotaż, a następnie wdrożenie modelu wsparcia dla pracodawców </w:t>
      </w:r>
      <w:r w:rsidRPr="00CD308A">
        <w:rPr>
          <w:rFonts w:eastAsia="Times New Roman"/>
          <w:noProof/>
        </w:rPr>
        <w:br/>
        <w:t>w zakresie równości szans na rynku pracy. Elementami tego modelu będą systemy audytowania pracodawców ze względu na ww. przesłanki, systemy indywidualnego doradztwa oraz szkoleń dla pracodawców, a także platforma internetowa zawierająca kompleksowe informacje na temat równości szans, transparentności wynagrodzeń</w:t>
      </w:r>
      <w:r w:rsidR="00D8501B">
        <w:rPr>
          <w:rFonts w:eastAsia="Times New Roman"/>
          <w:noProof/>
        </w:rPr>
        <w:t xml:space="preserve"> </w:t>
      </w:r>
      <w:r w:rsidRPr="00CD308A">
        <w:rPr>
          <w:rFonts w:eastAsia="Times New Roman"/>
          <w:noProof/>
        </w:rPr>
        <w:t xml:space="preserve">i godzenia życia zawodowego z prywatnym. </w:t>
      </w:r>
    </w:p>
    <w:p w14:paraId="254D2AD3" w14:textId="15B27617" w:rsidR="00184653" w:rsidRPr="00CD308A" w:rsidRDefault="00184653" w:rsidP="00464DE6">
      <w:pPr>
        <w:pStyle w:val="Akapitzlist"/>
        <w:numPr>
          <w:ilvl w:val="0"/>
          <w:numId w:val="5"/>
        </w:numPr>
        <w:rPr>
          <w:rFonts w:eastAsia="Times New Roman"/>
          <w:noProof/>
        </w:rPr>
      </w:pPr>
      <w:r w:rsidRPr="00CD308A">
        <w:rPr>
          <w:rFonts w:eastAsia="Times New Roman"/>
          <w:noProof/>
        </w:rPr>
        <w:t>Rozwój postaw liderskich kobiet, m.in poprzez wspieranie ich awansu zawodowego. Proponowane działanie umożliwi wsparcie pozycji kobiet na rynku pracy,</w:t>
      </w:r>
      <w:r w:rsidR="00D8501B">
        <w:rPr>
          <w:rFonts w:eastAsia="Times New Roman"/>
          <w:noProof/>
        </w:rPr>
        <w:t xml:space="preserve"> </w:t>
      </w:r>
      <w:r w:rsidRPr="00CD308A">
        <w:rPr>
          <w:rFonts w:eastAsia="Times New Roman"/>
          <w:noProof/>
        </w:rPr>
        <w:t xml:space="preserve">ze szczególnym uwzględnieniem ich obecności w gremiach decyzyjnych. </w:t>
      </w:r>
      <w:r w:rsidR="00FB38EB">
        <w:rPr>
          <w:rFonts w:eastAsia="Times New Roman"/>
          <w:noProof/>
        </w:rPr>
        <w:br/>
      </w:r>
      <w:r w:rsidRPr="00CD308A">
        <w:rPr>
          <w:rFonts w:eastAsia="Times New Roman"/>
          <w:noProof/>
        </w:rPr>
        <w:t xml:space="preserve">W ramach zaplanowanych działań zostanie stworzona międzysektorowa koalicja wsparcia postaw liderskich kobiet, a także przeprowadzony zostanie konkurs dla pracodawców wspierających awanse kobiet na stanowiska decyzyjne, którego </w:t>
      </w:r>
      <w:r w:rsidRPr="00CD308A">
        <w:rPr>
          <w:rFonts w:eastAsia="Times New Roman"/>
          <w:noProof/>
        </w:rPr>
        <w:lastRenderedPageBreak/>
        <w:t xml:space="preserve">celem będzie wskazanie przykładów dobrych praktyk w tym obszarze oraz zachęcenie innych pracodawców do podjęcia podobnych działań. </w:t>
      </w:r>
    </w:p>
    <w:p w14:paraId="1C709854" w14:textId="63C6CB4F" w:rsidR="00184653" w:rsidRPr="00CD308A" w:rsidRDefault="00184653" w:rsidP="00464DE6">
      <w:pPr>
        <w:pStyle w:val="Akapitzlist"/>
        <w:numPr>
          <w:ilvl w:val="0"/>
          <w:numId w:val="5"/>
        </w:numPr>
        <w:rPr>
          <w:rFonts w:eastAsia="Times New Roman"/>
          <w:noProof/>
        </w:rPr>
      </w:pPr>
      <w:r w:rsidRPr="00CD308A">
        <w:rPr>
          <w:rFonts w:eastAsia="Times New Roman"/>
          <w:noProof/>
        </w:rPr>
        <w:t>Wsparcie dla pracowników pełniących role opiekuńcze w godzeniu życia zawodowego i rodzinnego, ze szczególnym uwzględnieniem upowszechniania postaw aktywnego ojcostwa oraz aktywnych postaw opiekunów osób wymagających wsparcia</w:t>
      </w:r>
      <w:r w:rsidR="00D8501B">
        <w:rPr>
          <w:rFonts w:eastAsia="Times New Roman"/>
          <w:noProof/>
        </w:rPr>
        <w:t xml:space="preserve"> </w:t>
      </w:r>
      <w:r w:rsidRPr="00CD308A">
        <w:rPr>
          <w:rFonts w:eastAsia="Times New Roman"/>
          <w:noProof/>
        </w:rPr>
        <w:t xml:space="preserve">w codziennym funkcjonowaniu. W ramach zaplanowanych działań wypracowany zostanie model wsparcia dla pracujących opiekunów, który następnie będzie wdrażany w miejscach, z których korzystają opiekunowie dzieci oraz osób wymagających wsparcia w codziennym funkcjonowaniu. Model ten </w:t>
      </w:r>
      <w:r w:rsidR="0056055C" w:rsidRPr="00CD308A">
        <w:rPr>
          <w:rFonts w:eastAsia="Times New Roman"/>
          <w:noProof/>
        </w:rPr>
        <w:t>obejmowa</w:t>
      </w:r>
      <w:r w:rsidR="0056055C">
        <w:rPr>
          <w:rFonts w:eastAsia="Times New Roman"/>
          <w:noProof/>
        </w:rPr>
        <w:t>ć</w:t>
      </w:r>
      <w:r w:rsidR="0056055C" w:rsidRPr="00CD308A">
        <w:rPr>
          <w:rFonts w:eastAsia="Times New Roman"/>
          <w:noProof/>
        </w:rPr>
        <w:t xml:space="preserve"> </w:t>
      </w:r>
      <w:r w:rsidRPr="00CD308A">
        <w:rPr>
          <w:rFonts w:eastAsia="Times New Roman"/>
          <w:noProof/>
        </w:rPr>
        <w:t xml:space="preserve">będzie m.in. warsztaty, doradztwo </w:t>
      </w:r>
      <w:r w:rsidR="00FB38EB">
        <w:rPr>
          <w:rFonts w:eastAsia="Times New Roman"/>
          <w:noProof/>
        </w:rPr>
        <w:br/>
      </w:r>
      <w:r w:rsidRPr="00CD308A">
        <w:rPr>
          <w:rFonts w:eastAsia="Times New Roman"/>
          <w:noProof/>
        </w:rPr>
        <w:t xml:space="preserve">w zakresie efektywnego wykorzystania dostępnych form opieki nad dziećmi oraz dzielenia się obowiązkami opiekuńczymi, utrzymywania bliskich więzi </w:t>
      </w:r>
      <w:r w:rsidR="00FB38EB">
        <w:rPr>
          <w:rFonts w:eastAsia="Times New Roman"/>
          <w:noProof/>
        </w:rPr>
        <w:br/>
      </w:r>
      <w:r w:rsidRPr="00CD308A">
        <w:rPr>
          <w:rFonts w:eastAsia="Times New Roman"/>
          <w:noProof/>
        </w:rPr>
        <w:t>z dzieckiem i rodziną. Wypracowany zostanie również model wspierania aktywnego ojcostwa oraz aktywnych postaw opiekunów osób wymagających wsparcia</w:t>
      </w:r>
      <w:r w:rsidR="00D8501B">
        <w:rPr>
          <w:rFonts w:eastAsia="Times New Roman"/>
          <w:noProof/>
        </w:rPr>
        <w:t xml:space="preserve"> </w:t>
      </w:r>
      <w:r w:rsidRPr="00CD308A">
        <w:rPr>
          <w:rFonts w:eastAsia="Times New Roman"/>
          <w:noProof/>
        </w:rPr>
        <w:t>w codziennym funkcjonowaniu obejmujący m.in. portal informacyjny, spotkania regionalne/ogólnokrajowe, webinaria. Aby upowszechnić wskazane działania</w:t>
      </w:r>
      <w:r w:rsidR="0056055C">
        <w:rPr>
          <w:rFonts w:eastAsia="Times New Roman"/>
          <w:noProof/>
        </w:rPr>
        <w:t>,</w:t>
      </w:r>
      <w:r w:rsidRPr="00CD308A">
        <w:rPr>
          <w:rFonts w:eastAsia="Times New Roman"/>
          <w:noProof/>
        </w:rPr>
        <w:t xml:space="preserve"> zrealizowana zostanie kampania społeczna dotycząca tematyki związanej z promowaniem postawy aktywnego ojcostwa oraz aktywnych postaw opiekunów innych członków rodziny wymagających wsparcia w codziennym funkcjonowaniu.</w:t>
      </w:r>
    </w:p>
    <w:p w14:paraId="2690806B" w14:textId="300DB1B3" w:rsidR="00184653" w:rsidRPr="00CD308A" w:rsidRDefault="00184653" w:rsidP="00184653">
      <w:pPr>
        <w:rPr>
          <w:rFonts w:eastAsia="Times New Roman"/>
          <w:noProof/>
        </w:rPr>
      </w:pPr>
      <w:r w:rsidRPr="00CD308A">
        <w:rPr>
          <w:rFonts w:eastAsia="Times New Roman"/>
          <w:noProof/>
        </w:rPr>
        <w:t xml:space="preserve">Zjawisko nierównego traktowania w Polsce ze względu na różnego rodzaju przesłanki jest obecne w świadomości społecznej. Jednakże skala zjawiska jest trudna </w:t>
      </w:r>
      <w:r w:rsidR="00FB38EB">
        <w:rPr>
          <w:rFonts w:eastAsia="Times New Roman"/>
          <w:noProof/>
        </w:rPr>
        <w:br/>
      </w:r>
      <w:r w:rsidRPr="00CD308A">
        <w:rPr>
          <w:rFonts w:eastAsia="Times New Roman"/>
          <w:noProof/>
        </w:rPr>
        <w:t>do precyzyjnego oszacowania. Dysponowanie wiarygodnymi i aktualnymi danymi równościowymi jest niezbędnym elementem prowadzenia skutecznej polityki antydyskryminacyjnej. Dane obecnie zagregowane przez administrację publiczną nie zawsze są spójne, jak również nie zawsze obejmują wszystkie obszary potencjalnej dyskryminacji. Z tego powodu celem projektu „</w:t>
      </w:r>
      <w:r w:rsidRPr="00CD308A">
        <w:rPr>
          <w:color w:val="000000" w:themeColor="text1"/>
        </w:rPr>
        <w:t>Opracowanie systemu gromadzenia danych na rzecz urzeczywistnienia zasady równości szans kobiet i mężczyzn oraz innych grup społecznych narażonych na wykluczenie z życia społeczno-gospodarczego”</w:t>
      </w:r>
      <w:r w:rsidRPr="00CD308A">
        <w:rPr>
          <w:rFonts w:eastAsia="Times New Roman"/>
          <w:noProof/>
        </w:rPr>
        <w:t xml:space="preserve"> jest zgromadzenie wiarygodnych i aktualnych danych oraz uporządkowanie wiedzy w ww. zakresie, jak również konieczność zweryfikowania</w:t>
      </w:r>
      <w:r>
        <w:rPr>
          <w:rFonts w:eastAsia="Times New Roman"/>
          <w:noProof/>
        </w:rPr>
        <w:t xml:space="preserve"> </w:t>
      </w:r>
      <w:r w:rsidRPr="00CD308A">
        <w:rPr>
          <w:rFonts w:eastAsia="Times New Roman"/>
          <w:noProof/>
        </w:rPr>
        <w:t xml:space="preserve">i zaktualizowania prowadzonej polityki antydyskryminacyjnej. </w:t>
      </w:r>
    </w:p>
    <w:p w14:paraId="109B61AA" w14:textId="4951BDB7" w:rsidR="00184653" w:rsidRDefault="00184653" w:rsidP="00184653">
      <w:pPr>
        <w:rPr>
          <w:rFonts w:eastAsia="Times New Roman"/>
          <w:noProof/>
        </w:rPr>
      </w:pPr>
      <w:r w:rsidRPr="00CD308A">
        <w:rPr>
          <w:rFonts w:eastAsia="Times New Roman"/>
          <w:noProof/>
        </w:rPr>
        <w:t xml:space="preserve">Zaplanowane działania obejmują m.in. przeprowadzenie audytu obowiązujących systemów gromadzenia danych oraz ich interoperacyjności, wypracowanie modelu systemu gromadzącego dane, przeprowadzenie pilotażu i wdrożenie wypracowanego systemu. W wyniku wypracowania modelu zostanie sporządzony katalog badań ciągłych i okresowych, które na stałe wejdą w kanon badań statystycznych prowadzonych </w:t>
      </w:r>
      <w:r w:rsidRPr="00CD308A">
        <w:rPr>
          <w:rFonts w:eastAsia="Times New Roman"/>
          <w:noProof/>
        </w:rPr>
        <w:lastRenderedPageBreak/>
        <w:t>w</w:t>
      </w:r>
      <w:r w:rsidR="00B17F9D">
        <w:rPr>
          <w:rFonts w:eastAsia="Times New Roman"/>
          <w:noProof/>
        </w:rPr>
        <w:t> </w:t>
      </w:r>
      <w:r w:rsidRPr="00CD308A">
        <w:rPr>
          <w:rFonts w:eastAsia="Times New Roman"/>
          <w:noProof/>
        </w:rPr>
        <w:t>Polsce i które będą realizowane przy współpracy Głównego Urzędu Statystycznego i</w:t>
      </w:r>
      <w:r w:rsidR="00AF1C08">
        <w:rPr>
          <w:rFonts w:eastAsia="Times New Roman"/>
          <w:noProof/>
        </w:rPr>
        <w:t> </w:t>
      </w:r>
      <w:r w:rsidRPr="00CD308A">
        <w:rPr>
          <w:rFonts w:eastAsia="Times New Roman"/>
          <w:noProof/>
        </w:rPr>
        <w:t>Ministerstwa Rodziny i Polityki Społecznej.</w:t>
      </w:r>
    </w:p>
    <w:p w14:paraId="44B6863B" w14:textId="5CDAC74D" w:rsidR="00AF1C08" w:rsidRPr="00CD308A" w:rsidRDefault="00AF1C08" w:rsidP="00184653">
      <w:pPr>
        <w:rPr>
          <w:rFonts w:eastAsia="Times New Roman"/>
          <w:noProof/>
        </w:rPr>
      </w:pPr>
      <w:r w:rsidRPr="00AF1C08">
        <w:rPr>
          <w:rFonts w:eastAsia="Times New Roman"/>
          <w:noProof/>
        </w:rPr>
        <w:t>W 2023 r. planowane jest ogłoszenie naboru w ramach projektu pn. „Opracowanie i</w:t>
      </w:r>
      <w:r>
        <w:rPr>
          <w:rFonts w:eastAsia="Times New Roman"/>
          <w:noProof/>
        </w:rPr>
        <w:t> </w:t>
      </w:r>
      <w:r w:rsidRPr="00AF1C08">
        <w:rPr>
          <w:rFonts w:eastAsia="Times New Roman"/>
          <w:noProof/>
        </w:rPr>
        <w:t>wdrożenie modeli wsparcia dla kluczowych aktorów, jako metoda osiągnięcia równego traktowania kobiet i mężczyzn na rynku pracy - świadomy pracodawca, rozwijająca się liderka, aktywny ojciec, aktywny opiekun osoby wymagającej wsparcia w codziennym funkcjonowaniu”.</w:t>
      </w:r>
    </w:p>
    <w:p w14:paraId="43A5A14E" w14:textId="77777777" w:rsidR="00184653" w:rsidRPr="00CD308A" w:rsidRDefault="00184653" w:rsidP="00034A29">
      <w:pPr>
        <w:pStyle w:val="Nagwek2"/>
        <w:rPr>
          <w:noProof/>
        </w:rPr>
      </w:pPr>
      <w:bookmarkStart w:id="66" w:name="_Toc127958212"/>
      <w:bookmarkStart w:id="67" w:name="_Toc128750794"/>
      <w:r w:rsidRPr="00CD308A">
        <w:rPr>
          <w:noProof/>
        </w:rPr>
        <w:t>Monitorowanie przez Pełnomocnika Rządu do Spraw Równego Traktowania zasady równego traktowania i zasady niedyskryminacji w projektach finansowanych ze środków unijnych</w:t>
      </w:r>
      <w:bookmarkEnd w:id="66"/>
      <w:bookmarkEnd w:id="67"/>
    </w:p>
    <w:p w14:paraId="4429F651" w14:textId="0E9F71AE" w:rsidR="00184653" w:rsidRPr="00903E9B" w:rsidRDefault="00D8501B" w:rsidP="00184653">
      <w:pPr>
        <w:rPr>
          <w:rFonts w:eastAsia="Times New Roman"/>
          <w:noProof/>
        </w:rPr>
      </w:pPr>
      <w:r w:rsidRPr="00903E9B">
        <w:rPr>
          <w:rFonts w:eastAsia="Times New Roman"/>
          <w:noProof/>
        </w:rPr>
        <w:t xml:space="preserve">Przedstawiciele </w:t>
      </w:r>
      <w:r w:rsidR="00184653" w:rsidRPr="00903E9B">
        <w:rPr>
          <w:rFonts w:eastAsia="Times New Roman"/>
          <w:noProof/>
        </w:rPr>
        <w:t>Pełnomocnika uczestnicz</w:t>
      </w:r>
      <w:r w:rsidRPr="00903E9B">
        <w:rPr>
          <w:rFonts w:eastAsia="Times New Roman"/>
          <w:noProof/>
        </w:rPr>
        <w:t>ą</w:t>
      </w:r>
      <w:r w:rsidR="00184653" w:rsidRPr="00903E9B">
        <w:rPr>
          <w:rFonts w:eastAsia="Times New Roman"/>
          <w:noProof/>
        </w:rPr>
        <w:t xml:space="preserve"> na prawach członka lub obserwatora w</w:t>
      </w:r>
      <w:r w:rsidR="00B17F9D">
        <w:rPr>
          <w:rFonts w:eastAsia="Times New Roman"/>
          <w:noProof/>
        </w:rPr>
        <w:t> </w:t>
      </w:r>
      <w:r w:rsidR="00184653" w:rsidRPr="00903E9B">
        <w:rPr>
          <w:rFonts w:eastAsia="Times New Roman"/>
          <w:noProof/>
        </w:rPr>
        <w:t>pracach Komitetów Monitorujących w tym: Komitecie Monitorującym Program Rozwoju Obszarów Wiejskich na lata 2014–2020</w:t>
      </w:r>
      <w:r w:rsidR="00184653" w:rsidRPr="00903E9B">
        <w:rPr>
          <w:rStyle w:val="Odwoanieprzypisudolnego"/>
          <w:rFonts w:eastAsia="Times New Roman" w:cstheme="minorHAnsi"/>
          <w:iCs/>
          <w:noProof/>
        </w:rPr>
        <w:footnoteReference w:id="30"/>
      </w:r>
      <w:r w:rsidR="00184653" w:rsidRPr="00903E9B">
        <w:rPr>
          <w:rFonts w:eastAsia="Times New Roman"/>
          <w:noProof/>
        </w:rPr>
        <w:t>, Komitecie Monitorującym Programu Operacyjnego Wiedza, Edukacja, Rozwój</w:t>
      </w:r>
      <w:r w:rsidR="00184653" w:rsidRPr="00903E9B">
        <w:rPr>
          <w:rStyle w:val="Odwoanieprzypisudolnego"/>
          <w:rFonts w:eastAsia="Times New Roman" w:cstheme="minorHAnsi"/>
          <w:iCs/>
          <w:noProof/>
        </w:rPr>
        <w:footnoteReference w:id="31"/>
      </w:r>
      <w:r w:rsidR="00184653" w:rsidRPr="00903E9B">
        <w:rPr>
          <w:rFonts w:eastAsia="Times New Roman"/>
          <w:noProof/>
        </w:rPr>
        <w:t xml:space="preserve"> Komitecie Monitorującym Program Operacyjny </w:t>
      </w:r>
      <w:r w:rsidR="00A931D5">
        <w:rPr>
          <w:rFonts w:eastAsia="Times New Roman"/>
          <w:noProof/>
        </w:rPr>
        <w:t>„</w:t>
      </w:r>
      <w:r w:rsidR="00184653" w:rsidRPr="00903E9B">
        <w:rPr>
          <w:rFonts w:eastAsia="Times New Roman"/>
          <w:noProof/>
        </w:rPr>
        <w:t>Rybactwo i Morze" 2014–2020</w:t>
      </w:r>
      <w:r w:rsidR="00184653" w:rsidRPr="00903E9B">
        <w:rPr>
          <w:rStyle w:val="Odwoanieprzypisudolnego"/>
          <w:rFonts w:eastAsia="Times New Roman" w:cstheme="minorHAnsi"/>
          <w:iCs/>
          <w:noProof/>
        </w:rPr>
        <w:footnoteReference w:id="32"/>
      </w:r>
      <w:r w:rsidR="00184653" w:rsidRPr="00903E9B">
        <w:rPr>
          <w:rFonts w:eastAsia="Times New Roman"/>
          <w:noProof/>
        </w:rPr>
        <w:t>, Komitecie Monitorującym Program Operacyjny Polska Wschodnia 2014–2020</w:t>
      </w:r>
      <w:r w:rsidR="00184653" w:rsidRPr="00903E9B">
        <w:rPr>
          <w:rStyle w:val="Odwoanieprzypisudolnego"/>
          <w:rFonts w:eastAsia="Times New Roman" w:cstheme="minorHAnsi"/>
          <w:iCs/>
          <w:noProof/>
        </w:rPr>
        <w:footnoteReference w:id="33"/>
      </w:r>
      <w:r w:rsidR="00184653" w:rsidRPr="00903E9B">
        <w:rPr>
          <w:rFonts w:eastAsia="Times New Roman"/>
          <w:noProof/>
        </w:rPr>
        <w:t xml:space="preserve"> oraz Komitecie Monitorującym Program Operacyjny Inteligentny Rozwój</w:t>
      </w:r>
      <w:r w:rsidR="00184653" w:rsidRPr="00903E9B">
        <w:rPr>
          <w:rStyle w:val="Odwoanieprzypisudolnego"/>
          <w:rFonts w:eastAsia="Times New Roman" w:cstheme="minorHAnsi"/>
          <w:iCs/>
          <w:noProof/>
        </w:rPr>
        <w:footnoteReference w:id="34"/>
      </w:r>
      <w:r w:rsidR="00184653" w:rsidRPr="00903E9B">
        <w:rPr>
          <w:rFonts w:eastAsia="Times New Roman"/>
          <w:noProof/>
        </w:rPr>
        <w:t xml:space="preserve">. </w:t>
      </w:r>
    </w:p>
    <w:p w14:paraId="18DB581F" w14:textId="3D4577D0" w:rsidR="00184653" w:rsidRPr="00903E9B" w:rsidRDefault="00184653" w:rsidP="00184653">
      <w:pPr>
        <w:rPr>
          <w:rFonts w:eastAsia="Times New Roman"/>
          <w:noProof/>
        </w:rPr>
      </w:pPr>
      <w:r w:rsidRPr="00903E9B">
        <w:rPr>
          <w:rFonts w:eastAsia="Times New Roman"/>
          <w:noProof/>
        </w:rPr>
        <w:t xml:space="preserve">W 2022 r. trwały przygotowania do rozpoczęcia nowej perspektywy finansowej </w:t>
      </w:r>
      <w:r w:rsidR="0033242A">
        <w:rPr>
          <w:rFonts w:eastAsia="Times New Roman"/>
          <w:noProof/>
        </w:rPr>
        <w:br/>
      </w:r>
      <w:r w:rsidRPr="00903E9B">
        <w:rPr>
          <w:rFonts w:eastAsia="Times New Roman"/>
          <w:noProof/>
        </w:rPr>
        <w:t>w ramach funduszy europejskich na lata 2021</w:t>
      </w:r>
      <w:r w:rsidR="00A931D5">
        <w:rPr>
          <w:rFonts w:eastAsia="Times New Roman"/>
          <w:noProof/>
        </w:rPr>
        <w:t>–</w:t>
      </w:r>
      <w:r w:rsidRPr="00903E9B">
        <w:rPr>
          <w:rFonts w:eastAsia="Times New Roman"/>
          <w:noProof/>
        </w:rPr>
        <w:t xml:space="preserve">2027. Przedstawiciele Pełnomonicka zostali zgłoszeni do nastepujących Komitetów Monitorujących: Fundusze Europejskie dla Rozwoju Społecznego, Fundusze Europejskie dla Nowoczesnej Gospodarki, Fundusze Europejskie dla Polski Wschodniej, Pomoc Techniczna dla Funduszy Europejskich a także w ramach Grupy konsultacyjnej Interreg Południowy Bałtyk czy Komitetów Monitorujących Programów Regionalnych w województwie </w:t>
      </w:r>
      <w:r w:rsidR="00665552">
        <w:rPr>
          <w:rFonts w:eastAsia="Times New Roman"/>
          <w:noProof/>
        </w:rPr>
        <w:t>l</w:t>
      </w:r>
      <w:r w:rsidRPr="00903E9B">
        <w:rPr>
          <w:rFonts w:eastAsia="Times New Roman"/>
          <w:noProof/>
        </w:rPr>
        <w:t xml:space="preserve">ubelskim, </w:t>
      </w:r>
      <w:r w:rsidR="00665552">
        <w:rPr>
          <w:rFonts w:eastAsia="Times New Roman"/>
          <w:noProof/>
        </w:rPr>
        <w:t>ś</w:t>
      </w:r>
      <w:r w:rsidRPr="00903E9B">
        <w:rPr>
          <w:rFonts w:eastAsia="Times New Roman"/>
          <w:noProof/>
        </w:rPr>
        <w:t xml:space="preserve">więtokrzyskim i </w:t>
      </w:r>
      <w:r w:rsidR="00665552">
        <w:rPr>
          <w:rFonts w:eastAsia="Times New Roman"/>
          <w:noProof/>
        </w:rPr>
        <w:t>ś</w:t>
      </w:r>
      <w:r w:rsidRPr="00903E9B">
        <w:rPr>
          <w:rFonts w:eastAsia="Times New Roman"/>
          <w:noProof/>
        </w:rPr>
        <w:t xml:space="preserve">ląskim. </w:t>
      </w:r>
    </w:p>
    <w:p w14:paraId="31D056CF" w14:textId="2D12346A" w:rsidR="00184653" w:rsidRPr="00CD308A" w:rsidRDefault="00184653" w:rsidP="00184653">
      <w:pPr>
        <w:rPr>
          <w:highlight w:val="yellow"/>
        </w:rPr>
      </w:pPr>
      <w:r w:rsidRPr="00903E9B">
        <w:lastRenderedPageBreak/>
        <w:t xml:space="preserve">Zasada wyrównywania szans kobiet i mężczyzn i przeciwdziałania dyskryminacji </w:t>
      </w:r>
      <w:r w:rsidR="0033242A">
        <w:br/>
      </w:r>
      <w:r w:rsidRPr="00903E9B">
        <w:t xml:space="preserve">na rynku pracy jest dla funduszy unijnych jedną z naczelnych i podstawowych zasad horyzontalnych, obowiązujących w całej UE. Ma ona swoją podstawę prawną w </w:t>
      </w:r>
      <w:r w:rsidR="00C44FB8">
        <w:t>art.</w:t>
      </w:r>
      <w:r w:rsidR="00C44FB8" w:rsidRPr="00903E9B">
        <w:t xml:space="preserve"> </w:t>
      </w:r>
      <w:r w:rsidRPr="00903E9B">
        <w:t xml:space="preserve">3 Traktatu o Unii Europejskiej, który wskazuje, że w swoich działaniach UE zwalcza wykluczenie społeczne i dyskryminację oraz wspiera sprawiedliwość społeczną </w:t>
      </w:r>
      <w:r w:rsidR="0033242A">
        <w:br/>
      </w:r>
      <w:r w:rsidRPr="00903E9B">
        <w:t>i ochronę socjalną, równość szans kobiet i mężczyzn, solidarność międzypokoleniową oraz ochronę praw dziecka. Wszyscy beneficjenci środków unijnych, a także instytucje zaangażowane w ich wykorzystanie, zobowiązane są do przestrzegania zasady równości szans kobiet i mężczyzn oraz przeciwdziałania wszelkim formom dyskryminacji.</w:t>
      </w:r>
      <w:r w:rsidRPr="00CD308A">
        <w:rPr>
          <w:highlight w:val="yellow"/>
        </w:rPr>
        <w:t xml:space="preserve"> </w:t>
      </w:r>
    </w:p>
    <w:p w14:paraId="209F09DC" w14:textId="77777777" w:rsidR="00184653" w:rsidRPr="00CD308A" w:rsidRDefault="00184653" w:rsidP="00034A29">
      <w:pPr>
        <w:pStyle w:val="Nagwek2"/>
      </w:pPr>
      <w:bookmarkStart w:id="68" w:name="_Toc127958213"/>
      <w:bookmarkStart w:id="69" w:name="_Toc128750795"/>
      <w:r w:rsidRPr="00CD308A">
        <w:rPr>
          <w:rStyle w:val="markedcontent"/>
        </w:rPr>
        <w:t>Konferencja organizowana przez Pełnomocnika Rządu do Spraw Równego</w:t>
      </w:r>
      <w:r w:rsidRPr="00CD308A">
        <w:t xml:space="preserve"> </w:t>
      </w:r>
      <w:r w:rsidRPr="00CD308A">
        <w:rPr>
          <w:rStyle w:val="markedcontent"/>
        </w:rPr>
        <w:t>Traktowania</w:t>
      </w:r>
      <w:bookmarkEnd w:id="68"/>
      <w:bookmarkEnd w:id="69"/>
    </w:p>
    <w:p w14:paraId="1049FB6A" w14:textId="25650FB9" w:rsidR="00184653" w:rsidRPr="00CD308A" w:rsidRDefault="00184653" w:rsidP="000F15E8">
      <w:pPr>
        <w:pStyle w:val="Nagwek3"/>
        <w:rPr>
          <w:rStyle w:val="markedcontent"/>
          <w:rFonts w:eastAsia="Times New Roman"/>
          <w:b w:val="0"/>
          <w:lang w:eastAsia="pl-PL"/>
        </w:rPr>
      </w:pPr>
      <w:bookmarkStart w:id="70" w:name="_Toc127958214"/>
      <w:bookmarkStart w:id="71" w:name="_Toc128750796"/>
      <w:r w:rsidRPr="00CD308A">
        <w:rPr>
          <w:rStyle w:val="markedcontent"/>
        </w:rPr>
        <w:t>Konferencja „Nie otwieraj drzwi PRZEMOCY”</w:t>
      </w:r>
      <w:bookmarkEnd w:id="70"/>
      <w:bookmarkEnd w:id="71"/>
    </w:p>
    <w:p w14:paraId="013ED7B8" w14:textId="5DB2C708" w:rsidR="00184653" w:rsidRPr="00CD308A" w:rsidRDefault="00184653" w:rsidP="00184653">
      <w:pPr>
        <w:rPr>
          <w:rFonts w:eastAsia="Times New Roman"/>
          <w:noProof/>
        </w:rPr>
      </w:pPr>
      <w:r w:rsidRPr="00CD308A">
        <w:rPr>
          <w:rFonts w:eastAsia="Times New Roman"/>
          <w:noProof/>
        </w:rPr>
        <w:t>22 listopada 2022 r. odbyła się organizowana przez Biuro Pełnomocnika w</w:t>
      </w:r>
      <w:r w:rsidR="00B17F9D">
        <w:rPr>
          <w:rFonts w:eastAsia="Times New Roman"/>
          <w:noProof/>
        </w:rPr>
        <w:t> </w:t>
      </w:r>
      <w:r w:rsidRPr="00CD308A">
        <w:rPr>
          <w:rFonts w:eastAsia="Times New Roman"/>
          <w:noProof/>
        </w:rPr>
        <w:t>Ministerstwie Rodziny i Polityki Społecznej Ogólnopolska Konferencja dotycząca przeciwdziałania przemocy w rodzinie „Nie otwieraj drzwi PRZEMOCY” realizowana w ramach Krajowego Programu Przeciwdziałania Przemocy w Rodzinie. Konferencja odbyła się w formie hybrydowej – stacjonarnie, jak i on-line</w:t>
      </w:r>
      <w:r w:rsidR="00665552">
        <w:rPr>
          <w:rFonts w:eastAsia="Times New Roman"/>
          <w:noProof/>
        </w:rPr>
        <w:t xml:space="preserve"> – z udziałem ponad 500 uczestników</w:t>
      </w:r>
      <w:r w:rsidRPr="00CD308A">
        <w:rPr>
          <w:rFonts w:eastAsia="Times New Roman"/>
          <w:noProof/>
        </w:rPr>
        <w:t xml:space="preserve">. </w:t>
      </w:r>
    </w:p>
    <w:p w14:paraId="62E668E3" w14:textId="77777777" w:rsidR="00184653" w:rsidRPr="00CD308A" w:rsidRDefault="00184653" w:rsidP="00184653">
      <w:pPr>
        <w:rPr>
          <w:rFonts w:eastAsia="Times New Roman"/>
          <w:noProof/>
        </w:rPr>
      </w:pPr>
      <w:r w:rsidRPr="00CD308A">
        <w:rPr>
          <w:rFonts w:eastAsia="Times New Roman"/>
          <w:noProof/>
        </w:rPr>
        <w:t xml:space="preserve">Do uczestnictwa w formie stacjonarnej zaproszeni zostali przedstawiciele Wydziałów Polityki Społecznej Urzędów Wojewódzkich, przedstawiciele Regionalnych Ośrodków Polityki Społecznej oraz członkowie Zespołu Monitorującego do Spraw Przeciwdziałania Przemocy w Rodzinie.   </w:t>
      </w:r>
    </w:p>
    <w:p w14:paraId="3C52AB67" w14:textId="5329A48F" w:rsidR="00184653" w:rsidRPr="00CD308A" w:rsidRDefault="00184653" w:rsidP="00184653">
      <w:pPr>
        <w:rPr>
          <w:rFonts w:eastAsia="Times New Roman"/>
          <w:noProof/>
        </w:rPr>
      </w:pPr>
      <w:r w:rsidRPr="00CD308A">
        <w:rPr>
          <w:rFonts w:eastAsia="Times New Roman"/>
          <w:noProof/>
        </w:rPr>
        <w:t xml:space="preserve">Konferencja poświęcona była głównie nowelizacji przepisów związanych </w:t>
      </w:r>
      <w:r w:rsidR="0033242A">
        <w:rPr>
          <w:rFonts w:eastAsia="Times New Roman"/>
          <w:noProof/>
        </w:rPr>
        <w:br/>
      </w:r>
      <w:r w:rsidRPr="00CD308A">
        <w:rPr>
          <w:rFonts w:eastAsia="Times New Roman"/>
          <w:noProof/>
        </w:rPr>
        <w:t>z przeciwdziałaniem przemocy.</w:t>
      </w:r>
    </w:p>
    <w:p w14:paraId="4A8652AD" w14:textId="2BA56755" w:rsidR="00184653" w:rsidRPr="00CD308A" w:rsidRDefault="00184653" w:rsidP="00184653">
      <w:pPr>
        <w:rPr>
          <w:rFonts w:eastAsia="Times New Roman"/>
          <w:noProof/>
        </w:rPr>
      </w:pPr>
      <w:r w:rsidRPr="00CD308A">
        <w:rPr>
          <w:rFonts w:eastAsia="Times New Roman"/>
          <w:noProof/>
        </w:rPr>
        <w:t>Konferencję otworzyła Pani Marlena Maląg, Minister Rodziny i Polityki Społecznej</w:t>
      </w:r>
      <w:r w:rsidR="00C44FB8">
        <w:rPr>
          <w:rFonts w:eastAsia="Times New Roman"/>
          <w:noProof/>
        </w:rPr>
        <w:t>,</w:t>
      </w:r>
      <w:r w:rsidRPr="00CD308A">
        <w:rPr>
          <w:rFonts w:eastAsia="Times New Roman"/>
          <w:noProof/>
        </w:rPr>
        <w:t xml:space="preserve"> omawiając działania </w:t>
      </w:r>
      <w:r w:rsidR="00C44FB8">
        <w:rPr>
          <w:rFonts w:eastAsia="Times New Roman"/>
          <w:noProof/>
        </w:rPr>
        <w:t>R</w:t>
      </w:r>
      <w:r w:rsidR="00C44FB8" w:rsidRPr="00CD308A">
        <w:rPr>
          <w:rFonts w:eastAsia="Times New Roman"/>
          <w:noProof/>
        </w:rPr>
        <w:t xml:space="preserve">ządu </w:t>
      </w:r>
      <w:r w:rsidRPr="00CD308A">
        <w:rPr>
          <w:rFonts w:eastAsia="Times New Roman"/>
          <w:noProof/>
        </w:rPr>
        <w:t>na rzecz wsparcia polskich rodzin. Następnie Pani Anna Schmidt, Sekretarz Stanu w Ministerstwie Rodziny i Polityki Społecznej, Pełnomocnik Rządu do Spraw Równego Traktowania</w:t>
      </w:r>
      <w:r w:rsidR="00C44FB8">
        <w:rPr>
          <w:rFonts w:eastAsia="Times New Roman"/>
          <w:noProof/>
        </w:rPr>
        <w:t>,</w:t>
      </w:r>
      <w:r w:rsidRPr="00CD308A">
        <w:rPr>
          <w:rFonts w:eastAsia="Times New Roman"/>
          <w:noProof/>
        </w:rPr>
        <w:t xml:space="preserve"> przedstawiła działania legislacyjne w obszarze przeciwdziałania przemocy w rodzinie. </w:t>
      </w:r>
    </w:p>
    <w:p w14:paraId="1CCC9A7F" w14:textId="6F48EE5D" w:rsidR="00184653" w:rsidRPr="00CD308A" w:rsidRDefault="00665552" w:rsidP="00184653">
      <w:pPr>
        <w:rPr>
          <w:rFonts w:eastAsia="Times New Roman"/>
          <w:noProof/>
        </w:rPr>
      </w:pPr>
      <w:r>
        <w:rPr>
          <w:rFonts w:eastAsia="Times New Roman"/>
          <w:noProof/>
        </w:rPr>
        <w:t>P</w:t>
      </w:r>
      <w:r w:rsidRPr="00CD308A">
        <w:rPr>
          <w:rFonts w:eastAsia="Times New Roman"/>
          <w:noProof/>
        </w:rPr>
        <w:t>lanowane zmiany w Kodeksie post</w:t>
      </w:r>
      <w:r>
        <w:rPr>
          <w:rFonts w:eastAsia="Times New Roman"/>
          <w:noProof/>
        </w:rPr>
        <w:t>ę</w:t>
      </w:r>
      <w:r w:rsidRPr="00CD308A">
        <w:rPr>
          <w:rFonts w:eastAsia="Times New Roman"/>
          <w:noProof/>
        </w:rPr>
        <w:t xml:space="preserve">powania cywilnego </w:t>
      </w:r>
      <w:r>
        <w:rPr>
          <w:rFonts w:eastAsia="Times New Roman"/>
          <w:noProof/>
        </w:rPr>
        <w:t xml:space="preserve">zostały omówione przez sędzię </w:t>
      </w:r>
      <w:r w:rsidR="00184653" w:rsidRPr="00CD308A">
        <w:rPr>
          <w:rFonts w:eastAsia="Times New Roman"/>
          <w:noProof/>
        </w:rPr>
        <w:t xml:space="preserve"> Justyn</w:t>
      </w:r>
      <w:r>
        <w:rPr>
          <w:rFonts w:eastAsia="Times New Roman"/>
          <w:noProof/>
        </w:rPr>
        <w:t>ę</w:t>
      </w:r>
      <w:r w:rsidR="00184653" w:rsidRPr="00CD308A">
        <w:rPr>
          <w:rFonts w:eastAsia="Times New Roman"/>
          <w:noProof/>
        </w:rPr>
        <w:t xml:space="preserve"> Baduchowsk</w:t>
      </w:r>
      <w:r>
        <w:rPr>
          <w:rFonts w:eastAsia="Times New Roman"/>
          <w:noProof/>
        </w:rPr>
        <w:t xml:space="preserve">ą, delegowaną do </w:t>
      </w:r>
      <w:r w:rsidR="00184653" w:rsidRPr="00CD308A">
        <w:rPr>
          <w:rFonts w:eastAsia="Times New Roman"/>
          <w:noProof/>
        </w:rPr>
        <w:t>Departamen</w:t>
      </w:r>
      <w:r>
        <w:rPr>
          <w:rFonts w:eastAsia="Times New Roman"/>
          <w:noProof/>
        </w:rPr>
        <w:t>tu</w:t>
      </w:r>
      <w:r w:rsidR="00184653" w:rsidRPr="00CD308A">
        <w:rPr>
          <w:rFonts w:eastAsia="Times New Roman"/>
          <w:noProof/>
        </w:rPr>
        <w:t xml:space="preserve"> Spraw Rodzinnych i Nieletnich Ministerstwa Sprawiedliwości.</w:t>
      </w:r>
      <w:r w:rsidR="0033242A">
        <w:rPr>
          <w:rFonts w:eastAsia="Times New Roman"/>
          <w:noProof/>
        </w:rPr>
        <w:t xml:space="preserve"> </w:t>
      </w:r>
      <w:r w:rsidR="00184653" w:rsidRPr="00CD308A">
        <w:rPr>
          <w:rFonts w:eastAsia="Times New Roman"/>
          <w:noProof/>
        </w:rPr>
        <w:t xml:space="preserve">Prezes Pracowni doradczo–badawczej EDBAD, </w:t>
      </w:r>
      <w:r w:rsidR="00C44FB8">
        <w:rPr>
          <w:rFonts w:eastAsia="Times New Roman"/>
          <w:noProof/>
        </w:rPr>
        <w:t>P</w:t>
      </w:r>
      <w:r w:rsidR="00C44FB8" w:rsidRPr="00CD308A">
        <w:rPr>
          <w:rFonts w:eastAsia="Times New Roman"/>
          <w:noProof/>
        </w:rPr>
        <w:t xml:space="preserve">an </w:t>
      </w:r>
      <w:r w:rsidR="00184653" w:rsidRPr="00CD308A">
        <w:rPr>
          <w:rFonts w:eastAsia="Times New Roman"/>
          <w:noProof/>
        </w:rPr>
        <w:t xml:space="preserve">Maciej Mroczek zaprezentował wyniki </w:t>
      </w:r>
      <w:r>
        <w:rPr>
          <w:rFonts w:eastAsia="Times New Roman"/>
          <w:noProof/>
        </w:rPr>
        <w:t xml:space="preserve">przeprowadzonej na próbie ponad 2500 respondentów spośród osób doznających przemocy, starszych, niepełnosprawnych, </w:t>
      </w:r>
      <w:r>
        <w:rPr>
          <w:rFonts w:eastAsia="Times New Roman"/>
          <w:noProof/>
        </w:rPr>
        <w:lastRenderedPageBreak/>
        <w:t>profesjonalistów oraz ogółu społeczeństwa o</w:t>
      </w:r>
      <w:r w:rsidR="00184653" w:rsidRPr="00CD308A">
        <w:rPr>
          <w:rFonts w:eastAsia="Times New Roman"/>
          <w:noProof/>
        </w:rPr>
        <w:t>gólnopolskiej diagnozy zjawiska przemocy wobec osób starszych i niepełnosprawnych</w:t>
      </w:r>
      <w:r>
        <w:rPr>
          <w:rFonts w:eastAsia="Times New Roman"/>
          <w:noProof/>
        </w:rPr>
        <w:t>, zleconej przez Ministerstwo Rodziny i Polityki Społecznej</w:t>
      </w:r>
      <w:r w:rsidRPr="00665552">
        <w:t xml:space="preserve"> </w:t>
      </w:r>
      <w:r>
        <w:t xml:space="preserve">w ramach </w:t>
      </w:r>
      <w:r w:rsidRPr="00665552">
        <w:rPr>
          <w:rFonts w:eastAsia="Times New Roman"/>
          <w:noProof/>
        </w:rPr>
        <w:t>projektu predefiniowanego „Przeciwdziałanie przemocy wobec osób starszy</w:t>
      </w:r>
      <w:r w:rsidR="0033242A">
        <w:rPr>
          <w:rFonts w:eastAsia="Times New Roman"/>
          <w:noProof/>
        </w:rPr>
        <w:t>ch</w:t>
      </w:r>
      <w:r w:rsidRPr="00665552">
        <w:rPr>
          <w:rFonts w:eastAsia="Times New Roman"/>
          <w:noProof/>
        </w:rPr>
        <w:t xml:space="preserve"> i niepełnosprawnych”, finansowanego </w:t>
      </w:r>
      <w:r>
        <w:rPr>
          <w:rFonts w:eastAsia="Times New Roman"/>
          <w:noProof/>
        </w:rPr>
        <w:t>ze środków</w:t>
      </w:r>
      <w:r w:rsidRPr="00665552">
        <w:rPr>
          <w:rFonts w:eastAsia="Times New Roman"/>
          <w:noProof/>
        </w:rPr>
        <w:t xml:space="preserve"> Norweskiego Mechanizmu Finansowego 2014</w:t>
      </w:r>
      <w:r w:rsidR="00C44FB8">
        <w:rPr>
          <w:rFonts w:eastAsia="Times New Roman"/>
          <w:noProof/>
        </w:rPr>
        <w:t>–</w:t>
      </w:r>
      <w:r w:rsidRPr="00665552">
        <w:rPr>
          <w:rFonts w:eastAsia="Times New Roman"/>
          <w:noProof/>
        </w:rPr>
        <w:t>2021, Program</w:t>
      </w:r>
      <w:r>
        <w:rPr>
          <w:rFonts w:eastAsia="Times New Roman"/>
          <w:noProof/>
        </w:rPr>
        <w:t>u „Sprawiedliwość”.</w:t>
      </w:r>
      <w:r w:rsidR="0033242A">
        <w:rPr>
          <w:rFonts w:eastAsia="Times New Roman"/>
          <w:noProof/>
        </w:rPr>
        <w:t xml:space="preserve"> </w:t>
      </w:r>
      <w:r w:rsidR="00184653" w:rsidRPr="00CD308A">
        <w:rPr>
          <w:rFonts w:eastAsia="Times New Roman"/>
          <w:noProof/>
        </w:rPr>
        <w:t xml:space="preserve">Pani Agnieszka Zachmann psychoterapeutka, specjalistka i superwizorka pracy w obszarze przeciwdziałania przemocy w rodzinie z Poznańskiego Centrum Profilaktyki Społecznej starała się odpowiedzieć na pytanie „Jak skutecznie pracować z osobami stosującymi przemoc w rodzinie ?” </w:t>
      </w:r>
    </w:p>
    <w:p w14:paraId="704FB04F" w14:textId="77777777" w:rsidR="00184653" w:rsidRPr="00CD308A" w:rsidRDefault="00184653" w:rsidP="00184653">
      <w:pPr>
        <w:rPr>
          <w:rFonts w:eastAsia="Times New Roman"/>
          <w:noProof/>
        </w:rPr>
      </w:pPr>
      <w:r w:rsidRPr="00CD308A">
        <w:rPr>
          <w:rFonts w:eastAsia="Times New Roman"/>
          <w:noProof/>
        </w:rPr>
        <w:t>Konferencję zakończyły trzy prezentacje nagrodzonych projektów w Programie Osłonowym „Wspieranie Jednostek Samorządu Terytorialnego w Tworzeniu Systemu Przeciwdziałania Przemocy w Rodzinie” – Edycja 2022.</w:t>
      </w:r>
    </w:p>
    <w:p w14:paraId="3C2BAD0D" w14:textId="68F7D376" w:rsidR="00184653" w:rsidRPr="00CD308A" w:rsidRDefault="00184653" w:rsidP="00034A29">
      <w:pPr>
        <w:pStyle w:val="Nagwek2"/>
        <w:rPr>
          <w:rStyle w:val="markedcontent"/>
          <w:b w:val="0"/>
        </w:rPr>
      </w:pPr>
      <w:bookmarkStart w:id="72" w:name="_Toc127958215"/>
      <w:bookmarkStart w:id="73" w:name="_Toc128750797"/>
      <w:r w:rsidRPr="00CD308A">
        <w:rPr>
          <w:rStyle w:val="markedcontent"/>
        </w:rPr>
        <w:t>WYDARZENIA OBJĘTE PATRONATEM HONOROWYM PEŁNOMONICK</w:t>
      </w:r>
      <w:bookmarkEnd w:id="72"/>
      <w:bookmarkEnd w:id="73"/>
      <w:r w:rsidR="00466661">
        <w:rPr>
          <w:rStyle w:val="markedcontent"/>
        </w:rPr>
        <w:t>A</w:t>
      </w:r>
    </w:p>
    <w:p w14:paraId="729AAA5B" w14:textId="3A636FA1" w:rsidR="00184653" w:rsidRPr="00CD308A" w:rsidRDefault="00184653" w:rsidP="00184653">
      <w:r w:rsidRPr="00CD308A">
        <w:t xml:space="preserve">W 2022 </w:t>
      </w:r>
      <w:r w:rsidR="00C44FB8" w:rsidRPr="00CD308A">
        <w:t>r</w:t>
      </w:r>
      <w:r w:rsidR="00C44FB8">
        <w:t>.</w:t>
      </w:r>
      <w:r w:rsidR="00C44FB8" w:rsidRPr="00CD308A">
        <w:t xml:space="preserve"> </w:t>
      </w:r>
      <w:r w:rsidRPr="00CD308A">
        <w:t xml:space="preserve">Pełnomocnik </w:t>
      </w:r>
      <w:r w:rsidR="00BB7311" w:rsidRPr="00CD308A">
        <w:t>obj</w:t>
      </w:r>
      <w:r w:rsidR="00BB7311">
        <w:t>ął</w:t>
      </w:r>
      <w:r w:rsidR="00BB7311" w:rsidRPr="00CD308A">
        <w:t xml:space="preserve"> </w:t>
      </w:r>
      <w:r w:rsidRPr="00CD308A">
        <w:t xml:space="preserve">Patronatem honorowym dwa wydarzenia sportowe skierowane do dzieci i młodzieży pod nazwą: „III Korespondencyjny Turniej Miast o Puchar Niepodległości”, który obył się Lubaczowie oraz „Zagraj w Palanta na Orliku 2022 r.”, który odbył się w Baszni Dolnej. </w:t>
      </w:r>
    </w:p>
    <w:p w14:paraId="32864EB5" w14:textId="77777777" w:rsidR="00184653" w:rsidRPr="00CD308A" w:rsidRDefault="00184653" w:rsidP="00034A29">
      <w:pPr>
        <w:pStyle w:val="Nagwek1"/>
        <w:rPr>
          <w:rStyle w:val="markedcontent"/>
          <w:b w:val="0"/>
        </w:rPr>
      </w:pPr>
      <w:bookmarkStart w:id="74" w:name="_Toc127958216"/>
      <w:bookmarkStart w:id="75" w:name="_Toc128750798"/>
      <w:r w:rsidRPr="00CD308A">
        <w:rPr>
          <w:rStyle w:val="markedcontent"/>
        </w:rPr>
        <w:t>WYBRANE SPOTKANIA PEŁNOMOCNIKA Z PRZEDSTAWICIELAMI INSTYTUCJI MIĘDZYNARODOWYCH I AMBASAD W TEMATYCE RÓWNEGO TRAKTOWANIA</w:t>
      </w:r>
      <w:bookmarkEnd w:id="74"/>
      <w:bookmarkEnd w:id="75"/>
    </w:p>
    <w:p w14:paraId="65865416" w14:textId="2684D6B0" w:rsidR="00184653" w:rsidRPr="00CD308A" w:rsidRDefault="00184653" w:rsidP="00034A29">
      <w:pPr>
        <w:pStyle w:val="Nagwek2"/>
        <w:rPr>
          <w:rStyle w:val="css-901oao"/>
          <w:b w:val="0"/>
        </w:rPr>
      </w:pPr>
      <w:bookmarkStart w:id="76" w:name="_Toc127958217"/>
      <w:bookmarkStart w:id="77" w:name="_Toc128750799"/>
      <w:r w:rsidRPr="00CD308A">
        <w:rPr>
          <w:rStyle w:val="css-901oao"/>
        </w:rPr>
        <w:t xml:space="preserve">Spotkanie Pełnomocnik Rządu do Spraw Równego Traktowania </w:t>
      </w:r>
      <w:r w:rsidRPr="00CD308A">
        <w:t>ze  Specjalnym Pełnomocnikiem Brytyjskiego Premiera ds. Praw Osób LGBT+,</w:t>
      </w:r>
      <w:r w:rsidRPr="00CD308A">
        <w:br/>
        <w:t xml:space="preserve">Lordem Nickiem Herbertem </w:t>
      </w:r>
      <w:r w:rsidRPr="00CD308A">
        <w:rPr>
          <w:rStyle w:val="css-901oao"/>
        </w:rPr>
        <w:t>Danii w Polsce</w:t>
      </w:r>
      <w:bookmarkEnd w:id="76"/>
      <w:bookmarkEnd w:id="77"/>
    </w:p>
    <w:p w14:paraId="6D54C421" w14:textId="13BE5127" w:rsidR="00184653" w:rsidRPr="00CD308A" w:rsidRDefault="00184653" w:rsidP="00184653">
      <w:pPr>
        <w:rPr>
          <w:rFonts w:eastAsia="Times New Roman"/>
          <w:noProof/>
        </w:rPr>
      </w:pPr>
      <w:r w:rsidRPr="00CD308A">
        <w:rPr>
          <w:rFonts w:eastAsia="Times New Roman"/>
          <w:noProof/>
        </w:rPr>
        <w:t>24 czerwca 2022 r. Pełnomocnik spotkał się z</w:t>
      </w:r>
      <w:r w:rsidR="00C44FB8">
        <w:rPr>
          <w:rFonts w:eastAsia="Times New Roman"/>
          <w:noProof/>
        </w:rPr>
        <w:t>e</w:t>
      </w:r>
      <w:r w:rsidRPr="00CD308A">
        <w:rPr>
          <w:rFonts w:eastAsia="Times New Roman"/>
          <w:noProof/>
        </w:rPr>
        <w:t xml:space="preserve"> Specjalnym Pełnomocnikiem Brytyjskiego Premiera ds. Praw Osób LGBT+, Lordem Nickiem Herbertem. </w:t>
      </w:r>
    </w:p>
    <w:p w14:paraId="67F514A8" w14:textId="56592418" w:rsidR="00184653" w:rsidRPr="00CD308A" w:rsidRDefault="00184653" w:rsidP="00184653">
      <w:pPr>
        <w:rPr>
          <w:rFonts w:eastAsia="Times New Roman"/>
          <w:noProof/>
        </w:rPr>
      </w:pPr>
      <w:r w:rsidRPr="00CD308A">
        <w:rPr>
          <w:rFonts w:eastAsia="Times New Roman"/>
          <w:noProof/>
        </w:rPr>
        <w:t>Podczas spotkania omówione zostały m</w:t>
      </w:r>
      <w:r w:rsidR="00C44FB8">
        <w:rPr>
          <w:rFonts w:eastAsia="Times New Roman"/>
          <w:noProof/>
        </w:rPr>
        <w:t>.in.</w:t>
      </w:r>
      <w:r w:rsidRPr="00CD308A">
        <w:rPr>
          <w:rFonts w:eastAsia="Times New Roman"/>
          <w:noProof/>
        </w:rPr>
        <w:t xml:space="preserve"> założenia Krajowego Programu Działań na rzecz Równ</w:t>
      </w:r>
      <w:r w:rsidR="00665552">
        <w:rPr>
          <w:rFonts w:eastAsia="Times New Roman"/>
          <w:noProof/>
        </w:rPr>
        <w:t>e</w:t>
      </w:r>
      <w:r w:rsidRPr="00CD308A">
        <w:rPr>
          <w:rFonts w:eastAsia="Times New Roman"/>
          <w:noProof/>
        </w:rPr>
        <w:t>go Traktowania 2022</w:t>
      </w:r>
      <w:r w:rsidR="00C44FB8">
        <w:rPr>
          <w:rFonts w:eastAsia="Times New Roman"/>
          <w:noProof/>
        </w:rPr>
        <w:t>–</w:t>
      </w:r>
      <w:r w:rsidRPr="00CD308A">
        <w:rPr>
          <w:rFonts w:eastAsia="Times New Roman"/>
          <w:noProof/>
        </w:rPr>
        <w:t>2030</w:t>
      </w:r>
      <w:r w:rsidR="00665552">
        <w:rPr>
          <w:rFonts w:eastAsia="Times New Roman"/>
          <w:noProof/>
        </w:rPr>
        <w:t xml:space="preserve"> dotyczące mniejszości seksualnych</w:t>
      </w:r>
      <w:r w:rsidRPr="00CD308A">
        <w:rPr>
          <w:rFonts w:eastAsia="Times New Roman"/>
          <w:noProof/>
        </w:rPr>
        <w:t xml:space="preserve">. </w:t>
      </w:r>
      <w:r w:rsidR="00665552">
        <w:rPr>
          <w:rFonts w:eastAsia="Times New Roman"/>
          <w:noProof/>
        </w:rPr>
        <w:t>Pełnomocnik wskazał, że o</w:t>
      </w:r>
      <w:r w:rsidRPr="00CD308A">
        <w:rPr>
          <w:rFonts w:eastAsia="Times New Roman"/>
          <w:noProof/>
        </w:rPr>
        <w:t>becny Program zrywa z wadliwą praktyką</w:t>
      </w:r>
      <w:r w:rsidR="00C44FB8">
        <w:rPr>
          <w:rFonts w:eastAsia="Times New Roman"/>
          <w:noProof/>
        </w:rPr>
        <w:t>,</w:t>
      </w:r>
      <w:r w:rsidRPr="00CD308A">
        <w:rPr>
          <w:rFonts w:eastAsia="Times New Roman"/>
          <w:noProof/>
        </w:rPr>
        <w:t xml:space="preserve"> w której każde ministerstwo kreuje odrębną politykę antydyskryminacyjną</w:t>
      </w:r>
      <w:r w:rsidR="003A636F">
        <w:rPr>
          <w:rFonts w:eastAsia="Times New Roman"/>
          <w:noProof/>
        </w:rPr>
        <w:t>, bez pełnej konwergencji działań prawnych, edukacyjnych i oddziaływania społecznego</w:t>
      </w:r>
      <w:r w:rsidRPr="00CD308A">
        <w:rPr>
          <w:rFonts w:eastAsia="Times New Roman"/>
          <w:noProof/>
        </w:rPr>
        <w:t xml:space="preserve">. Program zakłada też (przy poszanowaniu prawa do prywatności i ochrony danych osobowych) budowę nowego systemu zgromadzenia i analizy danych nt. grup narażonych na wykluczenie, </w:t>
      </w:r>
      <w:r w:rsidR="0033242A">
        <w:rPr>
          <w:rFonts w:eastAsia="Times New Roman"/>
          <w:noProof/>
        </w:rPr>
        <w:br/>
      </w:r>
      <w:r w:rsidRPr="00CD308A">
        <w:rPr>
          <w:rFonts w:eastAsia="Times New Roman"/>
          <w:noProof/>
        </w:rPr>
        <w:t xml:space="preserve">w szczególności statystyczne ujęcie przestępstw z nienawiści, w tym popełnianych </w:t>
      </w:r>
      <w:r w:rsidR="0033242A">
        <w:rPr>
          <w:rFonts w:eastAsia="Times New Roman"/>
          <w:noProof/>
        </w:rPr>
        <w:br/>
      </w:r>
      <w:r w:rsidRPr="00CD308A">
        <w:rPr>
          <w:rFonts w:eastAsia="Times New Roman"/>
          <w:noProof/>
        </w:rPr>
        <w:lastRenderedPageBreak/>
        <w:t xml:space="preserve">na szkodę osób LGBT. Program zawiera również szereg działań z zakresu budowania świadomości społecznej, jak kampanie ogólnospołeczne oraz szkolenia dla konkretnych grup adresatów, którzy na co dzień mogą mieć do czynienia z przedstawicielami mniejszości. </w:t>
      </w:r>
    </w:p>
    <w:p w14:paraId="402655CF" w14:textId="7A59B2EF" w:rsidR="00184653" w:rsidRPr="00CD308A" w:rsidRDefault="00184653" w:rsidP="00184653">
      <w:pPr>
        <w:rPr>
          <w:rFonts w:eastAsia="Times New Roman"/>
          <w:noProof/>
        </w:rPr>
      </w:pPr>
      <w:r w:rsidRPr="00CD308A">
        <w:rPr>
          <w:rFonts w:eastAsia="Times New Roman"/>
          <w:noProof/>
        </w:rPr>
        <w:t xml:space="preserve">Omówiona została również kwestia uchwał </w:t>
      </w:r>
      <w:r w:rsidR="003A636F">
        <w:rPr>
          <w:rFonts w:eastAsia="Times New Roman"/>
          <w:noProof/>
        </w:rPr>
        <w:t xml:space="preserve">samorządów </w:t>
      </w:r>
      <w:r w:rsidRPr="00CD308A">
        <w:rPr>
          <w:rFonts w:eastAsia="Times New Roman"/>
          <w:noProof/>
        </w:rPr>
        <w:t xml:space="preserve">dotyczących </w:t>
      </w:r>
      <w:r w:rsidR="003A636F">
        <w:rPr>
          <w:rFonts w:eastAsia="Times New Roman"/>
          <w:noProof/>
        </w:rPr>
        <w:t xml:space="preserve">praw rodziny oraz </w:t>
      </w:r>
      <w:r w:rsidRPr="00CD308A">
        <w:rPr>
          <w:rFonts w:eastAsia="Times New Roman"/>
          <w:noProof/>
        </w:rPr>
        <w:t>tzw. „ideologii LGBT”. Pełnomocnik podkre</w:t>
      </w:r>
      <w:r w:rsidR="0033242A">
        <w:rPr>
          <w:rFonts w:eastAsia="Times New Roman"/>
          <w:noProof/>
        </w:rPr>
        <w:t>ś</w:t>
      </w:r>
      <w:r w:rsidRPr="00CD308A">
        <w:rPr>
          <w:rFonts w:eastAsia="Times New Roman"/>
          <w:noProof/>
        </w:rPr>
        <w:t xml:space="preserve">lił, że władza samorządowa jest wybierana w demokratycznych wyborach i jest niezależna od administracji rządowej. Podejmowane przez rady i sejmiki uchwały dotyczące tzw. „ideologii LGBT” podlegają nadzorowi wojewody wyłącznie pod kątem legalności. Sądy </w:t>
      </w:r>
      <w:r w:rsidR="00034A29">
        <w:rPr>
          <w:rFonts w:eastAsia="Times New Roman"/>
          <w:noProof/>
        </w:rPr>
        <w:t>a</w:t>
      </w:r>
      <w:r w:rsidR="00034A29" w:rsidRPr="00CD308A">
        <w:rPr>
          <w:rFonts w:eastAsia="Times New Roman"/>
          <w:noProof/>
        </w:rPr>
        <w:t>dministracyjne</w:t>
      </w:r>
      <w:r w:rsidRPr="00CD308A">
        <w:rPr>
          <w:rFonts w:eastAsia="Times New Roman"/>
          <w:noProof/>
        </w:rPr>
        <w:t>, rozpatrujące skargi Rzecznika Praw Obywatelskich i innych podmiotów</w:t>
      </w:r>
      <w:r w:rsidR="00034A29">
        <w:rPr>
          <w:rFonts w:eastAsia="Times New Roman"/>
          <w:noProof/>
        </w:rPr>
        <w:t>,</w:t>
      </w:r>
      <w:r w:rsidRPr="00CD308A">
        <w:rPr>
          <w:rFonts w:eastAsia="Times New Roman"/>
          <w:noProof/>
        </w:rPr>
        <w:t xml:space="preserve"> w większości uznały, że uchwały stanowią pozbawioną treści normatywnej deklarację ideową członków ciała kolegialnego, które uchwałę przyjęło. Żadna z uchwał nie została prawomocnie uznana za podjętą z naruszeniem przepisów prawa. W niektórych przypadkach Naczelny Sąd Administracyjny przekazał sprawę do ponownego rozpoznania przez Wojewódzki Sąd Administracyjny. Znaczna część uchwał została uchylona przez rady i sejmiki, które je przyjęły. Do tego pomyślnego rozwiązania przyczynił się wystosowany po konsultacji z Pełnomocnikiem list z 15 września 2021 r. ówczesnego sekretarza stanu w Ministerstwie Funduszy i Polityki Regionalnej, Ministra Waldemara Budy, wzywający samorządy do poszanowania zasad horyzontalnych UE oraz rozważenia możliwości ewentualnej korekty lub uchylenia niektórych postanowień uchwał.</w:t>
      </w:r>
    </w:p>
    <w:p w14:paraId="19B6CBCE" w14:textId="68B1A4E0" w:rsidR="00184653" w:rsidRPr="00CD308A" w:rsidRDefault="00184653" w:rsidP="00034A29">
      <w:pPr>
        <w:pStyle w:val="Nagwek2"/>
        <w:rPr>
          <w:rStyle w:val="css-901oao"/>
          <w:b w:val="0"/>
        </w:rPr>
      </w:pPr>
      <w:bookmarkStart w:id="78" w:name="_Toc127958218"/>
      <w:bookmarkStart w:id="79" w:name="_Toc128750800"/>
      <w:r w:rsidRPr="00CD308A">
        <w:rPr>
          <w:rStyle w:val="css-901oao"/>
        </w:rPr>
        <w:t xml:space="preserve">Spotkanie Pełnomocnik Rządu do Spraw Równego Traktowania z Panią Heleną </w:t>
      </w:r>
      <w:proofErr w:type="spellStart"/>
      <w:r w:rsidRPr="00CD308A">
        <w:rPr>
          <w:rStyle w:val="css-901oao"/>
        </w:rPr>
        <w:t>Dalli</w:t>
      </w:r>
      <w:proofErr w:type="spellEnd"/>
      <w:r w:rsidRPr="00CD308A">
        <w:rPr>
          <w:rStyle w:val="css-901oao"/>
        </w:rPr>
        <w:t xml:space="preserve">  Komisarz UE ds. równouprawnienia w Polsce</w:t>
      </w:r>
      <w:bookmarkEnd w:id="78"/>
      <w:bookmarkEnd w:id="79"/>
    </w:p>
    <w:p w14:paraId="14B55D01" w14:textId="5E32799A" w:rsidR="00184653" w:rsidRPr="00CD308A" w:rsidRDefault="00184653" w:rsidP="00184653">
      <w:pPr>
        <w:rPr>
          <w:rFonts w:eastAsia="Times New Roman"/>
          <w:noProof/>
        </w:rPr>
      </w:pPr>
      <w:r w:rsidRPr="00CD308A">
        <w:rPr>
          <w:rFonts w:eastAsia="Times New Roman"/>
          <w:noProof/>
        </w:rPr>
        <w:t xml:space="preserve">24 czerwca 2022 r. Pełnomocnik spotkał się z Komisarz UE ds. Równouprawnienia, Panią Heleną Dalli. </w:t>
      </w:r>
    </w:p>
    <w:p w14:paraId="0CBDA790" w14:textId="4D07C605" w:rsidR="00184653" w:rsidRPr="00CD308A" w:rsidRDefault="00184653" w:rsidP="00184653">
      <w:pPr>
        <w:rPr>
          <w:rFonts w:eastAsia="Times New Roman"/>
          <w:noProof/>
        </w:rPr>
      </w:pPr>
      <w:r w:rsidRPr="00CD308A">
        <w:rPr>
          <w:rFonts w:eastAsia="Times New Roman"/>
          <w:noProof/>
        </w:rPr>
        <w:t xml:space="preserve">Tematem rozmów był kryzys w związku z rosyjską agresją na Ukrainę, w szczególności sytuacja kobiet-uchodźczyń oraz informacja strony </w:t>
      </w:r>
      <w:r w:rsidR="003A636F">
        <w:rPr>
          <w:rFonts w:eastAsia="Times New Roman"/>
          <w:noProof/>
        </w:rPr>
        <w:t>p</w:t>
      </w:r>
      <w:r w:rsidRPr="00CD308A">
        <w:rPr>
          <w:rFonts w:eastAsia="Times New Roman"/>
          <w:noProof/>
        </w:rPr>
        <w:t>olskiej na temat działań podjętych na poziomie centralnym, współpracy z władzami lokalnymi (szczególnie miastami) i</w:t>
      </w:r>
      <w:r w:rsidR="001136A8">
        <w:rPr>
          <w:rFonts w:eastAsia="Times New Roman"/>
          <w:noProof/>
        </w:rPr>
        <w:t> </w:t>
      </w:r>
      <w:r w:rsidRPr="00CD308A">
        <w:rPr>
          <w:rFonts w:eastAsia="Times New Roman"/>
          <w:noProof/>
        </w:rPr>
        <w:t>organizacjami pozarządowymi w szczególności pomocy udzielanej przez Polskę.</w:t>
      </w:r>
    </w:p>
    <w:p w14:paraId="62D1FBA1" w14:textId="5CC20652" w:rsidR="00184653" w:rsidRPr="00CD308A" w:rsidRDefault="00184653" w:rsidP="00184653">
      <w:pPr>
        <w:rPr>
          <w:rFonts w:eastAsia="Times New Roman"/>
          <w:noProof/>
        </w:rPr>
      </w:pPr>
      <w:r w:rsidRPr="00CD308A">
        <w:rPr>
          <w:rFonts w:eastAsia="Times New Roman"/>
          <w:noProof/>
        </w:rPr>
        <w:t>Pełnomonick przedstawiła działania podejmowane przez Polskę</w:t>
      </w:r>
      <w:r w:rsidR="003A636F">
        <w:rPr>
          <w:rFonts w:eastAsia="Times New Roman"/>
          <w:noProof/>
        </w:rPr>
        <w:t>, podekreślając, że</w:t>
      </w:r>
      <w:r w:rsidRPr="00CD308A">
        <w:rPr>
          <w:rFonts w:eastAsia="Times New Roman"/>
          <w:noProof/>
        </w:rPr>
        <w:t xml:space="preserve"> mają</w:t>
      </w:r>
      <w:r w:rsidR="003A636F">
        <w:rPr>
          <w:rFonts w:eastAsia="Times New Roman"/>
          <w:noProof/>
        </w:rPr>
        <w:t xml:space="preserve"> one</w:t>
      </w:r>
      <w:r w:rsidRPr="00CD308A">
        <w:rPr>
          <w:rFonts w:eastAsia="Times New Roman"/>
          <w:noProof/>
        </w:rPr>
        <w:t xml:space="preserve"> na celu wyrównanie szans przybywających obywateli Ukrainy, między innymi poprzez umożliwienie uzyskania numeru PESEL, czyli numeru identyfikacji mieszkańców Polski, który umożliwia dostęp do usług publicznych na takich samych zasadach jak polscy obywatele.</w:t>
      </w:r>
    </w:p>
    <w:p w14:paraId="2CAF31CC" w14:textId="77777777" w:rsidR="00184653" w:rsidRPr="00CD308A" w:rsidRDefault="00184653" w:rsidP="00184653">
      <w:pPr>
        <w:rPr>
          <w:rFonts w:eastAsia="Times New Roman"/>
          <w:noProof/>
        </w:rPr>
      </w:pPr>
      <w:r w:rsidRPr="00CD308A">
        <w:rPr>
          <w:rFonts w:eastAsia="Times New Roman"/>
          <w:noProof/>
        </w:rPr>
        <w:lastRenderedPageBreak/>
        <w:t xml:space="preserve">Podczas spotkania podkreślone zostało także, że Rząd RP podejmuje szeroko zakrojone działania na wszystkich szczeblach, aby stworzyć jak najlepsze warunki pomocy naszym sąsiadom i umożliwić im godne życie w tak trudnym dla nich czasie. </w:t>
      </w:r>
    </w:p>
    <w:p w14:paraId="58161E93" w14:textId="516FEFAC" w:rsidR="00184653" w:rsidRPr="00CD308A" w:rsidRDefault="00184653" w:rsidP="00184653">
      <w:pPr>
        <w:rPr>
          <w:rFonts w:eastAsia="Times New Roman"/>
          <w:noProof/>
        </w:rPr>
      </w:pPr>
      <w:r w:rsidRPr="00CD308A">
        <w:rPr>
          <w:rFonts w:eastAsia="Times New Roman"/>
          <w:noProof/>
        </w:rPr>
        <w:t>Drugim niemniej ważnym tematem podn</w:t>
      </w:r>
      <w:r w:rsidR="003A636F">
        <w:rPr>
          <w:rFonts w:eastAsia="Times New Roman"/>
          <w:noProof/>
        </w:rPr>
        <w:t>iesionym</w:t>
      </w:r>
      <w:r w:rsidRPr="00CD308A">
        <w:rPr>
          <w:rFonts w:eastAsia="Times New Roman"/>
          <w:noProof/>
        </w:rPr>
        <w:t xml:space="preserve"> przez Pełnomocnik</w:t>
      </w:r>
      <w:r w:rsidR="003A636F">
        <w:rPr>
          <w:rFonts w:eastAsia="Times New Roman"/>
          <w:noProof/>
        </w:rPr>
        <w:t>a</w:t>
      </w:r>
      <w:r w:rsidRPr="00CD308A">
        <w:rPr>
          <w:rFonts w:eastAsia="Times New Roman"/>
          <w:noProof/>
        </w:rPr>
        <w:t xml:space="preserve"> były kwestie związane z Strategią na rzecz równouprawnienia płci na lata 2020</w:t>
      </w:r>
      <w:r w:rsidR="004B2F1B">
        <w:rPr>
          <w:rFonts w:eastAsia="Times New Roman"/>
          <w:noProof/>
        </w:rPr>
        <w:t>–</w:t>
      </w:r>
      <w:r w:rsidRPr="00CD308A">
        <w:rPr>
          <w:rFonts w:eastAsia="Times New Roman"/>
          <w:noProof/>
        </w:rPr>
        <w:t xml:space="preserve">2025. Podczas spotkania omówione zostały działania podejmowane przez Polskę na rzecz równości kobiet i mężcyzn w tym między innymi: </w:t>
      </w:r>
    </w:p>
    <w:p w14:paraId="639FC178" w14:textId="4E4A7472" w:rsidR="00184653" w:rsidRPr="00CD308A" w:rsidRDefault="00184653" w:rsidP="00464DE6">
      <w:pPr>
        <w:pStyle w:val="Akapitzlist"/>
        <w:numPr>
          <w:ilvl w:val="0"/>
          <w:numId w:val="7"/>
        </w:numPr>
        <w:rPr>
          <w:rFonts w:eastAsia="Times New Roman"/>
          <w:noProof/>
        </w:rPr>
      </w:pPr>
      <w:r w:rsidRPr="00CD308A">
        <w:rPr>
          <w:rFonts w:eastAsia="Times New Roman"/>
          <w:noProof/>
        </w:rPr>
        <w:t>wdrażanie Krajowego Programu Działań na Rzecz Równego Traktowania na lata 2022</w:t>
      </w:r>
      <w:r w:rsidR="004B2F1B">
        <w:rPr>
          <w:rFonts w:eastAsia="Times New Roman"/>
          <w:noProof/>
        </w:rPr>
        <w:t>–</w:t>
      </w:r>
      <w:r w:rsidRPr="00CD308A">
        <w:rPr>
          <w:rFonts w:eastAsia="Times New Roman"/>
          <w:noProof/>
        </w:rPr>
        <w:t>2030. W ramach Programu przewidziano wypracowanie pakietu legislacyjnego, który wdroży zasadę transparentności płac jako środka walki z luką płacową</w:t>
      </w:r>
      <w:r w:rsidR="00BD21A2">
        <w:rPr>
          <w:rFonts w:eastAsia="Times New Roman"/>
          <w:noProof/>
        </w:rPr>
        <w:t>,</w:t>
      </w:r>
      <w:r w:rsidRPr="00CD308A">
        <w:rPr>
          <w:rFonts w:eastAsia="Times New Roman"/>
          <w:noProof/>
        </w:rPr>
        <w:t xml:space="preserve"> oraz wzmocnienie edukacji antydyskryminacyjnej poprzez coroczny raport „Różnica w wynagrodzeniach kobiet i mężczyzn”. </w:t>
      </w:r>
    </w:p>
    <w:p w14:paraId="02CE1128" w14:textId="657A9466" w:rsidR="00184653" w:rsidRPr="00CD308A" w:rsidRDefault="00184653" w:rsidP="00464DE6">
      <w:pPr>
        <w:pStyle w:val="Akapitzlist"/>
        <w:numPr>
          <w:ilvl w:val="0"/>
          <w:numId w:val="7"/>
        </w:numPr>
        <w:rPr>
          <w:rFonts w:eastAsia="Times New Roman"/>
          <w:noProof/>
        </w:rPr>
      </w:pPr>
      <w:r w:rsidRPr="00CD308A">
        <w:rPr>
          <w:rFonts w:eastAsia="Times New Roman"/>
          <w:noProof/>
        </w:rPr>
        <w:t xml:space="preserve">przygotowanie rozwiązań mających na celu wdrożenie </w:t>
      </w:r>
      <w:r w:rsidR="00BD21A2">
        <w:rPr>
          <w:rFonts w:eastAsia="Times New Roman"/>
          <w:noProof/>
        </w:rPr>
        <w:t>d</w:t>
      </w:r>
      <w:r w:rsidR="00BD21A2" w:rsidRPr="00CD308A">
        <w:rPr>
          <w:rFonts w:eastAsia="Times New Roman"/>
          <w:noProof/>
        </w:rPr>
        <w:t xml:space="preserve">yrektywy </w:t>
      </w:r>
      <w:r w:rsidRPr="00CD308A">
        <w:rPr>
          <w:rFonts w:eastAsia="Times New Roman"/>
          <w:noProof/>
        </w:rPr>
        <w:t xml:space="preserve">dotyczącej równowagi między życiem zawodowym a prywatnym rodziców i opiekunów (tzw. dyrektywa work-life balance) oraz uczestniczenie w procesie decyzyjnym Unii Europejskiej, konsultacje projektu </w:t>
      </w:r>
      <w:r w:rsidR="00BD21A2">
        <w:rPr>
          <w:rFonts w:eastAsia="Times New Roman"/>
          <w:noProof/>
        </w:rPr>
        <w:t>d</w:t>
      </w:r>
      <w:r w:rsidR="00BD21A2" w:rsidRPr="00CD308A">
        <w:rPr>
          <w:rFonts w:eastAsia="Times New Roman"/>
          <w:noProof/>
        </w:rPr>
        <w:t xml:space="preserve">yrektywy </w:t>
      </w:r>
      <w:r w:rsidRPr="00CD308A">
        <w:rPr>
          <w:rFonts w:eastAsia="Times New Roman"/>
          <w:noProof/>
        </w:rPr>
        <w:t>Parlamentu Europejskiego Rady w sprawie poprawy równowagi płci.</w:t>
      </w:r>
    </w:p>
    <w:p w14:paraId="3674E8F9" w14:textId="0C56A17F" w:rsidR="00184653" w:rsidRPr="00CD308A" w:rsidRDefault="00184653" w:rsidP="00034A29">
      <w:pPr>
        <w:pStyle w:val="Nagwek2"/>
        <w:rPr>
          <w:rStyle w:val="css-901oao"/>
          <w:b w:val="0"/>
        </w:rPr>
      </w:pPr>
      <w:bookmarkStart w:id="80" w:name="_Toc127958219"/>
      <w:bookmarkStart w:id="81" w:name="_Toc128750801"/>
      <w:r w:rsidRPr="003A636F">
        <w:rPr>
          <w:rStyle w:val="css-901oao"/>
        </w:rPr>
        <w:t xml:space="preserve">Spotkanie </w:t>
      </w:r>
      <w:r w:rsidRPr="00903E9B">
        <w:rPr>
          <w:rStyle w:val="css-901oao"/>
        </w:rPr>
        <w:t>Pełnomocnik</w:t>
      </w:r>
      <w:r w:rsidRPr="00CD308A">
        <w:rPr>
          <w:rStyle w:val="css-901oao"/>
        </w:rPr>
        <w:t xml:space="preserve"> Rządu do Spraw Równego Traktowania </w:t>
      </w:r>
      <w:r w:rsidR="0033242A">
        <w:rPr>
          <w:rStyle w:val="css-901oao"/>
        </w:rPr>
        <w:br/>
      </w:r>
      <w:r w:rsidRPr="00CD308A">
        <w:rPr>
          <w:rStyle w:val="css-901oao"/>
        </w:rPr>
        <w:t xml:space="preserve">z </w:t>
      </w:r>
      <w:bookmarkEnd w:id="80"/>
      <w:r w:rsidR="003A636F">
        <w:rPr>
          <w:rStyle w:val="css-901oao"/>
        </w:rPr>
        <w:t>Ambasadorkami</w:t>
      </w:r>
      <w:bookmarkEnd w:id="81"/>
    </w:p>
    <w:p w14:paraId="3E1A7033" w14:textId="3ECF78FF" w:rsidR="00184653" w:rsidRPr="00CD308A" w:rsidRDefault="00184653" w:rsidP="00184653">
      <w:pPr>
        <w:rPr>
          <w:rFonts w:eastAsia="Times New Roman"/>
          <w:noProof/>
        </w:rPr>
      </w:pPr>
      <w:r w:rsidRPr="00CD308A">
        <w:rPr>
          <w:rFonts w:eastAsia="Times New Roman"/>
          <w:noProof/>
        </w:rPr>
        <w:t>22 listopada 2022 r. odbyło się spotkanie Pełnomonik</w:t>
      </w:r>
      <w:r w:rsidR="003A636F">
        <w:rPr>
          <w:rFonts w:eastAsia="Times New Roman"/>
          <w:noProof/>
        </w:rPr>
        <w:t xml:space="preserve">a </w:t>
      </w:r>
      <w:r w:rsidRPr="00CD308A">
        <w:rPr>
          <w:rFonts w:eastAsia="Times New Roman"/>
          <w:noProof/>
        </w:rPr>
        <w:t xml:space="preserve">z Ambasador Nideralndów, Daphne Bergsmą w ramach Woman Ambassadors Warsaw.  </w:t>
      </w:r>
    </w:p>
    <w:p w14:paraId="174F39E8" w14:textId="38619871" w:rsidR="00184653" w:rsidRPr="00CD308A" w:rsidRDefault="00184653" w:rsidP="00184653">
      <w:pPr>
        <w:rPr>
          <w:rFonts w:eastAsia="Times New Roman"/>
          <w:noProof/>
        </w:rPr>
      </w:pPr>
      <w:r w:rsidRPr="00CD308A">
        <w:rPr>
          <w:rFonts w:eastAsia="Times New Roman"/>
          <w:noProof/>
        </w:rPr>
        <w:t xml:space="preserve">W spotkaniu w rezydencji Ambasador Niderlandów </w:t>
      </w:r>
      <w:r w:rsidR="00BD21A2" w:rsidRPr="00CD308A">
        <w:rPr>
          <w:rFonts w:eastAsia="Times New Roman"/>
          <w:noProof/>
        </w:rPr>
        <w:t>uczestniczy</w:t>
      </w:r>
      <w:r w:rsidR="00BD21A2">
        <w:rPr>
          <w:rFonts w:eastAsia="Times New Roman"/>
          <w:noProof/>
        </w:rPr>
        <w:t>ł</w:t>
      </w:r>
      <w:r w:rsidR="00BD21A2" w:rsidRPr="00CD308A">
        <w:rPr>
          <w:rFonts w:eastAsia="Times New Roman"/>
          <w:noProof/>
        </w:rPr>
        <w:t xml:space="preserve">y </w:t>
      </w:r>
      <w:r w:rsidRPr="00CD308A">
        <w:rPr>
          <w:rFonts w:eastAsia="Times New Roman"/>
          <w:noProof/>
        </w:rPr>
        <w:t>ambasadorki m.in. Wielkiej Brytanii, Słowacji, Kuby, Libanu, RPA, Filipin, Węgier, Albanii, Azerbejdżanu i Sri Lanki.</w:t>
      </w:r>
    </w:p>
    <w:p w14:paraId="556D49E7" w14:textId="1321FDAC" w:rsidR="00184653" w:rsidRPr="00CD308A" w:rsidRDefault="00184653" w:rsidP="00184653">
      <w:pPr>
        <w:rPr>
          <w:rFonts w:eastAsia="Times New Roman"/>
          <w:noProof/>
        </w:rPr>
      </w:pPr>
      <w:r w:rsidRPr="00CD308A">
        <w:rPr>
          <w:rFonts w:eastAsia="Times New Roman"/>
          <w:noProof/>
        </w:rPr>
        <w:t>Jednym z głównych tematów był Krajowy Program Działań na rzecz Równego Traktowania 2022</w:t>
      </w:r>
      <w:r w:rsidR="00BD21A2">
        <w:rPr>
          <w:rFonts w:eastAsia="Times New Roman"/>
          <w:noProof/>
        </w:rPr>
        <w:t>–</w:t>
      </w:r>
      <w:r w:rsidRPr="00CD308A">
        <w:rPr>
          <w:rFonts w:eastAsia="Times New Roman"/>
          <w:noProof/>
        </w:rPr>
        <w:t xml:space="preserve">2030. </w:t>
      </w:r>
    </w:p>
    <w:p w14:paraId="5CB90DD7" w14:textId="77777777" w:rsidR="00184653" w:rsidRPr="00CD308A" w:rsidRDefault="00184653" w:rsidP="00184653">
      <w:pPr>
        <w:rPr>
          <w:rFonts w:eastAsia="Times New Roman"/>
          <w:noProof/>
        </w:rPr>
      </w:pPr>
      <w:r w:rsidRPr="00CD308A">
        <w:rPr>
          <w:rFonts w:eastAsia="Times New Roman"/>
          <w:noProof/>
        </w:rPr>
        <w:t>Uczestniczki spotkania wymieniły się również dobrymi praktykami i wspólnie wsparły kampanię „Orange the World”, która ma na celu zwrócenie uwagi i uwrażliwienie na problem przemocy ze względu na płeć.</w:t>
      </w:r>
    </w:p>
    <w:p w14:paraId="4254D2AA" w14:textId="72035969" w:rsidR="00184653" w:rsidRDefault="003A636F" w:rsidP="00034A29">
      <w:pPr>
        <w:pStyle w:val="Nagwek2"/>
      </w:pPr>
      <w:bookmarkStart w:id="82" w:name="_Toc127958220"/>
      <w:bookmarkStart w:id="83" w:name="_Toc128750802"/>
      <w:r>
        <w:lastRenderedPageBreak/>
        <w:t>S</w:t>
      </w:r>
      <w:r w:rsidR="00184653">
        <w:t>potkania</w:t>
      </w:r>
      <w:bookmarkEnd w:id="82"/>
      <w:r w:rsidR="00184653">
        <w:t xml:space="preserve"> </w:t>
      </w:r>
      <w:r>
        <w:t>przedstawicieli Biura Pełnomocnika</w:t>
      </w:r>
      <w:bookmarkEnd w:id="83"/>
    </w:p>
    <w:p w14:paraId="4B228A44" w14:textId="3B792E12" w:rsidR="00184653" w:rsidRPr="00683B72" w:rsidRDefault="00184653" w:rsidP="00464DE6">
      <w:pPr>
        <w:pStyle w:val="Akapitzlist"/>
        <w:numPr>
          <w:ilvl w:val="0"/>
          <w:numId w:val="13"/>
        </w:numPr>
        <w:tabs>
          <w:tab w:val="clear" w:pos="4181"/>
          <w:tab w:val="clear" w:pos="4536"/>
          <w:tab w:val="clear" w:pos="9072"/>
          <w:tab w:val="clear" w:pos="9212"/>
        </w:tabs>
        <w:rPr>
          <w:rFonts w:cs="Times New Roman"/>
          <w:i/>
        </w:rPr>
      </w:pPr>
      <w:r w:rsidRPr="00683B72">
        <w:rPr>
          <w:rFonts w:cs="Times New Roman"/>
        </w:rPr>
        <w:t xml:space="preserve">Przedstawiciel Pełnomocnika uczestniczył w Powszechnym Okresowym Przeglądzie Praw Człowieka </w:t>
      </w:r>
      <w:r w:rsidR="003A636F" w:rsidRPr="00683B72">
        <w:t>(</w:t>
      </w:r>
      <w:r w:rsidR="003A636F" w:rsidRPr="00683B72">
        <w:rPr>
          <w:iCs/>
        </w:rPr>
        <w:t xml:space="preserve">Universal </w:t>
      </w:r>
      <w:proofErr w:type="spellStart"/>
      <w:r w:rsidR="003A636F" w:rsidRPr="00683B72">
        <w:rPr>
          <w:iCs/>
        </w:rPr>
        <w:t>Periodic</w:t>
      </w:r>
      <w:proofErr w:type="spellEnd"/>
      <w:r w:rsidR="003A636F" w:rsidRPr="00683B72">
        <w:rPr>
          <w:iCs/>
        </w:rPr>
        <w:t xml:space="preserve"> </w:t>
      </w:r>
      <w:proofErr w:type="spellStart"/>
      <w:r w:rsidR="003A636F" w:rsidRPr="00683B72">
        <w:rPr>
          <w:iCs/>
        </w:rPr>
        <w:t>Review</w:t>
      </w:r>
      <w:proofErr w:type="spellEnd"/>
      <w:r w:rsidR="003A636F" w:rsidRPr="00683B72">
        <w:rPr>
          <w:iCs/>
        </w:rPr>
        <w:t xml:space="preserve">) </w:t>
      </w:r>
      <w:r w:rsidRPr="00683B72">
        <w:t>pod auspicjami Rady Praw Człowieka ONZ w Genewie</w:t>
      </w:r>
      <w:r w:rsidR="003A636F">
        <w:t xml:space="preserve">. </w:t>
      </w:r>
      <w:r w:rsidR="004041E9">
        <w:t>Delegacja polska odpowiadała</w:t>
      </w:r>
      <w:r w:rsidRPr="00683B72">
        <w:t xml:space="preserve"> przedstawiciel</w:t>
      </w:r>
      <w:r w:rsidR="004041E9">
        <w:t>om</w:t>
      </w:r>
      <w:r w:rsidRPr="00683B72">
        <w:t xml:space="preserve"> państw </w:t>
      </w:r>
      <w:r w:rsidR="004041E9">
        <w:t xml:space="preserve">nt. stanu praw człowieka w Polsce, ze szczególnym uwzględnieniem </w:t>
      </w:r>
      <w:r w:rsidRPr="00683B72">
        <w:t>IV Rapor</w:t>
      </w:r>
      <w:r w:rsidR="004041E9">
        <w:t>tu okresowego</w:t>
      </w:r>
      <w:r w:rsidRPr="00683B72">
        <w:t xml:space="preserve"> Rzeczypospolitej Polskiej</w:t>
      </w:r>
      <w:r w:rsidR="004041E9">
        <w:t xml:space="preserve"> oraz </w:t>
      </w:r>
      <w:r w:rsidRPr="00683B72">
        <w:t>wdrożenia rekomendacji przyjętych podczas poprzedniego cyklu przeglądu. Przedstawiciel Pełnomocnika przedstawił informacje o działalności  Pełnomocnik</w:t>
      </w:r>
      <w:r w:rsidR="004041E9">
        <w:t xml:space="preserve">a m.in. w zakresie równouprawnienia kobiet i mężczyzn, ochrony osób z niepełnosprawnościami, przeciwdziałania </w:t>
      </w:r>
      <w:proofErr w:type="spellStart"/>
      <w:r w:rsidR="004041E9">
        <w:t>ageizmowi</w:t>
      </w:r>
      <w:proofErr w:type="spellEnd"/>
      <w:r w:rsidR="004041E9">
        <w:t xml:space="preserve"> i przemocy wobec kobiet i dzieci</w:t>
      </w:r>
      <w:r w:rsidRPr="00683B72">
        <w:t>.</w:t>
      </w:r>
    </w:p>
    <w:p w14:paraId="071F29A0" w14:textId="76C245BF" w:rsidR="00184653" w:rsidRPr="000A1B40" w:rsidRDefault="00184653" w:rsidP="00464DE6">
      <w:pPr>
        <w:pStyle w:val="Akapitzlist"/>
        <w:numPr>
          <w:ilvl w:val="0"/>
          <w:numId w:val="13"/>
        </w:numPr>
        <w:tabs>
          <w:tab w:val="clear" w:pos="4181"/>
          <w:tab w:val="clear" w:pos="4536"/>
          <w:tab w:val="clear" w:pos="9072"/>
          <w:tab w:val="clear" w:pos="9212"/>
        </w:tabs>
        <w:autoSpaceDE w:val="0"/>
        <w:autoSpaceDN w:val="0"/>
        <w:adjustRightInd w:val="0"/>
        <w:rPr>
          <w:rFonts w:cs="Times New Roman"/>
        </w:rPr>
      </w:pPr>
      <w:r w:rsidRPr="000A1B40">
        <w:rPr>
          <w:rFonts w:cs="Times New Roman"/>
        </w:rPr>
        <w:t>Przedstawiciel Pełnomocnik</w:t>
      </w:r>
      <w:r w:rsidR="00BD21A2">
        <w:rPr>
          <w:rFonts w:cs="Times New Roman"/>
        </w:rPr>
        <w:t>a</w:t>
      </w:r>
      <w:r w:rsidRPr="000A1B40">
        <w:rPr>
          <w:rFonts w:cs="Times New Roman"/>
        </w:rPr>
        <w:t xml:space="preserve"> uczestniczył w spotkaniu z przedstawicielami organizacji pozarządowych zaangażowanych w pomoc dla uchodźców wojennych z Ukrainy 19 maja 2022 r. w Kancelarii Prezesa Rady Ministrów. W czasie spotkania poruszano zagadnienia związane z programem współpracy Rządu z</w:t>
      </w:r>
      <w:r w:rsidR="001136A8">
        <w:rPr>
          <w:rFonts w:cs="Times New Roman"/>
        </w:rPr>
        <w:t> </w:t>
      </w:r>
      <w:r w:rsidRPr="000A1B40">
        <w:rPr>
          <w:rFonts w:cs="Times New Roman"/>
        </w:rPr>
        <w:t xml:space="preserve">NGO na rzecz </w:t>
      </w:r>
      <w:r w:rsidR="004041E9">
        <w:rPr>
          <w:rFonts w:cs="Times New Roman"/>
        </w:rPr>
        <w:t>u</w:t>
      </w:r>
      <w:r w:rsidRPr="000A1B40">
        <w:rPr>
          <w:rFonts w:cs="Times New Roman"/>
        </w:rPr>
        <w:t>chodźców.</w:t>
      </w:r>
    </w:p>
    <w:p w14:paraId="518C8736" w14:textId="4F519CFE" w:rsidR="00184653" w:rsidRPr="00683B72" w:rsidRDefault="00184653" w:rsidP="00464DE6">
      <w:pPr>
        <w:pStyle w:val="Akapitzlist"/>
        <w:numPr>
          <w:ilvl w:val="0"/>
          <w:numId w:val="13"/>
        </w:numPr>
        <w:tabs>
          <w:tab w:val="clear" w:pos="4181"/>
          <w:tab w:val="clear" w:pos="4536"/>
          <w:tab w:val="clear" w:pos="9072"/>
          <w:tab w:val="clear" w:pos="9212"/>
        </w:tabs>
        <w:autoSpaceDE w:val="0"/>
        <w:autoSpaceDN w:val="0"/>
        <w:adjustRightInd w:val="0"/>
        <w:rPr>
          <w:rFonts w:cs="Times New Roman"/>
        </w:rPr>
      </w:pPr>
      <w:r w:rsidRPr="00683B72">
        <w:rPr>
          <w:rFonts w:cs="Times New Roman"/>
        </w:rPr>
        <w:t>8 czerwca 2022 r. Przedstawiciel Pełnomocnik</w:t>
      </w:r>
      <w:r w:rsidR="00BD21A2">
        <w:rPr>
          <w:rFonts w:cs="Times New Roman"/>
        </w:rPr>
        <w:t>a</w:t>
      </w:r>
      <w:r w:rsidRPr="00683B72">
        <w:rPr>
          <w:rFonts w:cs="Times New Roman"/>
        </w:rPr>
        <w:t xml:space="preserve"> uczestniczył w wizycie przedstawicieli Grupy Ekspertów Rady Europy (GRETA) ds. monitorowania wdrażania Konwencji Rady Europy w sprawie działań przeciwko handlowi ludźmi. </w:t>
      </w:r>
      <w:r w:rsidRPr="00683B72">
        <w:rPr>
          <w:spacing w:val="-2"/>
        </w:rPr>
        <w:t>GRETA przeprowadza okresową ewaluację wdrażania ww. Konwencji w</w:t>
      </w:r>
      <w:r w:rsidR="001136A8">
        <w:rPr>
          <w:spacing w:val="-2"/>
        </w:rPr>
        <w:t> </w:t>
      </w:r>
      <w:r w:rsidRPr="00683B72">
        <w:rPr>
          <w:spacing w:val="-2"/>
        </w:rPr>
        <w:t>państwach-stronach. Krajowy Program Działań na Rzecz Równego Traktowania pośrednio zajmuje się tematyką handlu ludźmi.</w:t>
      </w:r>
    </w:p>
    <w:p w14:paraId="172C0347" w14:textId="0E77CA98" w:rsidR="00184653" w:rsidRPr="00683B72" w:rsidRDefault="00184653" w:rsidP="00464DE6">
      <w:pPr>
        <w:pStyle w:val="Akapitzlist"/>
        <w:numPr>
          <w:ilvl w:val="0"/>
          <w:numId w:val="13"/>
        </w:numPr>
        <w:tabs>
          <w:tab w:val="clear" w:pos="4181"/>
          <w:tab w:val="clear" w:pos="4536"/>
          <w:tab w:val="clear" w:pos="9072"/>
          <w:tab w:val="clear" w:pos="9212"/>
        </w:tabs>
        <w:autoSpaceDE w:val="0"/>
        <w:autoSpaceDN w:val="0"/>
        <w:adjustRightInd w:val="0"/>
        <w:rPr>
          <w:rFonts w:cs="Times New Roman"/>
        </w:rPr>
      </w:pPr>
      <w:r w:rsidRPr="00683B72">
        <w:rPr>
          <w:rFonts w:cs="Times New Roman"/>
        </w:rPr>
        <w:t>Przedstawiciel Pełnomocnik</w:t>
      </w:r>
      <w:r w:rsidR="00BD21A2">
        <w:rPr>
          <w:rFonts w:cs="Times New Roman"/>
        </w:rPr>
        <w:t>a</w:t>
      </w:r>
      <w:r w:rsidRPr="00683B72">
        <w:rPr>
          <w:rFonts w:cs="Times New Roman"/>
        </w:rPr>
        <w:t xml:space="preserve"> wziął udział w spotkaniu online/zdalnym Podgrupy ds. danych dotyczących równości w dniu 6 czerwca 2022 r. Na spotkaniu omawiana była struktura Poradnika </w:t>
      </w:r>
      <w:r w:rsidR="00BD21A2">
        <w:rPr>
          <w:rFonts w:cs="Times New Roman"/>
        </w:rPr>
        <w:t>–</w:t>
      </w:r>
      <w:r w:rsidR="00BD21A2" w:rsidRPr="00683B72">
        <w:rPr>
          <w:rFonts w:cs="Times New Roman"/>
        </w:rPr>
        <w:t xml:space="preserve"> </w:t>
      </w:r>
      <w:r w:rsidRPr="00683B72">
        <w:rPr>
          <w:rFonts w:cs="Times New Roman"/>
        </w:rPr>
        <w:t xml:space="preserve">Wytyczne dotyczące gromadzenia </w:t>
      </w:r>
      <w:r w:rsidR="0033242A">
        <w:rPr>
          <w:rFonts w:cs="Times New Roman"/>
        </w:rPr>
        <w:br/>
      </w:r>
      <w:r w:rsidRPr="00683B72">
        <w:rPr>
          <w:rFonts w:cs="Times New Roman"/>
        </w:rPr>
        <w:t xml:space="preserve">i wykorzystywania danych dotyczących równości osób LGBTIQ. Natomiast, dnia 9 września 2022 r. Przedstawiciel Pełnomocnika uczestniczył również </w:t>
      </w:r>
      <w:r w:rsidR="0033242A">
        <w:rPr>
          <w:rFonts w:cs="Times New Roman"/>
        </w:rPr>
        <w:br/>
      </w:r>
      <w:r w:rsidRPr="00683B72">
        <w:rPr>
          <w:rFonts w:cs="Times New Roman"/>
        </w:rPr>
        <w:t>w dwustronnym spotkaniu online Podgrupy ds. równości LGBTIQ. Na spotkaniu omówiono działania grupy w roku 2022 i planowanych wydarzeniach.</w:t>
      </w:r>
    </w:p>
    <w:p w14:paraId="0E867A69" w14:textId="3FAE6C8B" w:rsidR="00184653" w:rsidRPr="00683B72" w:rsidRDefault="00184653" w:rsidP="00464DE6">
      <w:pPr>
        <w:pStyle w:val="Akapitzlist"/>
        <w:numPr>
          <w:ilvl w:val="0"/>
          <w:numId w:val="13"/>
        </w:numPr>
        <w:tabs>
          <w:tab w:val="clear" w:pos="4181"/>
          <w:tab w:val="clear" w:pos="4536"/>
          <w:tab w:val="clear" w:pos="9072"/>
          <w:tab w:val="clear" w:pos="9212"/>
        </w:tabs>
        <w:autoSpaceDE w:val="0"/>
        <w:autoSpaceDN w:val="0"/>
        <w:adjustRightInd w:val="0"/>
        <w:rPr>
          <w:rFonts w:cs="Times New Roman"/>
        </w:rPr>
      </w:pPr>
      <w:r w:rsidRPr="00683B72">
        <w:rPr>
          <w:rFonts w:cs="Times New Roman"/>
        </w:rPr>
        <w:t>Dnia 9 czerwca 2022 r. Przedstawiciel Pełnomocnik</w:t>
      </w:r>
      <w:r w:rsidR="00BD21A2">
        <w:rPr>
          <w:rFonts w:cs="Times New Roman"/>
        </w:rPr>
        <w:t>a</w:t>
      </w:r>
      <w:r w:rsidRPr="00683B72">
        <w:rPr>
          <w:rFonts w:cs="Times New Roman"/>
        </w:rPr>
        <w:t xml:space="preserve"> uczestniczył w seminarium online „Przemoc wobec kobiet: jakie odpowiedzi oferuje sprawiedliwość naprawcza?” Celem seminarium było podkreślenie innowacyjnych praktyk sprawiedliwości naprawczej w postępowaniu ze sprawcami przemocy wobec kobiet w Europie oraz wymiana opinii profesjonalistów i naukowców, którzy są ekspertami w tych praktykach a także analiza konkretnych przykładów francuskie i europejskie praktyki w kontekście przemocy ze względu na płeć, z</w:t>
      </w:r>
      <w:r w:rsidR="001136A8">
        <w:rPr>
          <w:rFonts w:cs="Times New Roman"/>
        </w:rPr>
        <w:t> </w:t>
      </w:r>
      <w:r w:rsidRPr="00683B72">
        <w:rPr>
          <w:rFonts w:cs="Times New Roman"/>
        </w:rPr>
        <w:t>rozróżnieniem przemocy seksualnej od przemocy domowej.</w:t>
      </w:r>
    </w:p>
    <w:p w14:paraId="5812C9C9" w14:textId="508A09B4" w:rsidR="00184653" w:rsidRPr="00683B72" w:rsidRDefault="00184653" w:rsidP="00464DE6">
      <w:pPr>
        <w:pStyle w:val="Akapitzlist"/>
        <w:numPr>
          <w:ilvl w:val="0"/>
          <w:numId w:val="13"/>
        </w:numPr>
        <w:tabs>
          <w:tab w:val="clear" w:pos="4181"/>
          <w:tab w:val="clear" w:pos="4536"/>
          <w:tab w:val="clear" w:pos="9072"/>
          <w:tab w:val="clear" w:pos="9212"/>
        </w:tabs>
        <w:autoSpaceDE w:val="0"/>
        <w:autoSpaceDN w:val="0"/>
        <w:adjustRightInd w:val="0"/>
        <w:rPr>
          <w:rFonts w:cs="Times New Roman"/>
        </w:rPr>
      </w:pPr>
      <w:r w:rsidRPr="00683B72">
        <w:rPr>
          <w:rFonts w:cs="Times New Roman"/>
        </w:rPr>
        <w:lastRenderedPageBreak/>
        <w:t>Przedstawiciel Pełnomocnik</w:t>
      </w:r>
      <w:r w:rsidR="004041E9">
        <w:rPr>
          <w:rFonts w:cs="Times New Roman"/>
        </w:rPr>
        <w:t>a</w:t>
      </w:r>
      <w:r w:rsidRPr="00683B72">
        <w:rPr>
          <w:rFonts w:cs="Times New Roman"/>
        </w:rPr>
        <w:t xml:space="preserve"> uczestniczył w </w:t>
      </w:r>
      <w:r w:rsidR="00B63E6B">
        <w:rPr>
          <w:rFonts w:cs="Times New Roman"/>
        </w:rPr>
        <w:t>posiedzeni</w:t>
      </w:r>
      <w:r w:rsidR="004041E9">
        <w:rPr>
          <w:rFonts w:cs="Times New Roman"/>
        </w:rPr>
        <w:t>ach</w:t>
      </w:r>
      <w:r w:rsidR="00B63E6B">
        <w:rPr>
          <w:rFonts w:cs="Times New Roman"/>
        </w:rPr>
        <w:t xml:space="preserve"> Komisji ds. Równości Kobiet i Mężczyzn </w:t>
      </w:r>
      <w:r w:rsidR="004041E9">
        <w:rPr>
          <w:rFonts w:cs="Times New Roman"/>
        </w:rPr>
        <w:t xml:space="preserve">Rady Europy </w:t>
      </w:r>
      <w:r w:rsidR="00B63E6B">
        <w:rPr>
          <w:rFonts w:cs="Times New Roman"/>
        </w:rPr>
        <w:t>(</w:t>
      </w:r>
      <w:proofErr w:type="spellStart"/>
      <w:r w:rsidR="00B63E6B">
        <w:rPr>
          <w:rFonts w:cs="Times New Roman"/>
        </w:rPr>
        <w:t>Gender</w:t>
      </w:r>
      <w:proofErr w:type="spellEnd"/>
      <w:r w:rsidR="00B63E6B">
        <w:rPr>
          <w:rFonts w:cs="Times New Roman"/>
        </w:rPr>
        <w:t xml:space="preserve"> </w:t>
      </w:r>
      <w:proofErr w:type="spellStart"/>
      <w:r w:rsidR="00B63E6B">
        <w:rPr>
          <w:rFonts w:cs="Times New Roman"/>
        </w:rPr>
        <w:t>Equality</w:t>
      </w:r>
      <w:proofErr w:type="spellEnd"/>
      <w:r w:rsidR="00B63E6B">
        <w:rPr>
          <w:rFonts w:cs="Times New Roman"/>
        </w:rPr>
        <w:t xml:space="preserve"> </w:t>
      </w:r>
      <w:proofErr w:type="spellStart"/>
      <w:r w:rsidR="00B63E6B">
        <w:rPr>
          <w:rFonts w:cs="Times New Roman"/>
        </w:rPr>
        <w:t>C</w:t>
      </w:r>
      <w:r w:rsidR="00B63E6B" w:rsidRPr="00B63E6B">
        <w:rPr>
          <w:rFonts w:cs="Times New Roman"/>
        </w:rPr>
        <w:t>ommission</w:t>
      </w:r>
      <w:proofErr w:type="spellEnd"/>
      <w:r w:rsidR="00B63E6B">
        <w:rPr>
          <w:rFonts w:cs="Times New Roman"/>
        </w:rPr>
        <w:t>)</w:t>
      </w:r>
      <w:r w:rsidR="004041E9">
        <w:rPr>
          <w:rFonts w:cs="Times New Roman"/>
        </w:rPr>
        <w:t xml:space="preserve"> w dniach 11</w:t>
      </w:r>
      <w:r w:rsidR="00BD21A2">
        <w:rPr>
          <w:rFonts w:cs="Times New Roman"/>
        </w:rPr>
        <w:t>–</w:t>
      </w:r>
      <w:r w:rsidR="004041E9">
        <w:rPr>
          <w:rFonts w:cs="Times New Roman"/>
        </w:rPr>
        <w:t>13 maja i 16</w:t>
      </w:r>
      <w:r w:rsidR="00BD21A2">
        <w:rPr>
          <w:rFonts w:cs="Times New Roman"/>
        </w:rPr>
        <w:t>–</w:t>
      </w:r>
      <w:r w:rsidR="004041E9">
        <w:rPr>
          <w:rFonts w:cs="Times New Roman"/>
        </w:rPr>
        <w:t>18 listopada 2022 r</w:t>
      </w:r>
      <w:r w:rsidR="00B63E6B">
        <w:rPr>
          <w:rFonts w:cs="Times New Roman"/>
        </w:rPr>
        <w:t xml:space="preserve">. </w:t>
      </w:r>
      <w:r w:rsidR="004041E9">
        <w:rPr>
          <w:rFonts w:cs="Times New Roman"/>
        </w:rPr>
        <w:t>Pierwsze spotkanie poświęcone było zatwierdzeniu planu działań GEC na lata 2022</w:t>
      </w:r>
      <w:r w:rsidR="00BD21A2">
        <w:rPr>
          <w:rFonts w:cs="Times New Roman"/>
        </w:rPr>
        <w:t>–</w:t>
      </w:r>
      <w:r w:rsidR="004041E9">
        <w:rPr>
          <w:rFonts w:cs="Times New Roman"/>
        </w:rPr>
        <w:t>2025 oraz stanu wdrażania Strategii na Rzecz Równości Płci Rady Europy 2018</w:t>
      </w:r>
      <w:r w:rsidR="00BD21A2">
        <w:rPr>
          <w:rFonts w:cs="Times New Roman"/>
        </w:rPr>
        <w:t>–</w:t>
      </w:r>
      <w:r w:rsidR="004041E9">
        <w:rPr>
          <w:rFonts w:cs="Times New Roman"/>
        </w:rPr>
        <w:t xml:space="preserve">2023 r. w poszczególnych państwach oraz efektom wojny na Ukrainie i wykluczeniu Rosji z Rady Europy na prace GEC. Jesienne spotkanie GEC koncentrowało się na </w:t>
      </w:r>
      <w:r w:rsidR="00955D03">
        <w:rPr>
          <w:rFonts w:cs="Times New Roman"/>
        </w:rPr>
        <w:t xml:space="preserve">zagadnieniach </w:t>
      </w:r>
      <w:r w:rsidR="00BD21A2">
        <w:rPr>
          <w:rFonts w:cs="Times New Roman"/>
        </w:rPr>
        <w:t xml:space="preserve">przeciwdziałania </w:t>
      </w:r>
      <w:r w:rsidR="00955D03">
        <w:rPr>
          <w:rFonts w:cs="Times New Roman"/>
        </w:rPr>
        <w:t>przemocy domowej oraz perspektyw rozszerzenia konwencji stambulskiej na całą Unię Europejską, podsumowaniu działań ukierunkowanych na pomoc kobietom podczas pandemii COVID-19 oraz reakcjom państw członkowskich na kryzys migracyjny. Podczas posiedzenia przedstawiciele Pełnomocnika zgodnie z instrukcją uczestniczyli w wyborach władz GEC na</w:t>
      </w:r>
      <w:r w:rsidR="001136A8">
        <w:rPr>
          <w:rFonts w:cs="Times New Roman"/>
        </w:rPr>
        <w:t> </w:t>
      </w:r>
      <w:r w:rsidR="00955D03">
        <w:rPr>
          <w:rFonts w:cs="Times New Roman"/>
        </w:rPr>
        <w:t>kolejną kadencję.</w:t>
      </w:r>
    </w:p>
    <w:p w14:paraId="51670DBA" w14:textId="06BB1789" w:rsidR="00303CAD" w:rsidRPr="00184653" w:rsidRDefault="00955D03" w:rsidP="00EA7709">
      <w:pPr>
        <w:pStyle w:val="Akapitzlist"/>
        <w:numPr>
          <w:ilvl w:val="0"/>
          <w:numId w:val="13"/>
        </w:numPr>
        <w:tabs>
          <w:tab w:val="clear" w:pos="4181"/>
          <w:tab w:val="clear" w:pos="4536"/>
          <w:tab w:val="clear" w:pos="9072"/>
          <w:tab w:val="clear" w:pos="9212"/>
        </w:tabs>
        <w:autoSpaceDE w:val="0"/>
        <w:autoSpaceDN w:val="0"/>
        <w:adjustRightInd w:val="0"/>
      </w:pPr>
      <w:r>
        <w:rPr>
          <w:rFonts w:cs="Times New Roman"/>
        </w:rPr>
        <w:t xml:space="preserve">W dniach 29 listopada </w:t>
      </w:r>
      <w:r w:rsidR="00BD21A2">
        <w:rPr>
          <w:rFonts w:cs="Times New Roman"/>
        </w:rPr>
        <w:t xml:space="preserve">– </w:t>
      </w:r>
      <w:r>
        <w:rPr>
          <w:rFonts w:cs="Times New Roman"/>
        </w:rPr>
        <w:t>1 grudnia</w:t>
      </w:r>
      <w:r w:rsidR="00184653" w:rsidRPr="00683B72">
        <w:rPr>
          <w:rFonts w:cs="Times New Roman"/>
        </w:rPr>
        <w:t xml:space="preserve"> 2022 r. Przedstawiciel Pełnomocnik</w:t>
      </w:r>
      <w:r>
        <w:rPr>
          <w:rFonts w:cs="Times New Roman"/>
        </w:rPr>
        <w:t>a</w:t>
      </w:r>
      <w:r w:rsidR="00184653" w:rsidRPr="00683B72">
        <w:rPr>
          <w:rFonts w:cs="Times New Roman"/>
        </w:rPr>
        <w:t xml:space="preserve"> wziął udział w posiedzeniu</w:t>
      </w:r>
      <w:r w:rsidR="0033242A">
        <w:rPr>
          <w:rFonts w:cs="Times New Roman"/>
        </w:rPr>
        <w:t xml:space="preserve"> </w:t>
      </w:r>
      <w:r w:rsidRPr="00B63E6B">
        <w:rPr>
          <w:rFonts w:cs="Times New Roman"/>
        </w:rPr>
        <w:t>Sterującego Rady Europy ds. Walki z Dyskryminacją, Różnorodności i Włączania (</w:t>
      </w:r>
      <w:r>
        <w:rPr>
          <w:rFonts w:cs="Times New Roman"/>
        </w:rPr>
        <w:t>CDADI</w:t>
      </w:r>
      <w:r w:rsidRPr="00B63E6B">
        <w:rPr>
          <w:rFonts w:cs="Times New Roman"/>
        </w:rPr>
        <w:t>)</w:t>
      </w:r>
      <w:r w:rsidR="00184653" w:rsidRPr="00683B72">
        <w:rPr>
          <w:rFonts w:cs="Times New Roman"/>
        </w:rPr>
        <w:t xml:space="preserve">, </w:t>
      </w:r>
      <w:r>
        <w:rPr>
          <w:rFonts w:cs="Times New Roman"/>
        </w:rPr>
        <w:t>uczestnicząc w wyborach nowych władz</w:t>
      </w:r>
      <w:r w:rsidR="00184653" w:rsidRPr="00683B72">
        <w:rPr>
          <w:rFonts w:cs="Times New Roman"/>
        </w:rPr>
        <w:t xml:space="preserve"> Komitetu</w:t>
      </w:r>
      <w:r>
        <w:rPr>
          <w:rFonts w:cs="Times New Roman"/>
        </w:rPr>
        <w:t xml:space="preserve">. Podczas posiedzenia zatwierdzono program oraz badanie dotyczące integracji społecznej migrantów, założenia zalecenia </w:t>
      </w:r>
      <w:proofErr w:type="spellStart"/>
      <w:r>
        <w:rPr>
          <w:rFonts w:cs="Times New Roman"/>
        </w:rPr>
        <w:t>ws</w:t>
      </w:r>
      <w:proofErr w:type="spellEnd"/>
      <w:r>
        <w:rPr>
          <w:rFonts w:cs="Times New Roman"/>
        </w:rPr>
        <w:t xml:space="preserve">. mowy nienawiści, zaprezentowano efekty prac </w:t>
      </w:r>
      <w:proofErr w:type="spellStart"/>
      <w:r>
        <w:rPr>
          <w:rFonts w:cs="Times New Roman"/>
        </w:rPr>
        <w:t>subkomitetu</w:t>
      </w:r>
      <w:proofErr w:type="spellEnd"/>
      <w:r>
        <w:rPr>
          <w:rFonts w:cs="Times New Roman"/>
        </w:rPr>
        <w:t xml:space="preserve"> ds. Romów (ADI-ROM) oraz wnioski </w:t>
      </w:r>
      <w:r w:rsidR="0033242A">
        <w:rPr>
          <w:rFonts w:cs="Times New Roman"/>
        </w:rPr>
        <w:br/>
      </w:r>
      <w:r>
        <w:rPr>
          <w:rFonts w:cs="Times New Roman"/>
        </w:rPr>
        <w:t>z badania dotyczącego powielania przez sztuczną inteligencję uprzedzeń funkcjonujących w społeczeństwach.</w:t>
      </w:r>
    </w:p>
    <w:sectPr w:rsidR="00303CAD" w:rsidRPr="00184653" w:rsidSect="0031477E">
      <w:footerReference w:type="default" r:id="rId13"/>
      <w:pgSz w:w="11906" w:h="16838"/>
      <w:pgMar w:top="1417" w:right="1417" w:bottom="1417" w:left="1417"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A1667" w14:textId="77777777" w:rsidR="006452FA" w:rsidRDefault="006452FA" w:rsidP="00184653">
      <w:pPr>
        <w:spacing w:before="0" w:after="0" w:line="240" w:lineRule="auto"/>
      </w:pPr>
      <w:r>
        <w:separator/>
      </w:r>
    </w:p>
  </w:endnote>
  <w:endnote w:type="continuationSeparator" w:id="0">
    <w:p w14:paraId="04AFF7DC" w14:textId="77777777" w:rsidR="006452FA" w:rsidRDefault="006452FA" w:rsidP="0018465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322804"/>
      <w:docPartObj>
        <w:docPartGallery w:val="Page Numbers (Bottom of Page)"/>
        <w:docPartUnique/>
      </w:docPartObj>
    </w:sdtPr>
    <w:sdtEndPr/>
    <w:sdtContent>
      <w:p w14:paraId="267DACE2" w14:textId="4C6D3EC5" w:rsidR="00BE1631" w:rsidRDefault="00BE1631">
        <w:pPr>
          <w:pStyle w:val="Stopka"/>
          <w:jc w:val="center"/>
        </w:pPr>
        <w:r>
          <w:fldChar w:fldCharType="begin"/>
        </w:r>
        <w:r>
          <w:instrText>PAGE   \* MERGEFORMAT</w:instrText>
        </w:r>
        <w:r>
          <w:fldChar w:fldCharType="separate"/>
        </w:r>
        <w:r>
          <w:rPr>
            <w:noProof/>
          </w:rPr>
          <w:t>6</w:t>
        </w:r>
        <w:r>
          <w:fldChar w:fldCharType="end"/>
        </w:r>
      </w:p>
    </w:sdtContent>
  </w:sdt>
  <w:p w14:paraId="3E5E14D9" w14:textId="77777777" w:rsidR="00BE1631" w:rsidRDefault="00BE1631">
    <w:pPr>
      <w:pStyle w:val="Stopka"/>
    </w:pPr>
  </w:p>
  <w:p w14:paraId="3A528BE5" w14:textId="77777777" w:rsidR="00BE1631" w:rsidRDefault="00BE16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C3C39D" w14:textId="77777777" w:rsidR="006452FA" w:rsidRDefault="006452FA" w:rsidP="00184653">
      <w:pPr>
        <w:spacing w:before="0" w:after="0" w:line="240" w:lineRule="auto"/>
      </w:pPr>
      <w:r>
        <w:separator/>
      </w:r>
    </w:p>
  </w:footnote>
  <w:footnote w:type="continuationSeparator" w:id="0">
    <w:p w14:paraId="1914AECE" w14:textId="77777777" w:rsidR="006452FA" w:rsidRDefault="006452FA" w:rsidP="00184653">
      <w:pPr>
        <w:spacing w:before="0" w:after="0" w:line="240" w:lineRule="auto"/>
      </w:pPr>
      <w:r>
        <w:continuationSeparator/>
      </w:r>
    </w:p>
  </w:footnote>
  <w:footnote w:id="1">
    <w:p w14:paraId="4EB66D84" w14:textId="52829CFD" w:rsidR="00BE1631" w:rsidRDefault="00BE1631" w:rsidP="00456FC5">
      <w:pPr>
        <w:pStyle w:val="Tekstprzypisudolnego"/>
        <w:spacing w:before="0" w:beforeAutospacing="0" w:afterAutospacing="0"/>
      </w:pPr>
      <w:r>
        <w:rPr>
          <w:rStyle w:val="Odwoanieprzypisudolnego"/>
        </w:rPr>
        <w:footnoteRef/>
      </w:r>
      <w:r>
        <w:t xml:space="preserve"> 1) dyrektywa Rady 2000/43/WE z dnia 29 czerwca 2000 r. wprowadzająca w życie zasadę równego traktowania osób bez względu na pochodzenie rasowe lub etniczne (Dz. Urz. WE L 180 z 19.07.2000, str. 22; Dz. Urz. UE Polskie wydanie specjalne, rozdz. 20, t. 1, str. 23),</w:t>
      </w:r>
    </w:p>
    <w:p w14:paraId="479444D5" w14:textId="77CD74EB" w:rsidR="00BE1631" w:rsidRDefault="00BE1631" w:rsidP="00456FC5">
      <w:pPr>
        <w:pStyle w:val="Tekstprzypisudolnego"/>
        <w:spacing w:before="0" w:beforeAutospacing="0" w:afterAutospacing="0"/>
      </w:pPr>
      <w:r>
        <w:t>2) dyrektywa Rady 2004/113/WE z dnia 13 grudnia 2004 r. wprowadzająca w życie zasadę równego traktowania mężczyzn i kobiet w zakresie dostępu do towarów i usług oraz dostarczania towarów i usług (Dz. Urz. UE L 373 z 21.12.2004, str. 37),</w:t>
      </w:r>
    </w:p>
    <w:p w14:paraId="1E217E17" w14:textId="200B4180" w:rsidR="00BE1631" w:rsidRDefault="00BE1631" w:rsidP="00456FC5">
      <w:pPr>
        <w:pStyle w:val="Tekstprzypisudolnego"/>
        <w:spacing w:before="0" w:beforeAutospacing="0" w:afterAutospacing="0"/>
      </w:pPr>
      <w:r>
        <w:t>3) dyrektywa 2006/54/WE Parlamentu Europejskiego i Rady z dnia 5 lipca 2006 r. w sprawie wprowadzenia w życie zasady równości szans oraz równego traktowania kobiet i mężczyzn w dziedzinie zatrudnienia i pracy (wersja przeredagowana) (Dz. Urz. UE L 204 z 26.07.2006, str. 23),</w:t>
      </w:r>
    </w:p>
    <w:p w14:paraId="05EF029D" w14:textId="6ADC9527" w:rsidR="00BE1631" w:rsidRDefault="00BE1631" w:rsidP="00456FC5">
      <w:pPr>
        <w:pStyle w:val="Tekstprzypisudolnego"/>
        <w:spacing w:before="0" w:beforeAutospacing="0" w:afterAutospacing="0"/>
      </w:pPr>
      <w:r>
        <w:t>4) dyrektywa Parlamentu Europejskiego i Rady 2010/41/UE z dnia 7 lipca 2010 r. w sprawie stosowania zasady równego traktowania kobiet i mężczyzn prowadzących działalność na własny rachunek oraz uchylająca dyrektywę Rady 86/613/EWG (Dz. Urz. UE L 180 z 15.7.2010 r., str. 1).</w:t>
      </w:r>
    </w:p>
  </w:footnote>
  <w:footnote w:id="2">
    <w:p w14:paraId="61C0C9DA" w14:textId="01C067B0" w:rsidR="00BE1631" w:rsidRPr="007C73E3" w:rsidRDefault="00BE1631" w:rsidP="00456FC5">
      <w:pPr>
        <w:pStyle w:val="Tekstprzypisudolnego"/>
        <w:spacing w:before="0" w:beforeAutospacing="0" w:afterAutospacing="0"/>
      </w:pPr>
      <w:r>
        <w:rPr>
          <w:rStyle w:val="Odwoanieprzypisudolnego"/>
        </w:rPr>
        <w:footnoteRef/>
      </w:r>
      <w:r>
        <w:t xml:space="preserve"> </w:t>
      </w:r>
      <w:r w:rsidRPr="00FB38EB">
        <w:t xml:space="preserve">Postanowienie Trybunału Sprawiedliwości Unii Europejskiej z dnia 24 czerwca 2022 r.  C-2/21 </w:t>
      </w:r>
      <w:r w:rsidRPr="00FB38EB">
        <w:rPr>
          <w:i/>
        </w:rPr>
        <w:t xml:space="preserve">Rzecznik Praw Obywatelskich </w:t>
      </w:r>
      <w:r w:rsidRPr="00FB38EB">
        <w:t>(</w:t>
      </w:r>
      <w:r w:rsidRPr="00FB38EB">
        <w:rPr>
          <w:rFonts w:cs="Arial"/>
        </w:rPr>
        <w:t>EU:C:2022:502).</w:t>
      </w:r>
    </w:p>
  </w:footnote>
  <w:footnote w:id="3">
    <w:p w14:paraId="148D0E26" w14:textId="3169C0F6" w:rsidR="00BE1631" w:rsidRPr="00146C03" w:rsidRDefault="00BE1631" w:rsidP="00456FC5">
      <w:pPr>
        <w:pStyle w:val="Tekstprzypisudolnego"/>
        <w:spacing w:before="0" w:beforeAutospacing="0" w:afterAutospacing="0"/>
      </w:pPr>
      <w:r>
        <w:rPr>
          <w:rStyle w:val="Odwoanieprzypisudolnego"/>
        </w:rPr>
        <w:footnoteRef/>
      </w:r>
      <w:r>
        <w:t xml:space="preserve"> Wyrok TSUE z dnia 12 stycznia 2023 r., C-356/21, </w:t>
      </w:r>
      <w:r>
        <w:rPr>
          <w:i/>
        </w:rPr>
        <w:t xml:space="preserve">TP  </w:t>
      </w:r>
      <w:r>
        <w:t>(</w:t>
      </w:r>
      <w:r w:rsidRPr="00146C03">
        <w:t>EU:C:2023:9</w:t>
      </w:r>
      <w:r>
        <w:t>)</w:t>
      </w:r>
      <w:r>
        <w:rPr>
          <w:i/>
        </w:rPr>
        <w:t>.</w:t>
      </w:r>
    </w:p>
  </w:footnote>
  <w:footnote w:id="4">
    <w:p w14:paraId="1E1626C6" w14:textId="332708E5" w:rsidR="00BE1631" w:rsidRDefault="00BE1631" w:rsidP="00456FC5">
      <w:pPr>
        <w:pStyle w:val="Tekstprzypisudolnego"/>
        <w:spacing w:before="0" w:beforeAutospacing="0" w:afterAutospacing="0"/>
      </w:pPr>
      <w:r>
        <w:rPr>
          <w:rStyle w:val="Odwoanieprzypisudolnego"/>
        </w:rPr>
        <w:footnoteRef/>
      </w:r>
      <w:r>
        <w:t xml:space="preserve"> Streszczenie wniosku prejudycjalnego dostępne na stronie TSUE, </w:t>
      </w:r>
      <w:r w:rsidRPr="009B53B4">
        <w:t>https://curia.europa.eu/juris/showPdf.jsf?text=&amp;docid=256222&amp;pageIndex=0&amp;doclang=PL&amp;mode=req&amp;dir=&amp;occ=first&amp;part=1&amp;cid=5048835</w:t>
      </w:r>
    </w:p>
  </w:footnote>
  <w:footnote w:id="5">
    <w:p w14:paraId="32DF7C29" w14:textId="1A2C0BBD" w:rsidR="00BE1631" w:rsidRDefault="00BE1631" w:rsidP="00456FC5">
      <w:pPr>
        <w:pStyle w:val="Tekstprzypisudolnego"/>
        <w:spacing w:before="0" w:beforeAutospacing="0" w:afterAutospacing="0"/>
      </w:pPr>
      <w:r>
        <w:rPr>
          <w:rStyle w:val="Odwoanieprzypisudolnego"/>
        </w:rPr>
        <w:footnoteRef/>
      </w:r>
      <w:r>
        <w:t xml:space="preserve"> </w:t>
      </w:r>
      <w:r w:rsidRPr="009B53B4">
        <w:t>Streszczenie wniosku prejudycjalnego dostępne na stronie TSUE, https://curia.europa.eu/juris/showPdf.jsf?text=&amp;docid=257763&amp;pageIndex=0&amp;doclang=PL&amp;mode=req&amp;dir=&amp;occ=first&amp;part=1&amp;cid=5049894</w:t>
      </w:r>
    </w:p>
  </w:footnote>
  <w:footnote w:id="6">
    <w:p w14:paraId="2AACE45D" w14:textId="6B2FEAD3" w:rsidR="00BE1631" w:rsidRDefault="00BE1631" w:rsidP="00456FC5">
      <w:pPr>
        <w:pStyle w:val="Tekstprzypisudolnego"/>
        <w:spacing w:before="0" w:beforeAutospacing="0" w:afterAutospacing="0"/>
      </w:pPr>
      <w:r>
        <w:rPr>
          <w:rStyle w:val="Odwoanieprzypisudolnego"/>
        </w:rPr>
        <w:footnoteRef/>
      </w:r>
      <w:r>
        <w:t xml:space="preserve"> </w:t>
      </w:r>
      <w:r w:rsidRPr="009B53B4">
        <w:t xml:space="preserve">Streszczenie wniosku prejudycjalnego dostępne na stronie TSUE, </w:t>
      </w:r>
      <w:r w:rsidRPr="00B83D83">
        <w:t>https://curia.europa.eu/juris/showPdf.jsf?text=&amp;docid=268245&amp;pageIndex=0&amp;doclang=PL&amp;mode=req&amp;dir=&amp;occ=first&amp;part=1&amp;cid=5050856</w:t>
      </w:r>
    </w:p>
  </w:footnote>
  <w:footnote w:id="7">
    <w:p w14:paraId="49AC61D5" w14:textId="11BBA13C" w:rsidR="00BE1631" w:rsidRPr="00FB38EB" w:rsidRDefault="00BE1631" w:rsidP="00FB38EB">
      <w:pPr>
        <w:pStyle w:val="Tekstprzypisudolnego"/>
        <w:spacing w:before="0" w:beforeAutospacing="0"/>
      </w:pPr>
      <w:r w:rsidRPr="00FB38EB">
        <w:rPr>
          <w:rStyle w:val="Odwoanieprzypisudolnego"/>
        </w:rPr>
        <w:footnoteRef/>
      </w:r>
      <w:r w:rsidRPr="00FB38EB">
        <w:t>Streszczenie wniosku prejudycjalnego dostępne na stronie TSUE, https://curia.europa.eu/juris/showPdf.jsf?text=&amp;docid=266361&amp;pageIndex=0&amp;doclang=PL&amp;mode=req&amp;dir=&amp;occ=first&amp;part=1&amp;cid=5051017</w:t>
      </w:r>
    </w:p>
  </w:footnote>
  <w:footnote w:id="8">
    <w:p w14:paraId="02010B39" w14:textId="3B156424" w:rsidR="00BE1631" w:rsidRPr="00FB38EB" w:rsidRDefault="00BE1631" w:rsidP="00456FC5">
      <w:pPr>
        <w:pStyle w:val="Tekstprzypisudolnego"/>
        <w:spacing w:before="0" w:beforeAutospacing="0" w:afterAutospacing="0"/>
      </w:pPr>
      <w:r w:rsidRPr="00FB38EB">
        <w:rPr>
          <w:rStyle w:val="Odwoanieprzypisudolnego"/>
        </w:rPr>
        <w:footnoteRef/>
      </w:r>
      <w:r w:rsidRPr="00FB38EB">
        <w:t xml:space="preserve"> Opis stanu faktycznego spraw sporządzony przez Trybunał dostępny w j. angielskim na stronie ETPC, https://hudoc.echr.coe.int/fre#{%22itemid%22:[%22001-212756%22]} </w:t>
      </w:r>
    </w:p>
  </w:footnote>
  <w:footnote w:id="9">
    <w:p w14:paraId="477E07D6" w14:textId="6EF2A978" w:rsidR="00BE1631" w:rsidRPr="00FB38EB" w:rsidRDefault="00BE1631" w:rsidP="00456FC5">
      <w:pPr>
        <w:pStyle w:val="Tekstprzypisudolnego"/>
        <w:spacing w:before="0" w:beforeAutospacing="0" w:afterAutospacing="0"/>
      </w:pPr>
      <w:r w:rsidRPr="00FB38EB">
        <w:rPr>
          <w:rStyle w:val="Odwoanieprzypisudolnego"/>
        </w:rPr>
        <w:footnoteRef/>
      </w:r>
      <w:r w:rsidRPr="00FB38EB">
        <w:t xml:space="preserve"> Konwencja o Ochronie Praw Człowieka i Podstawowych Wolności sporządzona w Rzymie dnia 4 listopada 1950 r., zmieniona następnie Protokołami nr 3, 5 i 8 oraz uzupełniona Protokołem nr 2 (Dz.U. 1993 nr 61 poz. 284).</w:t>
      </w:r>
    </w:p>
  </w:footnote>
  <w:footnote w:id="10">
    <w:p w14:paraId="5E2ADE26" w14:textId="6E5C59E6" w:rsidR="00BE1631" w:rsidRPr="00FB38EB" w:rsidRDefault="00BE1631" w:rsidP="00456FC5">
      <w:pPr>
        <w:pStyle w:val="Tekstprzypisudolnego"/>
        <w:spacing w:before="0" w:beforeAutospacing="0" w:afterAutospacing="0"/>
      </w:pPr>
      <w:r w:rsidRPr="00FB38EB">
        <w:rPr>
          <w:rStyle w:val="Odwoanieprzypisudolnego"/>
        </w:rPr>
        <w:footnoteRef/>
      </w:r>
      <w:r w:rsidRPr="00FB38EB">
        <w:t xml:space="preserve"> Konstytucja Rzeczypospolitej Polskiej z dnia 2 kwietnia 1997 r. uchwalona przez Zgromadzenie Narodowe w dniu 2 kwietnia 1997 r., przyjęta przez Naród w referendum konstytucyjnym w dniu 25 maja 1997 r., podpisana przez Prezydenta Rzeczypospolitej Polskiej w dniu 16 lipca 1997 r. (Dz.U. 1997 nr 78 poz. 483).</w:t>
      </w:r>
    </w:p>
  </w:footnote>
  <w:footnote w:id="11">
    <w:p w14:paraId="6BFD6476" w14:textId="48EF97F2" w:rsidR="00BE1631" w:rsidRDefault="00BE1631" w:rsidP="00456FC5">
      <w:pPr>
        <w:pStyle w:val="Tekstprzypisudolnego"/>
        <w:spacing w:before="0" w:beforeAutospacing="0" w:afterAutospacing="0"/>
      </w:pPr>
      <w:r w:rsidRPr="00FB38EB">
        <w:rPr>
          <w:rStyle w:val="Odwoanieprzypisudolnego"/>
        </w:rPr>
        <w:footnoteRef/>
      </w:r>
      <w:r w:rsidRPr="00FB38EB">
        <w:t xml:space="preserve"> Opis stanu faktycznego spraw sporządzony przez Trybunał dostępny w j. angielskim na stronie ETPC, https://hudoc.echr.coe.int/eng#{%22itemid%22:[%22001-215680%22]}</w:t>
      </w:r>
    </w:p>
  </w:footnote>
  <w:footnote w:id="12">
    <w:p w14:paraId="2A32C850" w14:textId="71FB227E" w:rsidR="00BE1631" w:rsidRDefault="00BE1631" w:rsidP="00456FC5">
      <w:pPr>
        <w:pStyle w:val="Tekstprzypisudolnego"/>
        <w:spacing w:before="0" w:beforeAutospacing="0" w:afterAutospacing="0"/>
      </w:pPr>
      <w:r>
        <w:rPr>
          <w:rStyle w:val="Odwoanieprzypisudolnego"/>
        </w:rPr>
        <w:footnoteRef/>
      </w:r>
      <w:r>
        <w:t xml:space="preserve"> Zwięzła informacja nt. skargi w j. angielskim dostępna jest na stronie ETPC,</w:t>
      </w:r>
      <w:r w:rsidRPr="00B83D83">
        <w:t xml:space="preserve"> </w:t>
      </w:r>
      <w:r w:rsidRPr="00D60A8A">
        <w:t>https://hudoc.echr.coe.int/eng#{%22appno%22:[%2253662/20%22],%22itemid%22:[%22001-218104%22]}</w:t>
      </w:r>
    </w:p>
  </w:footnote>
  <w:footnote w:id="13">
    <w:p w14:paraId="16D4DA4A" w14:textId="52D179E6" w:rsidR="00BE1631" w:rsidRDefault="00BE1631">
      <w:pPr>
        <w:pStyle w:val="Tekstprzypisudolnego"/>
      </w:pPr>
      <w:r>
        <w:rPr>
          <w:rStyle w:val="Odwoanieprzypisudolnego"/>
        </w:rPr>
        <w:footnoteRef/>
      </w:r>
      <w:r>
        <w:t xml:space="preserve"> </w:t>
      </w:r>
      <w:r w:rsidRPr="00456FC5">
        <w:t>Zwięzła informacja nt. skargi w j. angielskim dostępna jest na stronie ETPC, https://hudoc.echr.coe.int/eng#{%22itemid%22:[%22001-218734%22]}</w:t>
      </w:r>
    </w:p>
  </w:footnote>
  <w:footnote w:id="14">
    <w:p w14:paraId="35DB6DDB" w14:textId="6E2428E5" w:rsidR="00BE1631" w:rsidRDefault="00BE1631" w:rsidP="00456FC5">
      <w:pPr>
        <w:pStyle w:val="Tekstprzypisudolnego"/>
        <w:spacing w:before="0" w:beforeAutospacing="0" w:afterAutospacing="0"/>
      </w:pPr>
      <w:r>
        <w:rPr>
          <w:rStyle w:val="Odwoanieprzypisudolnego"/>
        </w:rPr>
        <w:footnoteRef/>
      </w:r>
      <w:r>
        <w:t xml:space="preserve"> Wnio</w:t>
      </w:r>
      <w:r w:rsidRPr="001A0FED">
        <w:t>sek dotyczący dyrektywy Rady Unii Europejskiej w sprawie wzmocnienia stosowania zasady równości wynagrodzeń dla kobiet i mężczyzn za taką samą pracę lub pracę o takiej samej wartości za pośrednictwem mechanizmów przejrzystości wynagrodzeń oraz mechanizmów egzekwowania</w:t>
      </w:r>
      <w:r>
        <w:t xml:space="preserve">, </w:t>
      </w:r>
      <w:r w:rsidRPr="001A0FED">
        <w:t xml:space="preserve">COM(2021) 93 </w:t>
      </w:r>
      <w:r w:rsidRPr="001A0FED">
        <w:t>final</w:t>
      </w:r>
      <w:r>
        <w:t xml:space="preserve"> z 04.03.2021 r.</w:t>
      </w:r>
    </w:p>
  </w:footnote>
  <w:footnote w:id="15">
    <w:p w14:paraId="426D2611" w14:textId="124FD196" w:rsidR="00BE1631" w:rsidRDefault="00BE1631" w:rsidP="00456FC5">
      <w:pPr>
        <w:pStyle w:val="Tekstprzypisudolnego"/>
        <w:spacing w:before="0" w:beforeAutospacing="0" w:afterAutospacing="0"/>
      </w:pPr>
      <w:r>
        <w:rPr>
          <w:rStyle w:val="Odwoanieprzypisudolnego"/>
        </w:rPr>
        <w:footnoteRef/>
      </w:r>
      <w:r>
        <w:t xml:space="preserve"> </w:t>
      </w:r>
      <w:r w:rsidRPr="00A56922">
        <w:t>Dyrektywa 2006/54/WE Parlamentu Europejskiego i Rady z dnia 5 lipca 2006 r. w sprawie wprowadzenia w życie zasady równości szans oraz równego traktowania kobiet i mężczyzn w dziedzinie zatrudnienia i pracy (wersja przeredagowana) (Dz.U. L 204 z 26.7.2006, s. 23).</w:t>
      </w:r>
    </w:p>
  </w:footnote>
  <w:footnote w:id="16">
    <w:p w14:paraId="41F9453A" w14:textId="4F80B3EF" w:rsidR="00BE1631" w:rsidRDefault="00BE1631" w:rsidP="00456FC5">
      <w:pPr>
        <w:pStyle w:val="Tekstprzypisudolnego"/>
        <w:spacing w:before="0" w:beforeAutospacing="0" w:afterAutospacing="0"/>
      </w:pPr>
      <w:r>
        <w:rPr>
          <w:rStyle w:val="Odwoanieprzypisudolnego"/>
        </w:rPr>
        <w:footnoteRef/>
      </w:r>
      <w:r>
        <w:t xml:space="preserve"> Zalecenie Komisji 2014/124/UE z dnia 7 marca 2014 r. w sprawie wzmocnienia zasady równości wynagrodzeń dla kobiet i mężczyzn dzięki przejrzystości (Dz.U. L 69 z 8.3.2014, s. 112).  </w:t>
      </w:r>
    </w:p>
  </w:footnote>
  <w:footnote w:id="17">
    <w:p w14:paraId="57500946" w14:textId="3735B871" w:rsidR="00BE1631" w:rsidRPr="00456FC5" w:rsidRDefault="00BE1631" w:rsidP="00456FC5">
      <w:pPr>
        <w:pStyle w:val="Tekstprzypisudolnego"/>
        <w:spacing w:before="0" w:beforeAutospacing="0" w:afterAutospacing="0"/>
        <w:rPr>
          <w:lang w:val="en-US"/>
        </w:rPr>
      </w:pPr>
      <w:r>
        <w:rPr>
          <w:rStyle w:val="Odwoanieprzypisudolnego"/>
        </w:rPr>
        <w:footnoteRef/>
      </w:r>
      <w:r w:rsidRPr="00456FC5">
        <w:rPr>
          <w:lang w:val="en-US"/>
        </w:rPr>
        <w:t xml:space="preserve">Gender pay gap statistics, Eurostat, Statistics Explained, </w:t>
      </w:r>
      <w:hyperlink r:id="rId1" w:anchor="Gender_pay_gap_higher_in_the_private_sector" w:history="1">
        <w:r w:rsidRPr="00456FC5">
          <w:rPr>
            <w:rStyle w:val="Hipercze"/>
            <w:lang w:val="en-US"/>
          </w:rPr>
          <w:t>https://ec.europa.eu/eurostat/statistics-explained/index.php?title=Gender_pay_gap_statistics#Gender_pay_gap_higher_in_the_private_sector</w:t>
        </w:r>
      </w:hyperlink>
      <w:r w:rsidRPr="00456FC5">
        <w:rPr>
          <w:lang w:val="en-US"/>
        </w:rPr>
        <w:t>, 28.02.2023.</w:t>
      </w:r>
    </w:p>
  </w:footnote>
  <w:footnote w:id="18">
    <w:p w14:paraId="61CBDAED" w14:textId="4413447A" w:rsidR="00BE1631" w:rsidRDefault="00BE1631" w:rsidP="00456FC5">
      <w:pPr>
        <w:pStyle w:val="Tekstprzypisudolnego"/>
        <w:spacing w:before="0" w:beforeAutospacing="0" w:afterAutospacing="0"/>
      </w:pPr>
      <w:r>
        <w:rPr>
          <w:rStyle w:val="Odwoanieprzypisudolnego"/>
        </w:rPr>
        <w:footnoteRef/>
      </w:r>
      <w:r w:rsidRPr="007638B4">
        <w:t>Struktura wynagrodzeń według zawodów w październiku 2020 roku</w:t>
      </w:r>
      <w:r>
        <w:t xml:space="preserve">, Analizy Statystyczne, Główny Urząd Statystyczny, </w:t>
      </w:r>
      <w:hyperlink r:id="rId2" w:history="1">
        <w:r w:rsidRPr="003C3010">
          <w:rPr>
            <w:rStyle w:val="Hipercze"/>
          </w:rPr>
          <w:t>https://stat.gov.pl/obszary-tematyczne/rynek-pracy/pracujacy-zatrudnieni-wynagrodzenia-koszty-pracy/struktura-wynagrodzen-wedlug-zawodow-w-pazdzierniku-2020-roku,4,10.html</w:t>
        </w:r>
      </w:hyperlink>
      <w:r>
        <w:t>, 28.02.2023.</w:t>
      </w:r>
    </w:p>
  </w:footnote>
  <w:footnote w:id="19">
    <w:p w14:paraId="4153A592" w14:textId="00CBFAB5" w:rsidR="00BE1631" w:rsidRDefault="00BE1631">
      <w:pPr>
        <w:pStyle w:val="Tekstprzypisudolnego"/>
      </w:pPr>
      <w:r>
        <w:rPr>
          <w:rStyle w:val="Odwoanieprzypisudolnego"/>
        </w:rPr>
        <w:footnoteRef/>
      </w:r>
      <w:r>
        <w:t xml:space="preserve"> </w:t>
      </w:r>
      <w:r w:rsidRPr="001D242A">
        <w:t>Dyrektywa Parlamentu Europejskiego i Rady (UE) 2019/1158 z dnia 20 czerwca 2019 r. w sprawie równowagi między życiem zawodowym a prywatnym rodziców i opiekunów oraz uchylająca dyrektywę Rady 2010/18/UE</w:t>
      </w:r>
      <w:r>
        <w:t xml:space="preserve"> (</w:t>
      </w:r>
      <w:r w:rsidRPr="001D242A">
        <w:t>Dz.</w:t>
      </w:r>
      <w:r>
        <w:t xml:space="preserve"> </w:t>
      </w:r>
      <w:r w:rsidRPr="001D242A">
        <w:t>U</w:t>
      </w:r>
      <w:r>
        <w:t>rz</w:t>
      </w:r>
      <w:r w:rsidRPr="001D242A">
        <w:t>.</w:t>
      </w:r>
      <w:r>
        <w:t xml:space="preserve"> UE</w:t>
      </w:r>
      <w:r w:rsidRPr="001D242A">
        <w:t xml:space="preserve"> L 188 z 12.7.2019, str. 79—93</w:t>
      </w:r>
      <w:r>
        <w:t xml:space="preserve">), tzw. „dyrektywa </w:t>
      </w:r>
      <w:r>
        <w:t>work-life balance”.</w:t>
      </w:r>
    </w:p>
  </w:footnote>
  <w:footnote w:id="20">
    <w:p w14:paraId="7ECFC068" w14:textId="5EC98FCB" w:rsidR="00BE1631" w:rsidRPr="001D242A" w:rsidRDefault="00BE1631" w:rsidP="00456FC5">
      <w:pPr>
        <w:pStyle w:val="Tekstprzypisudolnego"/>
        <w:spacing w:before="0" w:beforeAutospacing="0" w:afterAutospacing="0"/>
      </w:pPr>
      <w:r>
        <w:rPr>
          <w:rStyle w:val="Odwoanieprzypisudolnego"/>
        </w:rPr>
        <w:footnoteRef/>
      </w:r>
      <w:r w:rsidRPr="001D242A">
        <w:t xml:space="preserve"> </w:t>
      </w:r>
      <w:r>
        <w:t>Dyrektywa Parlamentu Europejskiego i Rady (UE) 2022/2381 z dnia 23 listopada 2022 r. w sprawie poprawy równowagi płci wśród dyrektorów spółek giełdowych oraz powiązanych środków (</w:t>
      </w:r>
      <w:r w:rsidRPr="001D242A">
        <w:t>Dz.U</w:t>
      </w:r>
      <w:r>
        <w:t>rz</w:t>
      </w:r>
      <w:r w:rsidRPr="001D242A">
        <w:t xml:space="preserve">. </w:t>
      </w:r>
      <w:r>
        <w:t xml:space="preserve">UE </w:t>
      </w:r>
      <w:r w:rsidRPr="001D242A">
        <w:t>L 315 z 7.12.2022, str. 44—59</w:t>
      </w:r>
      <w:r>
        <w:t>), która weszła w życie 27 grudnia 2022 r.</w:t>
      </w:r>
    </w:p>
  </w:footnote>
  <w:footnote w:id="21">
    <w:p w14:paraId="1178BA4A" w14:textId="1436395A" w:rsidR="00BE1631" w:rsidRPr="00456FC5" w:rsidRDefault="00BE1631" w:rsidP="00456FC5">
      <w:pPr>
        <w:pStyle w:val="Tekstprzypisudolnego"/>
        <w:spacing w:before="0" w:beforeAutospacing="0" w:afterAutospacing="0"/>
        <w:rPr>
          <w:lang w:val="en-US"/>
        </w:rPr>
      </w:pPr>
      <w:r>
        <w:rPr>
          <w:rStyle w:val="Odwoanieprzypisudolnego"/>
        </w:rPr>
        <w:footnoteRef/>
      </w:r>
      <w:r w:rsidRPr="00456FC5">
        <w:rPr>
          <w:lang w:val="en-US"/>
        </w:rPr>
        <w:t xml:space="preserve"> W</w:t>
      </w:r>
      <w:r>
        <w:rPr>
          <w:lang w:val="en-US"/>
        </w:rPr>
        <w:t>omen on boards and in corporate leadership gender diversity</w:t>
      </w:r>
      <w:r w:rsidRPr="00456FC5">
        <w:rPr>
          <w:lang w:val="en-US"/>
        </w:rPr>
        <w:t xml:space="preserve">, Gender </w:t>
      </w:r>
      <w:r w:rsidRPr="00456FC5">
        <w:rPr>
          <w:lang w:val="en-US"/>
        </w:rPr>
        <w:t xml:space="preserve">Diveristy Index 2021, Poland, European Woman on Boards, </w:t>
      </w:r>
      <w:hyperlink r:id="rId3" w:history="1">
        <w:r w:rsidRPr="00456FC5">
          <w:rPr>
            <w:rStyle w:val="Hipercze"/>
            <w:lang w:val="en-US"/>
          </w:rPr>
          <w:t>https://europeanwomenonboards.eu/wp-content/uploads/2022/01/Poland-Country-report-2021-GDI.pdf</w:t>
        </w:r>
      </w:hyperlink>
      <w:r w:rsidRPr="00456FC5">
        <w:rPr>
          <w:lang w:val="en-US"/>
        </w:rPr>
        <w:t>, 28.02.2032.</w:t>
      </w:r>
    </w:p>
  </w:footnote>
  <w:footnote w:id="22">
    <w:p w14:paraId="656CDF3B" w14:textId="0B2974BD" w:rsidR="00BE1631" w:rsidRPr="00456FC5" w:rsidRDefault="00BE1631" w:rsidP="00456FC5">
      <w:pPr>
        <w:pStyle w:val="Tekstprzypisudolnego"/>
        <w:spacing w:before="0" w:beforeAutospacing="0" w:afterAutospacing="0"/>
        <w:rPr>
          <w:lang w:val="en-US"/>
        </w:rPr>
      </w:pPr>
      <w:r>
        <w:rPr>
          <w:rStyle w:val="Odwoanieprzypisudolnego"/>
        </w:rPr>
        <w:footnoteRef/>
      </w:r>
      <w:r w:rsidRPr="00456FC5">
        <w:rPr>
          <w:lang w:val="en-US"/>
        </w:rPr>
        <w:t xml:space="preserve"> Women remain outnumbered in management, Eurostat, </w:t>
      </w:r>
      <w:hyperlink r:id="rId4" w:history="1">
        <w:r w:rsidRPr="00456FC5">
          <w:rPr>
            <w:rStyle w:val="Hipercze"/>
            <w:lang w:val="en-US"/>
          </w:rPr>
          <w:t>https://ec.europa.eu/eurostat/web/products-eurostat-news/-/edn-20210305-2</w:t>
        </w:r>
      </w:hyperlink>
      <w:r w:rsidRPr="00456FC5">
        <w:rPr>
          <w:lang w:val="en-US"/>
        </w:rPr>
        <w:t>, 28.02.2023.</w:t>
      </w:r>
    </w:p>
  </w:footnote>
  <w:footnote w:id="23">
    <w:p w14:paraId="4D919BC0" w14:textId="411C7DA6" w:rsidR="00BE1631" w:rsidRPr="00456FC5" w:rsidRDefault="00BE1631" w:rsidP="00456FC5">
      <w:pPr>
        <w:pStyle w:val="Tekstprzypisudolnego"/>
        <w:spacing w:before="0" w:beforeAutospacing="0" w:afterAutospacing="0"/>
        <w:rPr>
          <w:lang w:val="en-US"/>
        </w:rPr>
      </w:pPr>
      <w:r>
        <w:rPr>
          <w:rStyle w:val="Odwoanieprzypisudolnego"/>
        </w:rPr>
        <w:footnoteRef/>
      </w:r>
      <w:r w:rsidRPr="00456FC5">
        <w:rPr>
          <w:lang w:val="en-US"/>
        </w:rPr>
        <w:t xml:space="preserve">Progress on gender equality is most notable on company boards, Gender Equality Index 2020: </w:t>
      </w:r>
      <w:r w:rsidRPr="00456FC5">
        <w:rPr>
          <w:lang w:val="en-US"/>
        </w:rPr>
        <w:t xml:space="preserve">Digitalisation and the future of work, European Institute for Gender Equality, </w:t>
      </w:r>
      <w:hyperlink r:id="rId5" w:history="1">
        <w:r w:rsidRPr="00456FC5">
          <w:rPr>
            <w:rStyle w:val="Hipercze"/>
            <w:lang w:val="en-US"/>
          </w:rPr>
          <w:t>https://eige.europa.eu/publications/gender-equality-index-2020-report/progress-gender-equality-most-notable-company-boards</w:t>
        </w:r>
      </w:hyperlink>
      <w:r w:rsidRPr="00456FC5">
        <w:rPr>
          <w:lang w:val="en-US"/>
        </w:rPr>
        <w:t>, 23.02.2023.</w:t>
      </w:r>
    </w:p>
  </w:footnote>
  <w:footnote w:id="24">
    <w:p w14:paraId="66BBC558" w14:textId="152910D6" w:rsidR="00BE1631" w:rsidRDefault="00BE1631" w:rsidP="00456FC5">
      <w:pPr>
        <w:pStyle w:val="Tekstprzypisudolnego"/>
        <w:spacing w:before="0" w:beforeAutospacing="0" w:afterAutospacing="0"/>
      </w:pPr>
      <w:r>
        <w:rPr>
          <w:rStyle w:val="Odwoanieprzypisudolnego"/>
        </w:rPr>
        <w:footnoteRef/>
      </w:r>
      <w:r>
        <w:t xml:space="preserve"> </w:t>
      </w:r>
      <w:r w:rsidRPr="00D028B6">
        <w:t xml:space="preserve"> Wniosek dotyczący dyrektywy Rady w sprawie wprowadzenia w życie zasady równego traktowania osób bez względu na religię lub światopogląd, niepełnosprawność, wiek lub orientację seksualną</w:t>
      </w:r>
      <w:r>
        <w:t>, KOM(2008) 426 wersja ostateczna, KOM(2008) 426 z 02.07.2008r., wersja ostateczna.</w:t>
      </w:r>
    </w:p>
  </w:footnote>
  <w:footnote w:id="25">
    <w:p w14:paraId="164A91FA" w14:textId="2D5FC33D" w:rsidR="00BE1631" w:rsidRDefault="00BE1631" w:rsidP="00456FC5">
      <w:pPr>
        <w:pStyle w:val="Tekstprzypisudolnego"/>
        <w:spacing w:before="0" w:beforeAutospacing="0" w:afterAutospacing="0"/>
      </w:pPr>
      <w:r>
        <w:rPr>
          <w:rStyle w:val="Odwoanieprzypisudolnego"/>
        </w:rPr>
        <w:footnoteRef/>
      </w:r>
      <w:r>
        <w:t xml:space="preserve"> </w:t>
      </w:r>
      <w:r w:rsidRPr="00AF2301">
        <w:t>Konwencja o prawach osób niepełnosprawnych, sporządzona w Nowym Jorku dnia 13 grudnia 2006 r</w:t>
      </w:r>
      <w:r>
        <w:t>. (</w:t>
      </w:r>
      <w:r w:rsidRPr="00AF2301">
        <w:t>Dz.</w:t>
      </w:r>
      <w:r>
        <w:t xml:space="preserve"> </w:t>
      </w:r>
      <w:r w:rsidRPr="00AF2301">
        <w:t xml:space="preserve">U. </w:t>
      </w:r>
      <w:r>
        <w:t xml:space="preserve">z </w:t>
      </w:r>
      <w:r w:rsidRPr="00AF2301">
        <w:t>2012 poz. 1169</w:t>
      </w:r>
      <w:r>
        <w:t>).</w:t>
      </w:r>
    </w:p>
  </w:footnote>
  <w:footnote w:id="26">
    <w:p w14:paraId="6141D028" w14:textId="26A340F3" w:rsidR="00BE1631" w:rsidRDefault="00BE1631" w:rsidP="00456FC5">
      <w:pPr>
        <w:pStyle w:val="Tekstprzypisudolnego"/>
        <w:spacing w:before="0" w:beforeAutospacing="0" w:afterAutospacing="0"/>
      </w:pPr>
      <w:r>
        <w:rPr>
          <w:rStyle w:val="Odwoanieprzypisudolnego"/>
        </w:rPr>
        <w:footnoteRef/>
      </w:r>
      <w:r>
        <w:t xml:space="preserve"> </w:t>
      </w:r>
      <w:r w:rsidRPr="00207024">
        <w:t>Dz.</w:t>
      </w:r>
      <w:r>
        <w:t xml:space="preserve"> </w:t>
      </w:r>
      <w:r w:rsidRPr="00207024">
        <w:t xml:space="preserve">U. </w:t>
      </w:r>
      <w:r>
        <w:t>z 2022 r.</w:t>
      </w:r>
      <w:r w:rsidRPr="00207024">
        <w:t xml:space="preserve"> poz. </w:t>
      </w:r>
      <w:r>
        <w:t>2240.</w:t>
      </w:r>
    </w:p>
  </w:footnote>
  <w:footnote w:id="27">
    <w:p w14:paraId="61B1BE57" w14:textId="6BC19C86" w:rsidR="00BE1631" w:rsidRDefault="00BE1631" w:rsidP="00456FC5">
      <w:pPr>
        <w:pStyle w:val="Tekstprzypisudolnego"/>
        <w:spacing w:before="0" w:beforeAutospacing="0" w:afterAutospacing="0"/>
      </w:pPr>
      <w:r>
        <w:rPr>
          <w:rStyle w:val="Odwoanieprzypisudolnego"/>
        </w:rPr>
        <w:footnoteRef/>
      </w:r>
      <w:r w:rsidRPr="00412B6B">
        <w:t>Uchwała nr 27 Rady Ministrów z dnia 16 lutego 2021 r. w sprawie przyjęcia dokumentu Strategia na rzecz Osób z Niepełnosprawnościami 2021</w:t>
      </w:r>
      <w:r>
        <w:t>–</w:t>
      </w:r>
      <w:r w:rsidRPr="00412B6B">
        <w:t>2030</w:t>
      </w:r>
      <w:r>
        <w:t xml:space="preserve"> (</w:t>
      </w:r>
      <w:r w:rsidRPr="00412B6B">
        <w:t>M.P. poz. 218</w:t>
      </w:r>
      <w:r>
        <w:t>).</w:t>
      </w:r>
    </w:p>
  </w:footnote>
  <w:footnote w:id="28">
    <w:p w14:paraId="1F42F569" w14:textId="4AAB0D1D" w:rsidR="00BE1631" w:rsidRDefault="00BE1631" w:rsidP="00456FC5">
      <w:pPr>
        <w:pStyle w:val="Tekstprzypisudolnego"/>
        <w:spacing w:before="0" w:beforeAutospacing="0" w:afterAutospacing="0"/>
      </w:pPr>
      <w:r>
        <w:rPr>
          <w:rStyle w:val="Odwoanieprzypisudolnego"/>
        </w:rPr>
        <w:footnoteRef/>
      </w:r>
      <w:r>
        <w:t xml:space="preserve"> </w:t>
      </w:r>
      <w:r w:rsidRPr="00352428">
        <w:t>Projekt ustawy o dostępności niektórych produktów i usług</w:t>
      </w:r>
      <w:r>
        <w:t>, Rządowy Proces Legislacyjny, UC119.</w:t>
      </w:r>
    </w:p>
  </w:footnote>
  <w:footnote w:id="29">
    <w:p w14:paraId="42058B52" w14:textId="7D9EBB8F" w:rsidR="00BE1631" w:rsidRDefault="00BE1631" w:rsidP="00456FC5">
      <w:pPr>
        <w:pStyle w:val="Tekstprzypisudolnego"/>
        <w:spacing w:before="0" w:beforeAutospacing="0" w:afterAutospacing="0"/>
      </w:pPr>
      <w:r>
        <w:rPr>
          <w:rStyle w:val="Odwoanieprzypisudolnego"/>
        </w:rPr>
        <w:footnoteRef/>
      </w:r>
      <w:r w:rsidRPr="00FA1AEC">
        <w:rPr>
          <w:rFonts w:cstheme="minorHAnsi"/>
        </w:rPr>
        <w:t>Obecnie Zespół funkcjonuje na podstawie</w:t>
      </w:r>
      <w:r>
        <w:rPr>
          <w:rFonts w:cstheme="minorHAnsi"/>
        </w:rPr>
        <w:t xml:space="preserve"> </w:t>
      </w:r>
      <w:hyperlink r:id="rId6" w:history="1">
        <w:r>
          <w:rPr>
            <w:rFonts w:cstheme="minorHAnsi"/>
            <w:bCs/>
          </w:rPr>
          <w:t>z</w:t>
        </w:r>
        <w:r w:rsidRPr="00FA1AEC">
          <w:rPr>
            <w:rFonts w:cstheme="minorHAnsi"/>
            <w:bCs/>
          </w:rPr>
          <w:t xml:space="preserve">arządzenia </w:t>
        </w:r>
        <w:r w:rsidRPr="00CB6493">
          <w:rPr>
            <w:rFonts w:cstheme="minorHAnsi"/>
            <w:bCs/>
          </w:rPr>
          <w:t xml:space="preserve">Ministra Rodziny, Pracy i Polityki Społecznej </w:t>
        </w:r>
        <w:r w:rsidRPr="00FA1AEC">
          <w:rPr>
            <w:rFonts w:cstheme="minorHAnsi"/>
            <w:bCs/>
          </w:rPr>
          <w:t>nr 23 z dnia 11 sierpnia 2020 r.</w:t>
        </w:r>
        <w:r>
          <w:rPr>
            <w:rFonts w:cstheme="minorHAnsi"/>
            <w:bCs/>
          </w:rPr>
          <w:t xml:space="preserve"> </w:t>
        </w:r>
        <w:r w:rsidRPr="00FA1AEC">
          <w:rPr>
            <w:rFonts w:cstheme="minorHAnsi"/>
            <w:bCs/>
          </w:rPr>
          <w:t>w sprawie powołania Zespołu do spraw wykonywania postanowień Konwencji o prawach osób niepełnosprawnych</w:t>
        </w:r>
      </w:hyperlink>
      <w:r>
        <w:rPr>
          <w:rFonts w:cstheme="minorHAnsi"/>
          <w:bCs/>
        </w:rPr>
        <w:t xml:space="preserve"> (</w:t>
      </w:r>
      <w:r w:rsidRPr="00CB6493">
        <w:rPr>
          <w:rFonts w:cstheme="minorHAnsi"/>
          <w:bCs/>
        </w:rPr>
        <w:t>Dz.</w:t>
      </w:r>
      <w:r>
        <w:rPr>
          <w:rFonts w:cstheme="minorHAnsi"/>
          <w:bCs/>
        </w:rPr>
        <w:t xml:space="preserve"> </w:t>
      </w:r>
      <w:r w:rsidRPr="00CB6493">
        <w:rPr>
          <w:rFonts w:cstheme="minorHAnsi"/>
          <w:bCs/>
        </w:rPr>
        <w:t>Urz.</w:t>
      </w:r>
      <w:r>
        <w:rPr>
          <w:rFonts w:cstheme="minorHAnsi"/>
          <w:bCs/>
        </w:rPr>
        <w:t xml:space="preserve"> Min. Rodz. Prac. i Pol. Społ.</w:t>
      </w:r>
      <w:r w:rsidRPr="00CB6493">
        <w:rPr>
          <w:rFonts w:cstheme="minorHAnsi"/>
          <w:bCs/>
        </w:rPr>
        <w:t xml:space="preserve"> poz. 25</w:t>
      </w:r>
      <w:r>
        <w:rPr>
          <w:rFonts w:cstheme="minorHAnsi"/>
          <w:bCs/>
        </w:rPr>
        <w:t>).</w:t>
      </w:r>
    </w:p>
  </w:footnote>
  <w:footnote w:id="30">
    <w:p w14:paraId="6CC87C16" w14:textId="7160B120" w:rsidR="00BE1631" w:rsidRPr="00683B72" w:rsidRDefault="00BE1631" w:rsidP="00184653">
      <w:pPr>
        <w:pStyle w:val="Tekstprzypisudolnego"/>
        <w:tabs>
          <w:tab w:val="left" w:pos="142"/>
        </w:tabs>
        <w:spacing w:before="0" w:beforeAutospacing="0" w:afterAutospacing="0"/>
        <w:rPr>
          <w:sz w:val="18"/>
          <w:szCs w:val="18"/>
        </w:rPr>
      </w:pPr>
      <w:r w:rsidRPr="00683B72">
        <w:rPr>
          <w:rStyle w:val="Odwoanieprzypisudolnego"/>
          <w:rFonts w:cstheme="minorHAnsi"/>
          <w:sz w:val="18"/>
          <w:szCs w:val="18"/>
        </w:rPr>
        <w:footnoteRef/>
      </w:r>
      <w:r w:rsidRPr="00683B72">
        <w:rPr>
          <w:sz w:val="18"/>
          <w:szCs w:val="18"/>
        </w:rPr>
        <w:t xml:space="preserve"> Komitet działa na podstawie </w:t>
      </w:r>
      <w:r>
        <w:rPr>
          <w:sz w:val="18"/>
          <w:szCs w:val="18"/>
        </w:rPr>
        <w:t>z</w:t>
      </w:r>
      <w:r w:rsidRPr="00683B72">
        <w:rPr>
          <w:sz w:val="18"/>
          <w:szCs w:val="18"/>
        </w:rPr>
        <w:t xml:space="preserve">arządzenia nr </w:t>
      </w:r>
      <w:r>
        <w:rPr>
          <w:sz w:val="18"/>
          <w:szCs w:val="18"/>
        </w:rPr>
        <w:t>33</w:t>
      </w:r>
      <w:r w:rsidRPr="00683B72">
        <w:rPr>
          <w:sz w:val="18"/>
          <w:szCs w:val="18"/>
        </w:rPr>
        <w:t xml:space="preserve"> Ministra Rolnictwa i Rozwoju Wsi z </w:t>
      </w:r>
      <w:r>
        <w:rPr>
          <w:sz w:val="18"/>
          <w:szCs w:val="18"/>
        </w:rPr>
        <w:t>dnia 31 lipca</w:t>
      </w:r>
      <w:r w:rsidRPr="00683B72">
        <w:rPr>
          <w:sz w:val="18"/>
          <w:szCs w:val="18"/>
        </w:rPr>
        <w:t xml:space="preserve"> 20</w:t>
      </w:r>
      <w:r>
        <w:rPr>
          <w:sz w:val="18"/>
          <w:szCs w:val="18"/>
        </w:rPr>
        <w:t>20</w:t>
      </w:r>
      <w:r w:rsidRPr="00683B72">
        <w:rPr>
          <w:sz w:val="18"/>
          <w:szCs w:val="18"/>
        </w:rPr>
        <w:t xml:space="preserve"> r. w sprawie Komitetu Monitorującego Program Rozwoju Obszarów Wiejskich na lata 2014</w:t>
      </w:r>
      <w:r>
        <w:rPr>
          <w:sz w:val="18"/>
          <w:szCs w:val="18"/>
        </w:rPr>
        <w:t>–</w:t>
      </w:r>
      <w:r w:rsidRPr="00683B72">
        <w:rPr>
          <w:sz w:val="18"/>
          <w:szCs w:val="18"/>
        </w:rPr>
        <w:t>2020</w:t>
      </w:r>
      <w:r>
        <w:rPr>
          <w:sz w:val="18"/>
          <w:szCs w:val="18"/>
        </w:rPr>
        <w:t>.</w:t>
      </w:r>
    </w:p>
  </w:footnote>
  <w:footnote w:id="31">
    <w:p w14:paraId="624D40E4" w14:textId="6A567882" w:rsidR="00BE1631" w:rsidRPr="00683B72" w:rsidRDefault="00BE1631" w:rsidP="00184653">
      <w:pPr>
        <w:pStyle w:val="Tekstprzypisudolnego"/>
        <w:tabs>
          <w:tab w:val="left" w:pos="142"/>
        </w:tabs>
        <w:spacing w:before="0" w:beforeAutospacing="0" w:afterAutospacing="0"/>
        <w:rPr>
          <w:sz w:val="18"/>
          <w:szCs w:val="18"/>
        </w:rPr>
      </w:pPr>
      <w:r w:rsidRPr="00683B72">
        <w:rPr>
          <w:rStyle w:val="Odwoanieprzypisudolnego"/>
          <w:sz w:val="18"/>
          <w:szCs w:val="18"/>
        </w:rPr>
        <w:footnoteRef/>
      </w:r>
      <w:r w:rsidRPr="00683B72">
        <w:rPr>
          <w:sz w:val="18"/>
          <w:szCs w:val="18"/>
        </w:rPr>
        <w:t xml:space="preserve"> Komitet działa na podstawie </w:t>
      </w:r>
      <w:r>
        <w:rPr>
          <w:sz w:val="18"/>
          <w:szCs w:val="18"/>
        </w:rPr>
        <w:t>z</w:t>
      </w:r>
      <w:r w:rsidRPr="00683B72">
        <w:rPr>
          <w:sz w:val="18"/>
          <w:szCs w:val="18"/>
        </w:rPr>
        <w:t xml:space="preserve">arządzenia Ministra Finansów, Funduszy i Polityki Regionalnej z </w:t>
      </w:r>
      <w:r>
        <w:rPr>
          <w:sz w:val="18"/>
          <w:szCs w:val="18"/>
        </w:rPr>
        <w:t xml:space="preserve">dnia </w:t>
      </w:r>
      <w:r w:rsidRPr="00683B72">
        <w:rPr>
          <w:sz w:val="18"/>
          <w:szCs w:val="18"/>
        </w:rPr>
        <w:t>2 czerwca 2021 r. w sprawie powołania Komitetu Monitorującego Program Operacyjny Wiedza Edukacja Rozwój 2014</w:t>
      </w:r>
      <w:r>
        <w:rPr>
          <w:sz w:val="18"/>
          <w:szCs w:val="18"/>
        </w:rPr>
        <w:t>–</w:t>
      </w:r>
      <w:r w:rsidRPr="00683B72">
        <w:rPr>
          <w:sz w:val="18"/>
          <w:szCs w:val="18"/>
        </w:rPr>
        <w:t xml:space="preserve">2020. </w:t>
      </w:r>
    </w:p>
  </w:footnote>
  <w:footnote w:id="32">
    <w:p w14:paraId="48BF500E" w14:textId="76FBAE55" w:rsidR="00BE1631" w:rsidRPr="00683B72" w:rsidRDefault="00BE1631" w:rsidP="00184653">
      <w:pPr>
        <w:pStyle w:val="Tekstprzypisudolnego"/>
        <w:tabs>
          <w:tab w:val="left" w:pos="142"/>
        </w:tabs>
        <w:spacing w:before="0" w:beforeAutospacing="0" w:afterAutospacing="0"/>
        <w:rPr>
          <w:sz w:val="18"/>
          <w:szCs w:val="18"/>
        </w:rPr>
      </w:pPr>
      <w:r w:rsidRPr="00683B72">
        <w:rPr>
          <w:rStyle w:val="Odwoanieprzypisudolnego"/>
          <w:rFonts w:cstheme="minorHAnsi"/>
          <w:sz w:val="18"/>
          <w:szCs w:val="18"/>
        </w:rPr>
        <w:footnoteRef/>
      </w:r>
      <w:r w:rsidRPr="00683B72">
        <w:rPr>
          <w:sz w:val="18"/>
          <w:szCs w:val="18"/>
        </w:rPr>
        <w:t xml:space="preserve"> Komitet działa na podstawie </w:t>
      </w:r>
      <w:r>
        <w:rPr>
          <w:sz w:val="18"/>
          <w:szCs w:val="18"/>
        </w:rPr>
        <w:t>z</w:t>
      </w:r>
      <w:r w:rsidRPr="00683B72">
        <w:rPr>
          <w:sz w:val="18"/>
          <w:szCs w:val="18"/>
        </w:rPr>
        <w:t xml:space="preserve">arządzenia </w:t>
      </w:r>
      <w:r w:rsidRPr="00A931D5">
        <w:rPr>
          <w:sz w:val="18"/>
          <w:szCs w:val="18"/>
        </w:rPr>
        <w:t>nr 31 Ministra Rolnictwa i Rozwoju Wsi z dnia 1 lipca 2021 r.</w:t>
      </w:r>
      <w:r w:rsidRPr="00683B72">
        <w:rPr>
          <w:sz w:val="18"/>
          <w:szCs w:val="18"/>
        </w:rPr>
        <w:t xml:space="preserve"> w sprawie Komitetu Monitorującego Program Operacyjny </w:t>
      </w:r>
      <w:r>
        <w:rPr>
          <w:sz w:val="18"/>
          <w:szCs w:val="18"/>
        </w:rPr>
        <w:t>„</w:t>
      </w:r>
      <w:r w:rsidRPr="00683B72">
        <w:rPr>
          <w:sz w:val="18"/>
          <w:szCs w:val="18"/>
        </w:rPr>
        <w:t>Rybactwo i Morze".</w:t>
      </w:r>
    </w:p>
  </w:footnote>
  <w:footnote w:id="33">
    <w:p w14:paraId="6E6F1222" w14:textId="0448760E" w:rsidR="00BE1631" w:rsidRPr="00683B72" w:rsidRDefault="00BE1631" w:rsidP="00184653">
      <w:pPr>
        <w:pStyle w:val="Tekstprzypisudolnego"/>
        <w:tabs>
          <w:tab w:val="left" w:pos="142"/>
        </w:tabs>
        <w:spacing w:before="0" w:beforeAutospacing="0" w:afterAutospacing="0"/>
        <w:rPr>
          <w:sz w:val="18"/>
          <w:szCs w:val="18"/>
        </w:rPr>
      </w:pPr>
      <w:r w:rsidRPr="00683B72">
        <w:rPr>
          <w:rStyle w:val="Odwoanieprzypisudolnego"/>
          <w:rFonts w:cstheme="minorHAnsi"/>
          <w:sz w:val="18"/>
          <w:szCs w:val="18"/>
        </w:rPr>
        <w:footnoteRef/>
      </w:r>
      <w:r w:rsidRPr="00683B72">
        <w:rPr>
          <w:sz w:val="18"/>
          <w:szCs w:val="18"/>
        </w:rPr>
        <w:t xml:space="preserve"> Komitet działa na podstawie </w:t>
      </w:r>
      <w:r>
        <w:rPr>
          <w:sz w:val="18"/>
          <w:szCs w:val="18"/>
        </w:rPr>
        <w:t>z</w:t>
      </w:r>
      <w:r w:rsidRPr="00683B72">
        <w:rPr>
          <w:sz w:val="18"/>
          <w:szCs w:val="18"/>
        </w:rPr>
        <w:t xml:space="preserve">arządzenia </w:t>
      </w:r>
      <w:r>
        <w:rPr>
          <w:sz w:val="18"/>
          <w:szCs w:val="18"/>
        </w:rPr>
        <w:t>n</w:t>
      </w:r>
      <w:r w:rsidRPr="00683B72">
        <w:rPr>
          <w:sz w:val="18"/>
          <w:szCs w:val="18"/>
        </w:rPr>
        <w:t xml:space="preserve">r 18 Ministra Infrastruktury i Rozwoju z </w:t>
      </w:r>
      <w:r>
        <w:rPr>
          <w:sz w:val="18"/>
          <w:szCs w:val="18"/>
        </w:rPr>
        <w:t xml:space="preserve">dnia </w:t>
      </w:r>
      <w:r w:rsidRPr="00683B72">
        <w:rPr>
          <w:sz w:val="18"/>
          <w:szCs w:val="18"/>
        </w:rPr>
        <w:t>4 marca 2015 r. w sprawie powołania Komitetu Monitorującego Program Operacyjny Polska Wschodnia 2014</w:t>
      </w:r>
      <w:r>
        <w:rPr>
          <w:sz w:val="18"/>
          <w:szCs w:val="18"/>
        </w:rPr>
        <w:t>–</w:t>
      </w:r>
      <w:r w:rsidRPr="00683B72">
        <w:rPr>
          <w:sz w:val="18"/>
          <w:szCs w:val="18"/>
        </w:rPr>
        <w:t xml:space="preserve">2020 (ostatnia zmiana: </w:t>
      </w:r>
      <w:r>
        <w:rPr>
          <w:sz w:val="18"/>
          <w:szCs w:val="18"/>
        </w:rPr>
        <w:t>z</w:t>
      </w:r>
      <w:r w:rsidRPr="00683B72">
        <w:rPr>
          <w:sz w:val="18"/>
          <w:szCs w:val="18"/>
        </w:rPr>
        <w:t xml:space="preserve">arządzenie Ministra Finansów, Funduszy i Polityki Regionalnej z </w:t>
      </w:r>
      <w:r>
        <w:rPr>
          <w:sz w:val="18"/>
          <w:szCs w:val="18"/>
        </w:rPr>
        <w:t xml:space="preserve">dnia </w:t>
      </w:r>
      <w:r w:rsidRPr="00683B72">
        <w:rPr>
          <w:sz w:val="18"/>
          <w:szCs w:val="18"/>
        </w:rPr>
        <w:t>18 maja 2021 r. zmieniające zarządzenie w sprawie powołania Komitetu Monitorującego Program Operacyjny Polska Wschodnia 2014</w:t>
      </w:r>
      <w:r>
        <w:rPr>
          <w:sz w:val="18"/>
          <w:szCs w:val="18"/>
        </w:rPr>
        <w:t>–</w:t>
      </w:r>
      <w:r w:rsidRPr="00683B72">
        <w:rPr>
          <w:sz w:val="18"/>
          <w:szCs w:val="18"/>
        </w:rPr>
        <w:t>2020).</w:t>
      </w:r>
    </w:p>
  </w:footnote>
  <w:footnote w:id="34">
    <w:p w14:paraId="36179584" w14:textId="099F9E29" w:rsidR="00BE1631" w:rsidRPr="00683B72" w:rsidRDefault="00BE1631" w:rsidP="00184653">
      <w:pPr>
        <w:pStyle w:val="Tekstprzypisudolnego"/>
        <w:tabs>
          <w:tab w:val="left" w:pos="142"/>
        </w:tabs>
        <w:spacing w:before="0" w:beforeAutospacing="0" w:afterAutospacing="0"/>
        <w:rPr>
          <w:sz w:val="18"/>
          <w:szCs w:val="18"/>
        </w:rPr>
      </w:pPr>
      <w:r w:rsidRPr="00683B72">
        <w:rPr>
          <w:rStyle w:val="Odwoanieprzypisudolnego"/>
          <w:sz w:val="18"/>
          <w:szCs w:val="18"/>
        </w:rPr>
        <w:footnoteRef/>
      </w:r>
      <w:r w:rsidRPr="00683B72">
        <w:rPr>
          <w:sz w:val="18"/>
          <w:szCs w:val="18"/>
        </w:rPr>
        <w:t xml:space="preserve"> Komitet działa na podstawie </w:t>
      </w:r>
      <w:r>
        <w:rPr>
          <w:sz w:val="18"/>
          <w:szCs w:val="18"/>
        </w:rPr>
        <w:t>z</w:t>
      </w:r>
      <w:r w:rsidRPr="00683B72">
        <w:rPr>
          <w:sz w:val="18"/>
          <w:szCs w:val="18"/>
        </w:rPr>
        <w:t>arządzenia Ministra Finansów, Funduszy i Polityki Regionalnej z dnia 31 maja 2021 r. w sprawie powołania Komitetu Monitorującego Program Operacyjny Inteligentny Rozwój 2014</w:t>
      </w:r>
      <w:r>
        <w:rPr>
          <w:sz w:val="18"/>
          <w:szCs w:val="18"/>
        </w:rPr>
        <w:t>–</w:t>
      </w:r>
      <w:r w:rsidRPr="00683B72">
        <w:rPr>
          <w:sz w:val="18"/>
          <w:szCs w:val="18"/>
        </w:rPr>
        <w:t>2020</w:t>
      </w:r>
      <w:r>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4A3B"/>
    <w:multiLevelType w:val="hybridMultilevel"/>
    <w:tmpl w:val="DC7E558A"/>
    <w:lvl w:ilvl="0" w:tplc="1B109F4E">
      <w:start w:val="1"/>
      <w:numFmt w:val="bullet"/>
      <w:lvlText w:val="—"/>
      <w:lvlJc w:val="left"/>
      <w:pPr>
        <w:ind w:left="1080" w:hanging="360"/>
      </w:pPr>
      <w:rPr>
        <w:rFonts w:ascii="Arial" w:hAnsi="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DB30E1"/>
    <w:multiLevelType w:val="hybridMultilevel"/>
    <w:tmpl w:val="9C0294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D10859"/>
    <w:multiLevelType w:val="hybridMultilevel"/>
    <w:tmpl w:val="6A8ACF74"/>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C97A5C"/>
    <w:multiLevelType w:val="hybridMultilevel"/>
    <w:tmpl w:val="90962EEA"/>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C353F6"/>
    <w:multiLevelType w:val="hybridMultilevel"/>
    <w:tmpl w:val="EDB01046"/>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D42C93"/>
    <w:multiLevelType w:val="hybridMultilevel"/>
    <w:tmpl w:val="5894A924"/>
    <w:lvl w:ilvl="0" w:tplc="1B109F4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4F17A81"/>
    <w:multiLevelType w:val="hybridMultilevel"/>
    <w:tmpl w:val="38CE8A3C"/>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FF0A70"/>
    <w:multiLevelType w:val="hybridMultilevel"/>
    <w:tmpl w:val="5E14B0AC"/>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20A5482"/>
    <w:multiLevelType w:val="hybridMultilevel"/>
    <w:tmpl w:val="9ED85D50"/>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9509B7"/>
    <w:multiLevelType w:val="hybridMultilevel"/>
    <w:tmpl w:val="B16E7C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61D19FF"/>
    <w:multiLevelType w:val="hybridMultilevel"/>
    <w:tmpl w:val="0E122988"/>
    <w:lvl w:ilvl="0" w:tplc="1B109F4E">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4A416AAB"/>
    <w:multiLevelType w:val="hybridMultilevel"/>
    <w:tmpl w:val="17881FEA"/>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FBE6FB7"/>
    <w:multiLevelType w:val="hybridMultilevel"/>
    <w:tmpl w:val="E9C2639C"/>
    <w:lvl w:ilvl="0" w:tplc="1B109F4E">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1031A25"/>
    <w:multiLevelType w:val="multilevel"/>
    <w:tmpl w:val="426C8C04"/>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E50EA5"/>
    <w:multiLevelType w:val="multilevel"/>
    <w:tmpl w:val="A23A2DE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558DE"/>
    <w:multiLevelType w:val="multilevel"/>
    <w:tmpl w:val="9AA637A0"/>
    <w:lvl w:ilvl="0">
      <w:start w:val="1"/>
      <w:numFmt w:val="decimal"/>
      <w:pStyle w:val="Nagwek1"/>
      <w:lvlText w:val="%1."/>
      <w:lvlJc w:val="left"/>
      <w:pPr>
        <w:ind w:left="432" w:hanging="432"/>
      </w:pPr>
      <w:rPr>
        <w:rFonts w:hint="default"/>
        <w:b/>
      </w:rPr>
    </w:lvl>
    <w:lvl w:ilvl="1">
      <w:start w:val="1"/>
      <w:numFmt w:val="decimal"/>
      <w:pStyle w:val="Nagwek2"/>
      <w:lvlText w:val="%1.%2."/>
      <w:lvlJc w:val="left"/>
      <w:pPr>
        <w:ind w:left="1143" w:hanging="576"/>
      </w:pPr>
      <w:rPr>
        <w:rFonts w:hint="default"/>
        <w:b/>
      </w:rPr>
    </w:lvl>
    <w:lvl w:ilvl="2">
      <w:start w:val="1"/>
      <w:numFmt w:val="decimal"/>
      <w:pStyle w:val="Nagwek3"/>
      <w:lvlText w:val="%1.%2.%3."/>
      <w:lvlJc w:val="left"/>
      <w:pPr>
        <w:ind w:left="720" w:hanging="720"/>
      </w:pPr>
      <w:rPr>
        <w:rFonts w:hint="default"/>
        <w:b/>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6" w15:restartNumberingAfterBreak="0">
    <w:nsid w:val="71FB7248"/>
    <w:multiLevelType w:val="hybridMultilevel"/>
    <w:tmpl w:val="7DD2541A"/>
    <w:lvl w:ilvl="0" w:tplc="1B109F4E">
      <w:start w:val="1"/>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649178F"/>
    <w:multiLevelType w:val="hybridMultilevel"/>
    <w:tmpl w:val="B3929622"/>
    <w:lvl w:ilvl="0" w:tplc="1B109F4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CC72876"/>
    <w:multiLevelType w:val="hybridMultilevel"/>
    <w:tmpl w:val="C8EEF7AC"/>
    <w:lvl w:ilvl="0" w:tplc="38B60F3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CD425D4"/>
    <w:multiLevelType w:val="hybridMultilevel"/>
    <w:tmpl w:val="CD96A60A"/>
    <w:lvl w:ilvl="0" w:tplc="0415000F">
      <w:start w:val="1"/>
      <w:numFmt w:val="decimal"/>
      <w:lvlText w:val="%1."/>
      <w:lvlJc w:val="left"/>
      <w:pPr>
        <w:ind w:left="720" w:hanging="360"/>
      </w:pPr>
      <w:rPr>
        <w:rFonts w:hint="default"/>
      </w:rPr>
    </w:lvl>
    <w:lvl w:ilvl="1" w:tplc="38B60F3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13"/>
  </w:num>
  <w:num w:numId="5">
    <w:abstractNumId w:val="4"/>
  </w:num>
  <w:num w:numId="6">
    <w:abstractNumId w:val="16"/>
  </w:num>
  <w:num w:numId="7">
    <w:abstractNumId w:val="12"/>
  </w:num>
  <w:num w:numId="8">
    <w:abstractNumId w:val="15"/>
  </w:num>
  <w:num w:numId="9">
    <w:abstractNumId w:val="1"/>
  </w:num>
  <w:num w:numId="10">
    <w:abstractNumId w:val="18"/>
  </w:num>
  <w:num w:numId="11">
    <w:abstractNumId w:val="19"/>
  </w:num>
  <w:num w:numId="12">
    <w:abstractNumId w:val="9"/>
  </w:num>
  <w:num w:numId="13">
    <w:abstractNumId w:val="11"/>
  </w:num>
  <w:num w:numId="14">
    <w:abstractNumId w:val="3"/>
  </w:num>
  <w:num w:numId="15">
    <w:abstractNumId w:val="1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7"/>
  </w:num>
  <w:num w:numId="19">
    <w:abstractNumId w:val="8"/>
  </w:num>
  <w:num w:numId="20">
    <w:abstractNumId w:val="10"/>
  </w:num>
  <w:num w:numId="21">
    <w:abstractNumId w:val="2"/>
  </w:num>
  <w:num w:numId="22">
    <w:abstractNumId w:val="15"/>
    <w:lvlOverride w:ilvl="0">
      <w:startOverride w:val="1"/>
    </w:lvlOverride>
    <w:lvlOverride w:ilvl="1">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53"/>
    <w:rsid w:val="00000C12"/>
    <w:rsid w:val="00034A29"/>
    <w:rsid w:val="000439C7"/>
    <w:rsid w:val="00076076"/>
    <w:rsid w:val="000E53D7"/>
    <w:rsid w:val="000F15E8"/>
    <w:rsid w:val="00111381"/>
    <w:rsid w:val="001136A8"/>
    <w:rsid w:val="00116573"/>
    <w:rsid w:val="00122BF0"/>
    <w:rsid w:val="001230FD"/>
    <w:rsid w:val="00142566"/>
    <w:rsid w:val="00144029"/>
    <w:rsid w:val="00146C03"/>
    <w:rsid w:val="00171F19"/>
    <w:rsid w:val="00184653"/>
    <w:rsid w:val="00191BA9"/>
    <w:rsid w:val="001952C3"/>
    <w:rsid w:val="001A0FED"/>
    <w:rsid w:val="001A2DF9"/>
    <w:rsid w:val="001A3066"/>
    <w:rsid w:val="001D242A"/>
    <w:rsid w:val="001D3574"/>
    <w:rsid w:val="001D409B"/>
    <w:rsid w:val="001D5547"/>
    <w:rsid w:val="002013FB"/>
    <w:rsid w:val="0020648E"/>
    <w:rsid w:val="00207024"/>
    <w:rsid w:val="00213DB1"/>
    <w:rsid w:val="00217830"/>
    <w:rsid w:val="00221412"/>
    <w:rsid w:val="00230C45"/>
    <w:rsid w:val="00236593"/>
    <w:rsid w:val="0025325C"/>
    <w:rsid w:val="00262DC9"/>
    <w:rsid w:val="002630E9"/>
    <w:rsid w:val="00264DA7"/>
    <w:rsid w:val="00265CA2"/>
    <w:rsid w:val="002702F4"/>
    <w:rsid w:val="002A6B0E"/>
    <w:rsid w:val="002B4AA2"/>
    <w:rsid w:val="002C0DCD"/>
    <w:rsid w:val="002C745D"/>
    <w:rsid w:val="002F1392"/>
    <w:rsid w:val="00302735"/>
    <w:rsid w:val="00303CAD"/>
    <w:rsid w:val="00313DBD"/>
    <w:rsid w:val="0031477E"/>
    <w:rsid w:val="00325F42"/>
    <w:rsid w:val="0033242A"/>
    <w:rsid w:val="00352428"/>
    <w:rsid w:val="00371A60"/>
    <w:rsid w:val="00385FB0"/>
    <w:rsid w:val="00394E13"/>
    <w:rsid w:val="003A636F"/>
    <w:rsid w:val="003B3C2B"/>
    <w:rsid w:val="003B671C"/>
    <w:rsid w:val="003B6D6D"/>
    <w:rsid w:val="003D2B95"/>
    <w:rsid w:val="003D3DC2"/>
    <w:rsid w:val="003E3FCA"/>
    <w:rsid w:val="004041E9"/>
    <w:rsid w:val="00412B6B"/>
    <w:rsid w:val="00456FC5"/>
    <w:rsid w:val="00457C06"/>
    <w:rsid w:val="00464DE6"/>
    <w:rsid w:val="00466661"/>
    <w:rsid w:val="004742D9"/>
    <w:rsid w:val="0049302A"/>
    <w:rsid w:val="00495F62"/>
    <w:rsid w:val="004A58A1"/>
    <w:rsid w:val="004B2F1B"/>
    <w:rsid w:val="004B454F"/>
    <w:rsid w:val="004C480F"/>
    <w:rsid w:val="004D1FBD"/>
    <w:rsid w:val="004D70C5"/>
    <w:rsid w:val="004E6583"/>
    <w:rsid w:val="004F05C4"/>
    <w:rsid w:val="004F236E"/>
    <w:rsid w:val="005276EC"/>
    <w:rsid w:val="00527D92"/>
    <w:rsid w:val="00534C39"/>
    <w:rsid w:val="00553C08"/>
    <w:rsid w:val="00556575"/>
    <w:rsid w:val="0056055C"/>
    <w:rsid w:val="00560E91"/>
    <w:rsid w:val="00576448"/>
    <w:rsid w:val="00590E3C"/>
    <w:rsid w:val="00590EC3"/>
    <w:rsid w:val="005A0E30"/>
    <w:rsid w:val="005B1B4E"/>
    <w:rsid w:val="005B6D60"/>
    <w:rsid w:val="005C32C2"/>
    <w:rsid w:val="00610965"/>
    <w:rsid w:val="0061721B"/>
    <w:rsid w:val="006309BE"/>
    <w:rsid w:val="0063235A"/>
    <w:rsid w:val="006452FA"/>
    <w:rsid w:val="00647EA8"/>
    <w:rsid w:val="00665552"/>
    <w:rsid w:val="0069549F"/>
    <w:rsid w:val="00697BEF"/>
    <w:rsid w:val="00697EBA"/>
    <w:rsid w:val="006A0C9A"/>
    <w:rsid w:val="006A1DA5"/>
    <w:rsid w:val="006B0B9F"/>
    <w:rsid w:val="006C4F72"/>
    <w:rsid w:val="006E1015"/>
    <w:rsid w:val="00712D98"/>
    <w:rsid w:val="00747D5A"/>
    <w:rsid w:val="007638B4"/>
    <w:rsid w:val="00797E21"/>
    <w:rsid w:val="007A10D6"/>
    <w:rsid w:val="007A2CE9"/>
    <w:rsid w:val="007B0D35"/>
    <w:rsid w:val="007B485B"/>
    <w:rsid w:val="007C73E3"/>
    <w:rsid w:val="007C7D76"/>
    <w:rsid w:val="007D1947"/>
    <w:rsid w:val="007D2200"/>
    <w:rsid w:val="007E1F3A"/>
    <w:rsid w:val="007E7D8F"/>
    <w:rsid w:val="007F3BD0"/>
    <w:rsid w:val="0080097B"/>
    <w:rsid w:val="00805EC5"/>
    <w:rsid w:val="0082455B"/>
    <w:rsid w:val="00831EFD"/>
    <w:rsid w:val="008456D6"/>
    <w:rsid w:val="008579F7"/>
    <w:rsid w:val="008766C9"/>
    <w:rsid w:val="008A2919"/>
    <w:rsid w:val="008A7862"/>
    <w:rsid w:val="008B1089"/>
    <w:rsid w:val="008E24E5"/>
    <w:rsid w:val="008E5850"/>
    <w:rsid w:val="008E6D62"/>
    <w:rsid w:val="008F546F"/>
    <w:rsid w:val="00903E9B"/>
    <w:rsid w:val="00905077"/>
    <w:rsid w:val="00951D67"/>
    <w:rsid w:val="009548CE"/>
    <w:rsid w:val="00954BEB"/>
    <w:rsid w:val="00955D03"/>
    <w:rsid w:val="00957744"/>
    <w:rsid w:val="00973E4F"/>
    <w:rsid w:val="00995C92"/>
    <w:rsid w:val="00996223"/>
    <w:rsid w:val="009972F1"/>
    <w:rsid w:val="009B53B4"/>
    <w:rsid w:val="009D295B"/>
    <w:rsid w:val="00A029D9"/>
    <w:rsid w:val="00A22B37"/>
    <w:rsid w:val="00A263D7"/>
    <w:rsid w:val="00A33266"/>
    <w:rsid w:val="00A56922"/>
    <w:rsid w:val="00A61B1B"/>
    <w:rsid w:val="00A733DC"/>
    <w:rsid w:val="00A73499"/>
    <w:rsid w:val="00A91166"/>
    <w:rsid w:val="00A931D5"/>
    <w:rsid w:val="00A9607C"/>
    <w:rsid w:val="00AA60B6"/>
    <w:rsid w:val="00AD1514"/>
    <w:rsid w:val="00AE5368"/>
    <w:rsid w:val="00AF1C08"/>
    <w:rsid w:val="00AF2301"/>
    <w:rsid w:val="00B03038"/>
    <w:rsid w:val="00B075D3"/>
    <w:rsid w:val="00B15DAC"/>
    <w:rsid w:val="00B17F9D"/>
    <w:rsid w:val="00B249D3"/>
    <w:rsid w:val="00B25304"/>
    <w:rsid w:val="00B63E6B"/>
    <w:rsid w:val="00B83D83"/>
    <w:rsid w:val="00B87FAC"/>
    <w:rsid w:val="00B90F20"/>
    <w:rsid w:val="00BB01A9"/>
    <w:rsid w:val="00BB7311"/>
    <w:rsid w:val="00BC0D26"/>
    <w:rsid w:val="00BD20E6"/>
    <w:rsid w:val="00BD21A2"/>
    <w:rsid w:val="00BE1631"/>
    <w:rsid w:val="00C03851"/>
    <w:rsid w:val="00C13170"/>
    <w:rsid w:val="00C14DBA"/>
    <w:rsid w:val="00C1706D"/>
    <w:rsid w:val="00C26347"/>
    <w:rsid w:val="00C32AAD"/>
    <w:rsid w:val="00C4069A"/>
    <w:rsid w:val="00C435F2"/>
    <w:rsid w:val="00C44FB8"/>
    <w:rsid w:val="00C60979"/>
    <w:rsid w:val="00C612D3"/>
    <w:rsid w:val="00C96FB7"/>
    <w:rsid w:val="00CA0927"/>
    <w:rsid w:val="00CA7E73"/>
    <w:rsid w:val="00CB013E"/>
    <w:rsid w:val="00CB6493"/>
    <w:rsid w:val="00CE39C8"/>
    <w:rsid w:val="00CE5E48"/>
    <w:rsid w:val="00D028B6"/>
    <w:rsid w:val="00D14B1F"/>
    <w:rsid w:val="00D20AD5"/>
    <w:rsid w:val="00D235CB"/>
    <w:rsid w:val="00D27992"/>
    <w:rsid w:val="00D34B4D"/>
    <w:rsid w:val="00D51393"/>
    <w:rsid w:val="00D60A8A"/>
    <w:rsid w:val="00D8501B"/>
    <w:rsid w:val="00D910BC"/>
    <w:rsid w:val="00D951B1"/>
    <w:rsid w:val="00DA035A"/>
    <w:rsid w:val="00DC6FEF"/>
    <w:rsid w:val="00DD7657"/>
    <w:rsid w:val="00DF0AD1"/>
    <w:rsid w:val="00DF1BEA"/>
    <w:rsid w:val="00E11DF1"/>
    <w:rsid w:val="00E165EA"/>
    <w:rsid w:val="00E232BD"/>
    <w:rsid w:val="00E43E3B"/>
    <w:rsid w:val="00E43E3D"/>
    <w:rsid w:val="00E44F8D"/>
    <w:rsid w:val="00E45312"/>
    <w:rsid w:val="00E61EDA"/>
    <w:rsid w:val="00E65A0B"/>
    <w:rsid w:val="00E87B8D"/>
    <w:rsid w:val="00EA38EF"/>
    <w:rsid w:val="00EA451D"/>
    <w:rsid w:val="00EA7709"/>
    <w:rsid w:val="00EB6F58"/>
    <w:rsid w:val="00EC78F4"/>
    <w:rsid w:val="00F0119F"/>
    <w:rsid w:val="00F03400"/>
    <w:rsid w:val="00F16DA6"/>
    <w:rsid w:val="00F24EC7"/>
    <w:rsid w:val="00F460D3"/>
    <w:rsid w:val="00F92EA7"/>
    <w:rsid w:val="00FA41AB"/>
    <w:rsid w:val="00FB38EB"/>
    <w:rsid w:val="00FB49DB"/>
    <w:rsid w:val="00FC009B"/>
    <w:rsid w:val="00FC5E30"/>
    <w:rsid w:val="00FE32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2CFD"/>
  <w15:chartTrackingRefBased/>
  <w15:docId w15:val="{DB7522BC-BABB-4EC6-AC75-860A7B412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84653"/>
    <w:pPr>
      <w:tabs>
        <w:tab w:val="left" w:pos="4181"/>
        <w:tab w:val="center" w:pos="4536"/>
        <w:tab w:val="right" w:pos="9072"/>
        <w:tab w:val="left" w:pos="9212"/>
      </w:tabs>
      <w:spacing w:before="100" w:beforeAutospacing="1" w:after="100" w:afterAutospacing="1" w:line="276" w:lineRule="auto"/>
      <w:jc w:val="both"/>
    </w:pPr>
    <w:rPr>
      <w:rFonts w:ascii="Lato" w:eastAsiaTheme="minorEastAsia" w:hAnsi="Lato"/>
      <w:sz w:val="24"/>
      <w:szCs w:val="24"/>
    </w:rPr>
  </w:style>
  <w:style w:type="paragraph" w:styleId="Nagwek1">
    <w:name w:val="heading 1"/>
    <w:basedOn w:val="Nagwek2"/>
    <w:next w:val="Normalny"/>
    <w:link w:val="Nagwek1Znak"/>
    <w:autoRedefine/>
    <w:uiPriority w:val="9"/>
    <w:qFormat/>
    <w:rsid w:val="007E1F3A"/>
    <w:pPr>
      <w:numPr>
        <w:ilvl w:val="0"/>
      </w:numPr>
      <w:outlineLvl w:val="0"/>
    </w:pPr>
  </w:style>
  <w:style w:type="paragraph" w:styleId="Nagwek2">
    <w:name w:val="heading 2"/>
    <w:basedOn w:val="Normalny"/>
    <w:next w:val="Normalny"/>
    <w:link w:val="Nagwek2Znak"/>
    <w:autoRedefine/>
    <w:uiPriority w:val="9"/>
    <w:unhideWhenUsed/>
    <w:qFormat/>
    <w:rsid w:val="00034A29"/>
    <w:pPr>
      <w:keepNext/>
      <w:keepLines/>
      <w:numPr>
        <w:ilvl w:val="1"/>
        <w:numId w:val="8"/>
      </w:numPr>
      <w:pBdr>
        <w:bottom w:val="double" w:sz="4" w:space="1" w:color="auto"/>
      </w:pBdr>
      <w:spacing w:before="160"/>
      <w:ind w:left="717"/>
      <w:outlineLvl w:val="1"/>
    </w:pPr>
    <w:rPr>
      <w:rFonts w:eastAsia="Times New Roman" w:cstheme="minorHAnsi"/>
      <w:b/>
      <w:color w:val="000000" w:themeColor="text1"/>
      <w:lang w:eastAsia="pl-PL"/>
    </w:rPr>
  </w:style>
  <w:style w:type="paragraph" w:styleId="Nagwek3">
    <w:name w:val="heading 3"/>
    <w:basedOn w:val="Normalny"/>
    <w:next w:val="Normalny"/>
    <w:link w:val="Nagwek3Znak"/>
    <w:autoRedefine/>
    <w:uiPriority w:val="9"/>
    <w:unhideWhenUsed/>
    <w:qFormat/>
    <w:rsid w:val="00313DBD"/>
    <w:pPr>
      <w:keepNext/>
      <w:keepLines/>
      <w:numPr>
        <w:ilvl w:val="2"/>
        <w:numId w:val="8"/>
      </w:numPr>
      <w:pBdr>
        <w:bottom w:val="single" w:sz="4" w:space="1" w:color="auto"/>
      </w:pBdr>
      <w:spacing w:before="80" w:line="240" w:lineRule="auto"/>
      <w:outlineLvl w:val="2"/>
    </w:pPr>
    <w:rPr>
      <w:rFonts w:eastAsiaTheme="majorEastAsia" w:cstheme="minorHAnsi"/>
      <w:b/>
      <w:color w:val="000000" w:themeColor="text1"/>
    </w:rPr>
  </w:style>
  <w:style w:type="paragraph" w:styleId="Nagwek4">
    <w:name w:val="heading 4"/>
    <w:basedOn w:val="Normalny"/>
    <w:next w:val="Normalny"/>
    <w:link w:val="Nagwek4Znak"/>
    <w:uiPriority w:val="9"/>
    <w:semiHidden/>
    <w:unhideWhenUsed/>
    <w:qFormat/>
    <w:rsid w:val="00184653"/>
    <w:pPr>
      <w:keepNext/>
      <w:keepLines/>
      <w:numPr>
        <w:ilvl w:val="3"/>
        <w:numId w:val="8"/>
      </w:numPr>
      <w:spacing w:before="80" w:after="0"/>
      <w:outlineLvl w:val="3"/>
    </w:pPr>
    <w:rPr>
      <w:rFonts w:asciiTheme="majorHAnsi" w:eastAsiaTheme="majorEastAsia" w:hAnsiTheme="majorHAnsi" w:cstheme="majorBidi"/>
    </w:rPr>
  </w:style>
  <w:style w:type="paragraph" w:styleId="Nagwek5">
    <w:name w:val="heading 5"/>
    <w:basedOn w:val="Normalny"/>
    <w:next w:val="Normalny"/>
    <w:link w:val="Nagwek5Znak"/>
    <w:uiPriority w:val="9"/>
    <w:semiHidden/>
    <w:unhideWhenUsed/>
    <w:qFormat/>
    <w:rsid w:val="00184653"/>
    <w:pPr>
      <w:keepNext/>
      <w:keepLines/>
      <w:numPr>
        <w:ilvl w:val="4"/>
        <w:numId w:val="8"/>
      </w:numPr>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184653"/>
    <w:pPr>
      <w:keepNext/>
      <w:keepLines/>
      <w:numPr>
        <w:ilvl w:val="5"/>
        <w:numId w:val="8"/>
      </w:numPr>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184653"/>
    <w:pPr>
      <w:keepNext/>
      <w:keepLines/>
      <w:numPr>
        <w:ilvl w:val="6"/>
        <w:numId w:val="8"/>
      </w:numPr>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184653"/>
    <w:pPr>
      <w:keepNext/>
      <w:keepLines/>
      <w:numPr>
        <w:ilvl w:val="7"/>
        <w:numId w:val="8"/>
      </w:numPr>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184653"/>
    <w:pPr>
      <w:keepNext/>
      <w:keepLines/>
      <w:numPr>
        <w:ilvl w:val="8"/>
        <w:numId w:val="8"/>
      </w:numPr>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84653"/>
  </w:style>
  <w:style w:type="character" w:customStyle="1" w:styleId="Nagwek1Znak">
    <w:name w:val="Nagłówek 1 Znak"/>
    <w:basedOn w:val="Domylnaczcionkaakapitu"/>
    <w:link w:val="Nagwek1"/>
    <w:uiPriority w:val="9"/>
    <w:rsid w:val="007E1F3A"/>
    <w:rPr>
      <w:rFonts w:ascii="Lato" w:eastAsia="Times New Roman" w:hAnsi="Lato" w:cstheme="minorHAnsi"/>
      <w:b/>
      <w:color w:val="000000" w:themeColor="text1"/>
      <w:sz w:val="24"/>
      <w:szCs w:val="24"/>
      <w:lang w:eastAsia="pl-PL"/>
    </w:rPr>
  </w:style>
  <w:style w:type="character" w:customStyle="1" w:styleId="Nagwek2Znak">
    <w:name w:val="Nagłówek 2 Znak"/>
    <w:basedOn w:val="Domylnaczcionkaakapitu"/>
    <w:link w:val="Nagwek2"/>
    <w:uiPriority w:val="9"/>
    <w:rsid w:val="00034A29"/>
    <w:rPr>
      <w:rFonts w:ascii="Lato" w:eastAsia="Times New Roman" w:hAnsi="Lato" w:cstheme="minorHAnsi"/>
      <w:b/>
      <w:color w:val="000000" w:themeColor="text1"/>
      <w:sz w:val="24"/>
      <w:szCs w:val="24"/>
      <w:lang w:eastAsia="pl-PL"/>
    </w:rPr>
  </w:style>
  <w:style w:type="character" w:customStyle="1" w:styleId="Nagwek3Znak">
    <w:name w:val="Nagłówek 3 Znak"/>
    <w:basedOn w:val="Domylnaczcionkaakapitu"/>
    <w:link w:val="Nagwek3"/>
    <w:uiPriority w:val="9"/>
    <w:rsid w:val="00313DBD"/>
    <w:rPr>
      <w:rFonts w:ascii="Lato" w:eastAsiaTheme="majorEastAsia" w:hAnsi="Lato" w:cstheme="minorHAnsi"/>
      <w:b/>
      <w:color w:val="000000" w:themeColor="text1"/>
      <w:sz w:val="24"/>
      <w:szCs w:val="24"/>
    </w:rPr>
  </w:style>
  <w:style w:type="character" w:customStyle="1" w:styleId="Nagwek4Znak">
    <w:name w:val="Nagłówek 4 Znak"/>
    <w:basedOn w:val="Domylnaczcionkaakapitu"/>
    <w:link w:val="Nagwek4"/>
    <w:uiPriority w:val="9"/>
    <w:semiHidden/>
    <w:rsid w:val="0018465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184653"/>
    <w:rPr>
      <w:rFonts w:asciiTheme="majorHAnsi" w:eastAsiaTheme="majorEastAsia" w:hAnsiTheme="majorHAnsi" w:cstheme="majorBidi"/>
      <w:i/>
      <w:iCs/>
    </w:rPr>
  </w:style>
  <w:style w:type="character" w:customStyle="1" w:styleId="Nagwek6Znak">
    <w:name w:val="Nagłówek 6 Znak"/>
    <w:basedOn w:val="Domylnaczcionkaakapitu"/>
    <w:link w:val="Nagwek6"/>
    <w:uiPriority w:val="9"/>
    <w:semiHidden/>
    <w:rsid w:val="00184653"/>
    <w:rPr>
      <w:rFonts w:asciiTheme="majorHAnsi" w:eastAsiaTheme="majorEastAsia" w:hAnsiTheme="majorHAnsi" w:cstheme="majorBidi"/>
      <w:color w:val="595959" w:themeColor="text1" w:themeTint="A6"/>
      <w:sz w:val="24"/>
      <w:szCs w:val="24"/>
    </w:rPr>
  </w:style>
  <w:style w:type="character" w:customStyle="1" w:styleId="Nagwek7Znak">
    <w:name w:val="Nagłówek 7 Znak"/>
    <w:basedOn w:val="Domylnaczcionkaakapitu"/>
    <w:link w:val="Nagwek7"/>
    <w:uiPriority w:val="9"/>
    <w:semiHidden/>
    <w:rsid w:val="00184653"/>
    <w:rPr>
      <w:rFonts w:asciiTheme="majorHAnsi" w:eastAsiaTheme="majorEastAsia" w:hAnsiTheme="majorHAnsi" w:cstheme="majorBidi"/>
      <w:i/>
      <w:iCs/>
      <w:color w:val="595959" w:themeColor="text1" w:themeTint="A6"/>
      <w:sz w:val="24"/>
      <w:szCs w:val="24"/>
    </w:rPr>
  </w:style>
  <w:style w:type="character" w:customStyle="1" w:styleId="Nagwek8Znak">
    <w:name w:val="Nagłówek 8 Znak"/>
    <w:basedOn w:val="Domylnaczcionkaakapitu"/>
    <w:link w:val="Nagwek8"/>
    <w:uiPriority w:val="9"/>
    <w:semiHidden/>
    <w:rsid w:val="00184653"/>
    <w:rPr>
      <w:rFonts w:asciiTheme="majorHAnsi" w:eastAsiaTheme="majorEastAsia" w:hAnsiTheme="majorHAnsi" w:cstheme="majorBidi"/>
      <w:smallCaps/>
      <w:color w:val="595959" w:themeColor="text1" w:themeTint="A6"/>
      <w:sz w:val="24"/>
      <w:szCs w:val="24"/>
    </w:rPr>
  </w:style>
  <w:style w:type="character" w:customStyle="1" w:styleId="Nagwek9Znak">
    <w:name w:val="Nagłówek 9 Znak"/>
    <w:basedOn w:val="Domylnaczcionkaakapitu"/>
    <w:link w:val="Nagwek9"/>
    <w:uiPriority w:val="9"/>
    <w:semiHidden/>
    <w:rsid w:val="00184653"/>
    <w:rPr>
      <w:rFonts w:asciiTheme="majorHAnsi" w:eastAsiaTheme="majorEastAsia" w:hAnsiTheme="majorHAnsi" w:cstheme="majorBidi"/>
      <w:i/>
      <w:iCs/>
      <w:smallCaps/>
      <w:color w:val="595959" w:themeColor="text1" w:themeTint="A6"/>
      <w:sz w:val="24"/>
      <w:szCs w:val="24"/>
    </w:rPr>
  </w:style>
  <w:style w:type="paragraph" w:styleId="Akapitzlist">
    <w:name w:val="List Paragraph"/>
    <w:aliases w:val="Akapit z listą 1,BulletC,Paragraf,Table of contents numbered"/>
    <w:basedOn w:val="Normalny"/>
    <w:link w:val="AkapitzlistZnak"/>
    <w:uiPriority w:val="34"/>
    <w:qFormat/>
    <w:rsid w:val="00184653"/>
    <w:pPr>
      <w:ind w:left="720"/>
      <w:contextualSpacing/>
    </w:pPr>
  </w:style>
  <w:style w:type="character" w:customStyle="1" w:styleId="css-901oao">
    <w:name w:val="css-901oao"/>
    <w:basedOn w:val="Domylnaczcionkaakapitu"/>
    <w:rsid w:val="00184653"/>
  </w:style>
  <w:style w:type="paragraph" w:customStyle="1" w:styleId="Default">
    <w:name w:val="Default"/>
    <w:rsid w:val="00184653"/>
    <w:pPr>
      <w:autoSpaceDE w:val="0"/>
      <w:autoSpaceDN w:val="0"/>
      <w:adjustRightInd w:val="0"/>
      <w:spacing w:after="0" w:line="240" w:lineRule="auto"/>
    </w:pPr>
    <w:rPr>
      <w:rFonts w:ascii="Calibri" w:eastAsiaTheme="minorEastAsia" w:hAnsi="Calibri" w:cs="Calibri"/>
      <w:color w:val="000000"/>
      <w:sz w:val="24"/>
      <w:szCs w:val="24"/>
    </w:rPr>
  </w:style>
  <w:style w:type="paragraph" w:styleId="Tekstprzypisudolnego">
    <w:name w:val="footnote text"/>
    <w:aliases w:val="Podrozdział,Przypis,Fußnote,Footnote,Podrozdzia3,fn,Footnote Text Char1,Footnote Text Char Char,-E Fuﬂnotentext,Fuﬂnotentext Ursprung,footnote text,Fußnotentext Ursprung,-E Fußnotentext,Footnote TextCSR,Znak1,Znak,Footnote text,o"/>
    <w:basedOn w:val="Normalny"/>
    <w:link w:val="TekstprzypisudolnegoZnak"/>
    <w:unhideWhenUsed/>
    <w:rsid w:val="00184653"/>
    <w:pPr>
      <w:spacing w:after="0" w:line="240" w:lineRule="auto"/>
    </w:pPr>
    <w:rPr>
      <w:sz w:val="20"/>
      <w:szCs w:val="20"/>
    </w:rPr>
  </w:style>
  <w:style w:type="character" w:customStyle="1" w:styleId="TekstprzypisudolnegoZnak">
    <w:name w:val="Tekst przypisu dolnego Znak"/>
    <w:aliases w:val="Podrozdział Znak,Przypis Znak,Fußnote Znak,Footnote Znak,Podrozdzia3 Znak,fn Znak,Footnote Text Char1 Znak,Footnote Text Char Char Znak,-E Fuﬂnotentext Znak,Fuﬂnotentext Ursprung Znak,footnote text Znak,-E Fußnotentext Znak"/>
    <w:basedOn w:val="Domylnaczcionkaakapitu"/>
    <w:link w:val="Tekstprzypisudolnego"/>
    <w:rsid w:val="00184653"/>
    <w:rPr>
      <w:rFonts w:ascii="Lato" w:eastAsiaTheme="minorEastAsia" w:hAnsi="Lato"/>
      <w:sz w:val="20"/>
      <w:szCs w:val="20"/>
    </w:rPr>
  </w:style>
  <w:style w:type="character" w:styleId="Odwoanieprzypisudolnego">
    <w:name w:val="footnote reference"/>
    <w:aliases w:val="Footnote symbol,Footnote Reference Number,times,Footnote reference number,note TESI,SUPERS,EN Footnote Reference,Footnote number,Footnote Reference Superscript,FZ,(Voetnootmarkering),Times 10 Point,Nota,-E Fußnotenzeichen"/>
    <w:basedOn w:val="Domylnaczcionkaakapitu"/>
    <w:link w:val="FootnoteReferneceCarcter"/>
    <w:uiPriority w:val="99"/>
    <w:unhideWhenUsed/>
    <w:qFormat/>
    <w:rsid w:val="00184653"/>
    <w:rPr>
      <w:vertAlign w:val="superscript"/>
    </w:rPr>
  </w:style>
  <w:style w:type="paragraph" w:styleId="Nagwek">
    <w:name w:val="header"/>
    <w:basedOn w:val="Normalny"/>
    <w:link w:val="NagwekZnak"/>
    <w:uiPriority w:val="99"/>
    <w:unhideWhenUsed/>
    <w:rsid w:val="00184653"/>
    <w:pPr>
      <w:spacing w:after="0" w:line="240" w:lineRule="auto"/>
    </w:pPr>
  </w:style>
  <w:style w:type="character" w:customStyle="1" w:styleId="NagwekZnak">
    <w:name w:val="Nagłówek Znak"/>
    <w:basedOn w:val="Domylnaczcionkaakapitu"/>
    <w:link w:val="Nagwek"/>
    <w:uiPriority w:val="99"/>
    <w:rsid w:val="00184653"/>
    <w:rPr>
      <w:rFonts w:ascii="Lato" w:eastAsiaTheme="minorEastAsia" w:hAnsi="Lato"/>
      <w:sz w:val="24"/>
      <w:szCs w:val="24"/>
    </w:rPr>
  </w:style>
  <w:style w:type="paragraph" w:styleId="Stopka">
    <w:name w:val="footer"/>
    <w:basedOn w:val="Normalny"/>
    <w:link w:val="StopkaZnak"/>
    <w:uiPriority w:val="99"/>
    <w:unhideWhenUsed/>
    <w:rsid w:val="00184653"/>
    <w:pPr>
      <w:spacing w:after="0" w:line="240" w:lineRule="auto"/>
    </w:pPr>
  </w:style>
  <w:style w:type="character" w:customStyle="1" w:styleId="StopkaZnak">
    <w:name w:val="Stopka Znak"/>
    <w:basedOn w:val="Domylnaczcionkaakapitu"/>
    <w:link w:val="Stopka"/>
    <w:uiPriority w:val="99"/>
    <w:rsid w:val="00184653"/>
    <w:rPr>
      <w:rFonts w:ascii="Lato" w:eastAsiaTheme="minorEastAsia" w:hAnsi="Lato"/>
      <w:sz w:val="24"/>
      <w:szCs w:val="24"/>
    </w:rPr>
  </w:style>
  <w:style w:type="character" w:styleId="Hipercze">
    <w:name w:val="Hyperlink"/>
    <w:basedOn w:val="Domylnaczcionkaakapitu"/>
    <w:uiPriority w:val="99"/>
    <w:unhideWhenUsed/>
    <w:rsid w:val="00184653"/>
    <w:rPr>
      <w:color w:val="0000FF"/>
      <w:u w:val="single"/>
    </w:rPr>
  </w:style>
  <w:style w:type="character" w:customStyle="1" w:styleId="AkapitzlistZnak">
    <w:name w:val="Akapit z listą Znak"/>
    <w:aliases w:val="Akapit z listą 1 Znak,BulletC Znak,Paragraf Znak,Table of contents numbered Znak"/>
    <w:link w:val="Akapitzlist"/>
    <w:uiPriority w:val="34"/>
    <w:locked/>
    <w:rsid w:val="00184653"/>
    <w:rPr>
      <w:rFonts w:ascii="Lato" w:eastAsiaTheme="minorEastAsia" w:hAnsi="Lato"/>
      <w:sz w:val="24"/>
      <w:szCs w:val="24"/>
    </w:rPr>
  </w:style>
  <w:style w:type="paragraph" w:customStyle="1" w:styleId="FootnoteReferneceCarcter">
    <w:name w:val="Footnote Refernece Carácter"/>
    <w:aliases w:val="ftref Carácter,4_G Carácter"/>
    <w:basedOn w:val="Normalny"/>
    <w:link w:val="Odwoanieprzypisudolnego"/>
    <w:uiPriority w:val="99"/>
    <w:rsid w:val="00184653"/>
    <w:pPr>
      <w:spacing w:before="120" w:line="240" w:lineRule="exact"/>
    </w:pPr>
    <w:rPr>
      <w:rFonts w:asciiTheme="minorHAnsi" w:eastAsiaTheme="minorHAnsi" w:hAnsiTheme="minorHAnsi"/>
      <w:sz w:val="22"/>
      <w:szCs w:val="22"/>
      <w:vertAlign w:val="superscript"/>
    </w:rPr>
  </w:style>
  <w:style w:type="character" w:customStyle="1" w:styleId="Teksttreci4Bezpogrubienia">
    <w:name w:val="Tekst treści (4) + Bez pogrubienia"/>
    <w:basedOn w:val="Domylnaczcionkaakapitu"/>
    <w:rsid w:val="00184653"/>
    <w:rPr>
      <w:rFonts w:ascii="Verdana" w:eastAsia="Verdana" w:hAnsi="Verdana" w:cs="Verdana"/>
      <w:b/>
      <w:bCs/>
      <w:color w:val="000000"/>
      <w:spacing w:val="0"/>
      <w:w w:val="100"/>
      <w:position w:val="0"/>
      <w:sz w:val="17"/>
      <w:szCs w:val="17"/>
      <w:shd w:val="clear" w:color="auto" w:fill="FFFFFF"/>
      <w:lang w:val="pl-PL"/>
    </w:rPr>
  </w:style>
  <w:style w:type="paragraph" w:styleId="NormalnyWeb">
    <w:name w:val="Normal (Web)"/>
    <w:basedOn w:val="Normalny"/>
    <w:uiPriority w:val="99"/>
    <w:semiHidden/>
    <w:unhideWhenUsed/>
    <w:rsid w:val="00184653"/>
    <w:pPr>
      <w:spacing w:line="240" w:lineRule="auto"/>
    </w:pPr>
    <w:rPr>
      <w:rFonts w:ascii="Times New Roman" w:eastAsia="Times New Roman" w:hAnsi="Times New Roman" w:cs="Times New Roman"/>
      <w:lang w:eastAsia="pl-PL"/>
    </w:rPr>
  </w:style>
  <w:style w:type="character" w:styleId="Pogrubienie">
    <w:name w:val="Strong"/>
    <w:basedOn w:val="Domylnaczcionkaakapitu"/>
    <w:uiPriority w:val="22"/>
    <w:qFormat/>
    <w:rsid w:val="00184653"/>
    <w:rPr>
      <w:b/>
      <w:bCs/>
    </w:rPr>
  </w:style>
  <w:style w:type="paragraph" w:customStyle="1" w:styleId="intro">
    <w:name w:val="intro"/>
    <w:basedOn w:val="Normalny"/>
    <w:rsid w:val="00184653"/>
    <w:pPr>
      <w:spacing w:line="240" w:lineRule="auto"/>
    </w:pPr>
    <w:rPr>
      <w:rFonts w:ascii="Times New Roman" w:eastAsia="Times New Roman" w:hAnsi="Times New Roman" w:cs="Times New Roman"/>
      <w:lang w:eastAsia="pl-PL"/>
    </w:rPr>
  </w:style>
  <w:style w:type="character" w:customStyle="1" w:styleId="d2edcug0">
    <w:name w:val="d2edcug0"/>
    <w:basedOn w:val="Domylnaczcionkaakapitu"/>
    <w:rsid w:val="00184653"/>
  </w:style>
  <w:style w:type="paragraph" w:styleId="Tekstpodstawowy2">
    <w:name w:val="Body Text 2"/>
    <w:basedOn w:val="Normalny"/>
    <w:link w:val="Tekstpodstawowy2Znak"/>
    <w:semiHidden/>
    <w:rsid w:val="00184653"/>
    <w:pPr>
      <w:spacing w:after="0" w:line="240" w:lineRule="auto"/>
    </w:pPr>
    <w:rPr>
      <w:rFonts w:ascii="Times New Roman" w:eastAsia="Times New Roman" w:hAnsi="Times New Roman" w:cs="Times New Roman"/>
      <w:szCs w:val="20"/>
      <w:lang w:eastAsia="pl-PL"/>
    </w:rPr>
  </w:style>
  <w:style w:type="character" w:customStyle="1" w:styleId="Tekstpodstawowy2Znak">
    <w:name w:val="Tekst podstawowy 2 Znak"/>
    <w:basedOn w:val="Domylnaczcionkaakapitu"/>
    <w:link w:val="Tekstpodstawowy2"/>
    <w:semiHidden/>
    <w:rsid w:val="00184653"/>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184653"/>
    <w:rPr>
      <w:sz w:val="16"/>
      <w:szCs w:val="16"/>
    </w:rPr>
  </w:style>
  <w:style w:type="paragraph" w:styleId="Tekstkomentarza">
    <w:name w:val="annotation text"/>
    <w:basedOn w:val="Normalny"/>
    <w:link w:val="TekstkomentarzaZnak"/>
    <w:uiPriority w:val="99"/>
    <w:unhideWhenUsed/>
    <w:rsid w:val="00184653"/>
    <w:pPr>
      <w:spacing w:line="240" w:lineRule="auto"/>
    </w:pPr>
    <w:rPr>
      <w:sz w:val="20"/>
      <w:szCs w:val="20"/>
    </w:rPr>
  </w:style>
  <w:style w:type="character" w:customStyle="1" w:styleId="TekstkomentarzaZnak">
    <w:name w:val="Tekst komentarza Znak"/>
    <w:basedOn w:val="Domylnaczcionkaakapitu"/>
    <w:link w:val="Tekstkomentarza"/>
    <w:uiPriority w:val="99"/>
    <w:rsid w:val="00184653"/>
    <w:rPr>
      <w:rFonts w:ascii="Lato" w:eastAsiaTheme="minorEastAsia" w:hAnsi="Lato"/>
      <w:sz w:val="20"/>
      <w:szCs w:val="20"/>
    </w:rPr>
  </w:style>
  <w:style w:type="paragraph" w:styleId="Tematkomentarza">
    <w:name w:val="annotation subject"/>
    <w:basedOn w:val="Tekstkomentarza"/>
    <w:next w:val="Tekstkomentarza"/>
    <w:link w:val="TematkomentarzaZnak"/>
    <w:uiPriority w:val="99"/>
    <w:semiHidden/>
    <w:unhideWhenUsed/>
    <w:rsid w:val="00184653"/>
    <w:rPr>
      <w:b/>
      <w:bCs/>
    </w:rPr>
  </w:style>
  <w:style w:type="character" w:customStyle="1" w:styleId="TematkomentarzaZnak">
    <w:name w:val="Temat komentarza Znak"/>
    <w:basedOn w:val="TekstkomentarzaZnak"/>
    <w:link w:val="Tematkomentarza"/>
    <w:uiPriority w:val="99"/>
    <w:semiHidden/>
    <w:rsid w:val="00184653"/>
    <w:rPr>
      <w:rFonts w:ascii="Lato" w:eastAsiaTheme="minorEastAsia" w:hAnsi="Lato"/>
      <w:b/>
      <w:bCs/>
      <w:sz w:val="20"/>
      <w:szCs w:val="20"/>
    </w:rPr>
  </w:style>
  <w:style w:type="paragraph" w:styleId="Tekstdymka">
    <w:name w:val="Balloon Text"/>
    <w:basedOn w:val="Normalny"/>
    <w:link w:val="TekstdymkaZnak"/>
    <w:uiPriority w:val="99"/>
    <w:semiHidden/>
    <w:unhideWhenUsed/>
    <w:rsid w:val="001846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84653"/>
    <w:rPr>
      <w:rFonts w:ascii="Segoe UI" w:eastAsiaTheme="minorEastAsia" w:hAnsi="Segoe UI" w:cs="Segoe UI"/>
      <w:sz w:val="18"/>
      <w:szCs w:val="18"/>
    </w:rPr>
  </w:style>
  <w:style w:type="paragraph" w:styleId="HTML-wstpniesformatowany">
    <w:name w:val="HTML Preformatted"/>
    <w:basedOn w:val="Normalny"/>
    <w:link w:val="HTML-wstpniesformatowanyZnak"/>
    <w:uiPriority w:val="99"/>
    <w:unhideWhenUsed/>
    <w:rsid w:val="001846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84653"/>
    <w:rPr>
      <w:rFonts w:ascii="Courier New" w:eastAsia="Times New Roman" w:hAnsi="Courier New" w:cs="Courier New"/>
      <w:sz w:val="20"/>
      <w:szCs w:val="20"/>
      <w:lang w:eastAsia="pl-PL"/>
    </w:rPr>
  </w:style>
  <w:style w:type="character" w:customStyle="1" w:styleId="y2iqfc">
    <w:name w:val="y2iqfc"/>
    <w:rsid w:val="00184653"/>
  </w:style>
  <w:style w:type="paragraph" w:styleId="Legenda">
    <w:name w:val="caption"/>
    <w:basedOn w:val="Normalny"/>
    <w:next w:val="Normalny"/>
    <w:uiPriority w:val="35"/>
    <w:semiHidden/>
    <w:unhideWhenUsed/>
    <w:qFormat/>
    <w:rsid w:val="0018465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184653"/>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ytuZnak">
    <w:name w:val="Tytuł Znak"/>
    <w:basedOn w:val="Domylnaczcionkaakapitu"/>
    <w:link w:val="Tytu"/>
    <w:uiPriority w:val="10"/>
    <w:rsid w:val="00184653"/>
    <w:rPr>
      <w:rFonts w:asciiTheme="majorHAnsi" w:eastAsiaTheme="majorEastAsia" w:hAnsiTheme="majorHAnsi" w:cstheme="majorBidi"/>
      <w:color w:val="2F5496" w:themeColor="accent1" w:themeShade="BF"/>
      <w:spacing w:val="-7"/>
      <w:sz w:val="80"/>
      <w:szCs w:val="80"/>
    </w:rPr>
  </w:style>
  <w:style w:type="paragraph" w:styleId="Podtytu">
    <w:name w:val="Subtitle"/>
    <w:basedOn w:val="Normalny"/>
    <w:next w:val="Normalny"/>
    <w:link w:val="PodtytuZnak"/>
    <w:uiPriority w:val="11"/>
    <w:qFormat/>
    <w:rsid w:val="0018465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184653"/>
    <w:rPr>
      <w:rFonts w:asciiTheme="majorHAnsi" w:eastAsiaTheme="majorEastAsia" w:hAnsiTheme="majorHAnsi" w:cstheme="majorBidi"/>
      <w:color w:val="404040" w:themeColor="text1" w:themeTint="BF"/>
      <w:sz w:val="30"/>
      <w:szCs w:val="30"/>
    </w:rPr>
  </w:style>
  <w:style w:type="character" w:styleId="Uwydatnienie">
    <w:name w:val="Emphasis"/>
    <w:basedOn w:val="Domylnaczcionkaakapitu"/>
    <w:uiPriority w:val="20"/>
    <w:qFormat/>
    <w:rsid w:val="00184653"/>
    <w:rPr>
      <w:i/>
      <w:iCs/>
    </w:rPr>
  </w:style>
  <w:style w:type="paragraph" w:styleId="Bezodstpw">
    <w:name w:val="No Spacing"/>
    <w:uiPriority w:val="1"/>
    <w:qFormat/>
    <w:rsid w:val="00184653"/>
    <w:pPr>
      <w:spacing w:after="0" w:line="240" w:lineRule="auto"/>
    </w:pPr>
    <w:rPr>
      <w:rFonts w:eastAsiaTheme="minorEastAsia"/>
      <w:sz w:val="21"/>
      <w:szCs w:val="21"/>
    </w:rPr>
  </w:style>
  <w:style w:type="paragraph" w:styleId="Cytat">
    <w:name w:val="Quote"/>
    <w:basedOn w:val="Normalny"/>
    <w:next w:val="Normalny"/>
    <w:link w:val="CytatZnak"/>
    <w:uiPriority w:val="29"/>
    <w:qFormat/>
    <w:rsid w:val="0018465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184653"/>
    <w:rPr>
      <w:rFonts w:ascii="Lato" w:eastAsiaTheme="minorEastAsia" w:hAnsi="Lato"/>
      <w:i/>
      <w:iCs/>
      <w:sz w:val="24"/>
      <w:szCs w:val="24"/>
    </w:rPr>
  </w:style>
  <w:style w:type="paragraph" w:styleId="Cytatintensywny">
    <w:name w:val="Intense Quote"/>
    <w:basedOn w:val="Normalny"/>
    <w:next w:val="Normalny"/>
    <w:link w:val="CytatintensywnyZnak"/>
    <w:uiPriority w:val="30"/>
    <w:qFormat/>
    <w:rsid w:val="00184653"/>
    <w:pPr>
      <w:spacing w:after="240"/>
      <w:ind w:left="864" w:right="864"/>
      <w:jc w:val="center"/>
    </w:pPr>
    <w:rPr>
      <w:rFonts w:asciiTheme="majorHAnsi" w:eastAsiaTheme="majorEastAsia" w:hAnsiTheme="majorHAnsi" w:cstheme="majorBidi"/>
      <w:color w:val="4472C4" w:themeColor="accent1"/>
      <w:sz w:val="28"/>
      <w:szCs w:val="28"/>
    </w:rPr>
  </w:style>
  <w:style w:type="character" w:customStyle="1" w:styleId="CytatintensywnyZnak">
    <w:name w:val="Cytat intensywny Znak"/>
    <w:basedOn w:val="Domylnaczcionkaakapitu"/>
    <w:link w:val="Cytatintensywny"/>
    <w:uiPriority w:val="30"/>
    <w:rsid w:val="00184653"/>
    <w:rPr>
      <w:rFonts w:asciiTheme="majorHAnsi" w:eastAsiaTheme="majorEastAsia" w:hAnsiTheme="majorHAnsi" w:cstheme="majorBidi"/>
      <w:color w:val="4472C4" w:themeColor="accent1"/>
      <w:sz w:val="28"/>
      <w:szCs w:val="28"/>
    </w:rPr>
  </w:style>
  <w:style w:type="character" w:styleId="Wyrnieniedelikatne">
    <w:name w:val="Subtle Emphasis"/>
    <w:basedOn w:val="Domylnaczcionkaakapitu"/>
    <w:uiPriority w:val="19"/>
    <w:qFormat/>
    <w:rsid w:val="00184653"/>
    <w:rPr>
      <w:i/>
      <w:iCs/>
      <w:color w:val="595959" w:themeColor="text1" w:themeTint="A6"/>
    </w:rPr>
  </w:style>
  <w:style w:type="character" w:styleId="Wyrnienieintensywne">
    <w:name w:val="Intense Emphasis"/>
    <w:basedOn w:val="Domylnaczcionkaakapitu"/>
    <w:uiPriority w:val="21"/>
    <w:qFormat/>
    <w:rsid w:val="00184653"/>
    <w:rPr>
      <w:b/>
      <w:bCs/>
      <w:i/>
      <w:iCs/>
    </w:rPr>
  </w:style>
  <w:style w:type="character" w:styleId="Odwoaniedelikatne">
    <w:name w:val="Subtle Reference"/>
    <w:basedOn w:val="Domylnaczcionkaakapitu"/>
    <w:uiPriority w:val="31"/>
    <w:qFormat/>
    <w:rsid w:val="00184653"/>
    <w:rPr>
      <w:smallCaps/>
      <w:color w:val="404040" w:themeColor="text1" w:themeTint="BF"/>
    </w:rPr>
  </w:style>
  <w:style w:type="character" w:styleId="Odwoanieintensywne">
    <w:name w:val="Intense Reference"/>
    <w:basedOn w:val="Domylnaczcionkaakapitu"/>
    <w:uiPriority w:val="32"/>
    <w:qFormat/>
    <w:rsid w:val="00184653"/>
    <w:rPr>
      <w:b/>
      <w:bCs/>
      <w:smallCaps/>
      <w:u w:val="single"/>
    </w:rPr>
  </w:style>
  <w:style w:type="character" w:styleId="Tytuksiki">
    <w:name w:val="Book Title"/>
    <w:basedOn w:val="Domylnaczcionkaakapitu"/>
    <w:uiPriority w:val="33"/>
    <w:qFormat/>
    <w:rsid w:val="00184653"/>
    <w:rPr>
      <w:b/>
      <w:bCs/>
      <w:smallCaps/>
    </w:rPr>
  </w:style>
  <w:style w:type="paragraph" w:styleId="Nagwekspisutreci">
    <w:name w:val="TOC Heading"/>
    <w:basedOn w:val="Nagwek1"/>
    <w:next w:val="Normalny"/>
    <w:uiPriority w:val="39"/>
    <w:unhideWhenUsed/>
    <w:qFormat/>
    <w:rsid w:val="00184653"/>
    <w:pPr>
      <w:outlineLvl w:val="9"/>
    </w:pPr>
  </w:style>
  <w:style w:type="character" w:customStyle="1" w:styleId="Nierozpoznanawzmianka1">
    <w:name w:val="Nierozpoznana wzmianka1"/>
    <w:basedOn w:val="Domylnaczcionkaakapitu"/>
    <w:uiPriority w:val="99"/>
    <w:semiHidden/>
    <w:unhideWhenUsed/>
    <w:rsid w:val="00184653"/>
    <w:rPr>
      <w:color w:val="605E5C"/>
      <w:shd w:val="clear" w:color="auto" w:fill="E1DFDD"/>
    </w:rPr>
  </w:style>
  <w:style w:type="paragraph" w:styleId="Spistreci2">
    <w:name w:val="toc 2"/>
    <w:basedOn w:val="Normalny"/>
    <w:next w:val="Normalny"/>
    <w:autoRedefine/>
    <w:uiPriority w:val="39"/>
    <w:unhideWhenUsed/>
    <w:rsid w:val="00E165EA"/>
    <w:pPr>
      <w:tabs>
        <w:tab w:val="clear" w:pos="4181"/>
        <w:tab w:val="clear" w:pos="4536"/>
        <w:tab w:val="clear" w:pos="9072"/>
        <w:tab w:val="clear" w:pos="9212"/>
        <w:tab w:val="left" w:pos="480"/>
        <w:tab w:val="right" w:pos="9062"/>
      </w:tabs>
      <w:spacing w:before="240" w:after="0"/>
      <w:jc w:val="left"/>
    </w:pPr>
    <w:rPr>
      <w:rFonts w:asciiTheme="minorHAnsi" w:hAnsiTheme="minorHAnsi" w:cstheme="minorHAnsi"/>
      <w:b/>
      <w:bCs/>
      <w:sz w:val="20"/>
      <w:szCs w:val="20"/>
    </w:rPr>
  </w:style>
  <w:style w:type="paragraph" w:styleId="Spistreci1">
    <w:name w:val="toc 1"/>
    <w:basedOn w:val="Normalny"/>
    <w:next w:val="Normalny"/>
    <w:autoRedefine/>
    <w:uiPriority w:val="39"/>
    <w:unhideWhenUsed/>
    <w:rsid w:val="00184653"/>
    <w:pPr>
      <w:tabs>
        <w:tab w:val="clear" w:pos="4181"/>
        <w:tab w:val="clear" w:pos="4536"/>
        <w:tab w:val="clear" w:pos="9072"/>
        <w:tab w:val="clear" w:pos="9212"/>
      </w:tabs>
      <w:spacing w:before="360" w:after="0"/>
      <w:jc w:val="left"/>
    </w:pPr>
    <w:rPr>
      <w:rFonts w:asciiTheme="majorHAnsi" w:hAnsiTheme="majorHAnsi" w:cstheme="majorHAnsi"/>
      <w:b/>
      <w:bCs/>
      <w:caps/>
    </w:rPr>
  </w:style>
  <w:style w:type="paragraph" w:styleId="Spistreci3">
    <w:name w:val="toc 3"/>
    <w:basedOn w:val="Normalny"/>
    <w:next w:val="Normalny"/>
    <w:autoRedefine/>
    <w:uiPriority w:val="39"/>
    <w:unhideWhenUsed/>
    <w:rsid w:val="00184653"/>
    <w:pPr>
      <w:tabs>
        <w:tab w:val="clear" w:pos="4181"/>
        <w:tab w:val="clear" w:pos="4536"/>
        <w:tab w:val="clear" w:pos="9072"/>
        <w:tab w:val="clear" w:pos="9212"/>
      </w:tabs>
      <w:spacing w:before="0" w:after="0"/>
      <w:ind w:left="240"/>
      <w:jc w:val="left"/>
    </w:pPr>
    <w:rPr>
      <w:rFonts w:asciiTheme="minorHAnsi" w:hAnsiTheme="minorHAnsi" w:cstheme="minorHAnsi"/>
      <w:sz w:val="20"/>
      <w:szCs w:val="20"/>
    </w:rPr>
  </w:style>
  <w:style w:type="paragraph" w:styleId="Spistreci4">
    <w:name w:val="toc 4"/>
    <w:basedOn w:val="Normalny"/>
    <w:next w:val="Normalny"/>
    <w:autoRedefine/>
    <w:uiPriority w:val="39"/>
    <w:unhideWhenUsed/>
    <w:rsid w:val="00184653"/>
    <w:pPr>
      <w:tabs>
        <w:tab w:val="clear" w:pos="4181"/>
        <w:tab w:val="clear" w:pos="4536"/>
        <w:tab w:val="clear" w:pos="9072"/>
        <w:tab w:val="clear" w:pos="9212"/>
      </w:tabs>
      <w:spacing w:before="0" w:after="0"/>
      <w:ind w:left="480"/>
      <w:jc w:val="left"/>
    </w:pPr>
    <w:rPr>
      <w:rFonts w:asciiTheme="minorHAnsi" w:hAnsiTheme="minorHAnsi" w:cstheme="minorHAnsi"/>
      <w:sz w:val="20"/>
      <w:szCs w:val="20"/>
    </w:rPr>
  </w:style>
  <w:style w:type="paragraph" w:styleId="Spistreci5">
    <w:name w:val="toc 5"/>
    <w:basedOn w:val="Normalny"/>
    <w:next w:val="Normalny"/>
    <w:autoRedefine/>
    <w:uiPriority w:val="39"/>
    <w:unhideWhenUsed/>
    <w:rsid w:val="00184653"/>
    <w:pPr>
      <w:tabs>
        <w:tab w:val="clear" w:pos="4181"/>
        <w:tab w:val="clear" w:pos="4536"/>
        <w:tab w:val="clear" w:pos="9072"/>
        <w:tab w:val="clear" w:pos="9212"/>
      </w:tabs>
      <w:spacing w:before="0" w:after="0"/>
      <w:ind w:left="720"/>
      <w:jc w:val="left"/>
    </w:pPr>
    <w:rPr>
      <w:rFonts w:asciiTheme="minorHAnsi" w:hAnsiTheme="minorHAnsi" w:cstheme="minorHAnsi"/>
      <w:sz w:val="20"/>
      <w:szCs w:val="20"/>
    </w:rPr>
  </w:style>
  <w:style w:type="paragraph" w:styleId="Spistreci6">
    <w:name w:val="toc 6"/>
    <w:basedOn w:val="Normalny"/>
    <w:next w:val="Normalny"/>
    <w:autoRedefine/>
    <w:uiPriority w:val="39"/>
    <w:unhideWhenUsed/>
    <w:rsid w:val="00184653"/>
    <w:pPr>
      <w:tabs>
        <w:tab w:val="clear" w:pos="4181"/>
        <w:tab w:val="clear" w:pos="4536"/>
        <w:tab w:val="clear" w:pos="9072"/>
        <w:tab w:val="clear" w:pos="9212"/>
      </w:tabs>
      <w:spacing w:before="0" w:after="0"/>
      <w:ind w:left="960"/>
      <w:jc w:val="left"/>
    </w:pPr>
    <w:rPr>
      <w:rFonts w:asciiTheme="minorHAnsi" w:hAnsiTheme="minorHAnsi" w:cstheme="minorHAnsi"/>
      <w:sz w:val="20"/>
      <w:szCs w:val="20"/>
    </w:rPr>
  </w:style>
  <w:style w:type="paragraph" w:styleId="Spistreci7">
    <w:name w:val="toc 7"/>
    <w:basedOn w:val="Normalny"/>
    <w:next w:val="Normalny"/>
    <w:autoRedefine/>
    <w:uiPriority w:val="39"/>
    <w:unhideWhenUsed/>
    <w:rsid w:val="00184653"/>
    <w:pPr>
      <w:tabs>
        <w:tab w:val="clear" w:pos="4181"/>
        <w:tab w:val="clear" w:pos="4536"/>
        <w:tab w:val="clear" w:pos="9072"/>
        <w:tab w:val="clear" w:pos="9212"/>
      </w:tabs>
      <w:spacing w:before="0" w:after="0"/>
      <w:ind w:left="1200"/>
      <w:jc w:val="left"/>
    </w:pPr>
    <w:rPr>
      <w:rFonts w:asciiTheme="minorHAnsi" w:hAnsiTheme="minorHAnsi" w:cstheme="minorHAnsi"/>
      <w:sz w:val="20"/>
      <w:szCs w:val="20"/>
    </w:rPr>
  </w:style>
  <w:style w:type="paragraph" w:styleId="Spistreci8">
    <w:name w:val="toc 8"/>
    <w:basedOn w:val="Normalny"/>
    <w:next w:val="Normalny"/>
    <w:autoRedefine/>
    <w:uiPriority w:val="39"/>
    <w:unhideWhenUsed/>
    <w:rsid w:val="00184653"/>
    <w:pPr>
      <w:tabs>
        <w:tab w:val="clear" w:pos="4181"/>
        <w:tab w:val="clear" w:pos="4536"/>
        <w:tab w:val="clear" w:pos="9072"/>
        <w:tab w:val="clear" w:pos="9212"/>
      </w:tabs>
      <w:spacing w:before="0" w:after="0"/>
      <w:ind w:left="1440"/>
      <w:jc w:val="left"/>
    </w:pPr>
    <w:rPr>
      <w:rFonts w:asciiTheme="minorHAnsi" w:hAnsiTheme="minorHAnsi" w:cstheme="minorHAnsi"/>
      <w:sz w:val="20"/>
      <w:szCs w:val="20"/>
    </w:rPr>
  </w:style>
  <w:style w:type="paragraph" w:styleId="Spistreci9">
    <w:name w:val="toc 9"/>
    <w:basedOn w:val="Normalny"/>
    <w:next w:val="Normalny"/>
    <w:autoRedefine/>
    <w:uiPriority w:val="39"/>
    <w:unhideWhenUsed/>
    <w:rsid w:val="00184653"/>
    <w:pPr>
      <w:tabs>
        <w:tab w:val="clear" w:pos="4181"/>
        <w:tab w:val="clear" w:pos="4536"/>
        <w:tab w:val="clear" w:pos="9072"/>
        <w:tab w:val="clear" w:pos="9212"/>
      </w:tabs>
      <w:spacing w:before="0" w:after="0"/>
      <w:ind w:left="1680"/>
      <w:jc w:val="left"/>
    </w:pPr>
    <w:rPr>
      <w:rFonts w:asciiTheme="minorHAnsi" w:hAnsiTheme="minorHAnsi" w:cstheme="minorHAnsi"/>
      <w:sz w:val="20"/>
      <w:szCs w:val="20"/>
    </w:rPr>
  </w:style>
  <w:style w:type="paragraph" w:styleId="Poprawka">
    <w:name w:val="Revision"/>
    <w:hidden/>
    <w:uiPriority w:val="99"/>
    <w:semiHidden/>
    <w:rsid w:val="007B485B"/>
    <w:pPr>
      <w:spacing w:after="0" w:line="240" w:lineRule="auto"/>
    </w:pPr>
    <w:rPr>
      <w:rFonts w:ascii="Lato" w:eastAsiaTheme="minorEastAsia" w:hAnsi="Lato"/>
      <w:sz w:val="24"/>
      <w:szCs w:val="24"/>
    </w:rPr>
  </w:style>
  <w:style w:type="character" w:customStyle="1" w:styleId="Nierozpoznanawzmianka2">
    <w:name w:val="Nierozpoznana wzmianka2"/>
    <w:basedOn w:val="Domylnaczcionkaakapitu"/>
    <w:uiPriority w:val="99"/>
    <w:semiHidden/>
    <w:unhideWhenUsed/>
    <w:rsid w:val="00E11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00123">
      <w:bodyDiv w:val="1"/>
      <w:marLeft w:val="0"/>
      <w:marRight w:val="0"/>
      <w:marTop w:val="0"/>
      <w:marBottom w:val="0"/>
      <w:divBdr>
        <w:top w:val="none" w:sz="0" w:space="0" w:color="auto"/>
        <w:left w:val="none" w:sz="0" w:space="0" w:color="auto"/>
        <w:bottom w:val="none" w:sz="0" w:space="0" w:color="auto"/>
        <w:right w:val="none" w:sz="0" w:space="0" w:color="auto"/>
      </w:divBdr>
      <w:divsChild>
        <w:div w:id="1429932220">
          <w:marLeft w:val="0"/>
          <w:marRight w:val="0"/>
          <w:marTop w:val="0"/>
          <w:marBottom w:val="0"/>
          <w:divBdr>
            <w:top w:val="none" w:sz="0" w:space="0" w:color="auto"/>
            <w:left w:val="none" w:sz="0" w:space="0" w:color="auto"/>
            <w:bottom w:val="none" w:sz="0" w:space="0" w:color="auto"/>
            <w:right w:val="none" w:sz="0" w:space="0" w:color="auto"/>
          </w:divBdr>
          <w:divsChild>
            <w:div w:id="56250134">
              <w:marLeft w:val="0"/>
              <w:marRight w:val="0"/>
              <w:marTop w:val="0"/>
              <w:marBottom w:val="0"/>
              <w:divBdr>
                <w:top w:val="none" w:sz="0" w:space="0" w:color="auto"/>
                <w:left w:val="none" w:sz="0" w:space="0" w:color="auto"/>
                <w:bottom w:val="none" w:sz="0" w:space="0" w:color="auto"/>
                <w:right w:val="none" w:sz="0" w:space="0" w:color="auto"/>
              </w:divBdr>
              <w:divsChild>
                <w:div w:id="1910722602">
                  <w:marLeft w:val="0"/>
                  <w:marRight w:val="0"/>
                  <w:marTop w:val="0"/>
                  <w:marBottom w:val="0"/>
                  <w:divBdr>
                    <w:top w:val="none" w:sz="0" w:space="0" w:color="auto"/>
                    <w:left w:val="none" w:sz="0" w:space="0" w:color="auto"/>
                    <w:bottom w:val="none" w:sz="0" w:space="0" w:color="auto"/>
                    <w:right w:val="none" w:sz="0" w:space="0" w:color="auto"/>
                  </w:divBdr>
                  <w:divsChild>
                    <w:div w:id="6252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58289">
              <w:marLeft w:val="0"/>
              <w:marRight w:val="0"/>
              <w:marTop w:val="225"/>
              <w:marBottom w:val="0"/>
              <w:divBdr>
                <w:top w:val="none" w:sz="0" w:space="0" w:color="auto"/>
                <w:left w:val="none" w:sz="0" w:space="0" w:color="auto"/>
                <w:bottom w:val="none" w:sz="0" w:space="0" w:color="auto"/>
                <w:right w:val="none" w:sz="0" w:space="0" w:color="auto"/>
              </w:divBdr>
              <w:divsChild>
                <w:div w:id="1073313375">
                  <w:marLeft w:val="0"/>
                  <w:marRight w:val="0"/>
                  <w:marTop w:val="0"/>
                  <w:marBottom w:val="0"/>
                  <w:divBdr>
                    <w:top w:val="none" w:sz="0" w:space="0" w:color="auto"/>
                    <w:left w:val="none" w:sz="0" w:space="0" w:color="auto"/>
                    <w:bottom w:val="none" w:sz="0" w:space="0" w:color="auto"/>
                    <w:right w:val="none" w:sz="0" w:space="0" w:color="auto"/>
                  </w:divBdr>
                  <w:divsChild>
                    <w:div w:id="31433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ligentny-rozwoj.com.pl/index.php/fundusze-europejskie-2021-202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er.gov.pl/strony/o-programie/fundusze-europejskie-dla-rozwoju-spolecznego/zalozenia-nowego-program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opeanwomenonboards.eu/wp-content/uploads/2022/01/Poland-Country-report-2021-GDI.pdf" TargetMode="External"/><Relationship Id="rId2" Type="http://schemas.openxmlformats.org/officeDocument/2006/relationships/hyperlink" Target="https://stat.gov.pl/obszary-tematyczne/rynek-pracy/pracujacy-zatrudnieni-wynagrodzenia-koszty-pracy/struktura-wynagrodzen-wedlug-zawodow-w-pazdzierniku-2020-roku,4,10.html" TargetMode="External"/><Relationship Id="rId1" Type="http://schemas.openxmlformats.org/officeDocument/2006/relationships/hyperlink" Target="https://ec.europa.eu/eurostat/statistics-explained/index.php?title=Gender_pay_gap_statistics" TargetMode="External"/><Relationship Id="rId6" Type="http://schemas.openxmlformats.org/officeDocument/2006/relationships/hyperlink" Target="http://niepelnosprawni.hostlab.pl/container/zespol-ds.-konwencji/zarzadzenia/zarzadzenie-nr-23-MRPiPS-z-dnia-11-sierpnia-2020r.-1600758938.pdf" TargetMode="External"/><Relationship Id="rId5" Type="http://schemas.openxmlformats.org/officeDocument/2006/relationships/hyperlink" Target="https://eige.europa.eu/publications/gender-equality-index-2020-report/progress-gender-equality-most-notable-company-boards" TargetMode="External"/><Relationship Id="rId4" Type="http://schemas.openxmlformats.org/officeDocument/2006/relationships/hyperlink" Target="https://ec.europa.eu/eurostat/web/products-eurostat-news/-/edn-20210305-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Arkusz1!$B$1</c:f>
              <c:strCache>
                <c:ptCount val="1"/>
                <c:pt idx="0">
                  <c:v>Liczba zgłoszeń</c:v>
                </c:pt>
              </c:strCache>
            </c:strRef>
          </c:tx>
          <c:spPr>
            <a:solidFill>
              <a:schemeClr val="dk1">
                <a:tint val="88500"/>
              </a:schemeClr>
            </a:solidFill>
            <a:ln>
              <a:noFill/>
            </a:ln>
            <a:effectLst/>
          </c:spPr>
          <c:invertIfNegative val="0"/>
          <c:cat>
            <c:strRef>
              <c:f>Arkusz1!$A$2:$A$16</c:f>
              <c:strCache>
                <c:ptCount val="15"/>
                <c:pt idx="0">
                  <c:v>Dyskryminacja osób z niepełnosprawnościami</c:v>
                </c:pt>
                <c:pt idx="1">
                  <c:v>Kwestie związane z epidemią COVID-19</c:v>
                </c:pt>
                <c:pt idx="2">
                  <c:v>Nierówne traktowanie przez podmiot gospodarczy</c:v>
                </c:pt>
                <c:pt idx="3">
                  <c:v>Zgłoszenie dotyczące pracy urzedu wojewódzkiego </c:v>
                </c:pt>
                <c:pt idx="4">
                  <c:v>Kwestie związane z luką płacową</c:v>
                </c:pt>
                <c:pt idx="5">
                  <c:v>Kwestie dotyczące kontaktów z dzieckiem</c:v>
                </c:pt>
                <c:pt idx="6">
                  <c:v>Kwestie dotyczące praw kobiet w Polsce</c:v>
                </c:pt>
                <c:pt idx="7">
                  <c:v>Kwestie dotyczące mniejszości narodowych</c:v>
                </c:pt>
                <c:pt idx="8">
                  <c:v>Kwestie zwiąane z Rzecznikiem Praw Obywatelskich</c:v>
                </c:pt>
                <c:pt idx="9">
                  <c:v>Dyskryminacja ze względu na płeć </c:v>
                </c:pt>
                <c:pt idx="10">
                  <c:v>Dyskryminacja ze względu na narodowość</c:v>
                </c:pt>
                <c:pt idx="11">
                  <c:v>Samotne rodzicielstwo</c:v>
                </c:pt>
                <c:pt idx="12">
                  <c:v>Dyskryminacja ze względu na wiek </c:v>
                </c:pt>
                <c:pt idx="13">
                  <c:v>Zapytania dotyczące KPDRT 2022-2030</c:v>
                </c:pt>
                <c:pt idx="14">
                  <c:v>Inne kwestie zgłaszane do Biura</c:v>
                </c:pt>
              </c:strCache>
            </c:strRef>
          </c:cat>
          <c:val>
            <c:numRef>
              <c:f>Arkusz1!$B$2:$B$16</c:f>
              <c:numCache>
                <c:formatCode>General</c:formatCode>
                <c:ptCount val="15"/>
                <c:pt idx="0">
                  <c:v>24</c:v>
                </c:pt>
                <c:pt idx="1">
                  <c:v>13</c:v>
                </c:pt>
                <c:pt idx="2">
                  <c:v>2</c:v>
                </c:pt>
                <c:pt idx="3">
                  <c:v>1</c:v>
                </c:pt>
                <c:pt idx="4">
                  <c:v>3</c:v>
                </c:pt>
                <c:pt idx="5">
                  <c:v>5</c:v>
                </c:pt>
                <c:pt idx="6">
                  <c:v>1</c:v>
                </c:pt>
                <c:pt idx="7">
                  <c:v>3</c:v>
                </c:pt>
                <c:pt idx="8">
                  <c:v>1</c:v>
                </c:pt>
                <c:pt idx="9">
                  <c:v>12</c:v>
                </c:pt>
                <c:pt idx="10">
                  <c:v>9</c:v>
                </c:pt>
                <c:pt idx="11">
                  <c:v>5</c:v>
                </c:pt>
                <c:pt idx="12">
                  <c:v>3</c:v>
                </c:pt>
                <c:pt idx="13">
                  <c:v>3</c:v>
                </c:pt>
                <c:pt idx="14">
                  <c:v>13</c:v>
                </c:pt>
              </c:numCache>
            </c:numRef>
          </c:val>
          <c:extLst>
            <c:ext xmlns:c16="http://schemas.microsoft.com/office/drawing/2014/chart" uri="{C3380CC4-5D6E-409C-BE32-E72D297353CC}">
              <c16:uniqueId val="{00000000-F673-4679-98A0-80D9840B85F5}"/>
            </c:ext>
          </c:extLst>
        </c:ser>
        <c:dLbls>
          <c:showLegendKey val="0"/>
          <c:showVal val="0"/>
          <c:showCatName val="0"/>
          <c:showSerName val="0"/>
          <c:showPercent val="0"/>
          <c:showBubbleSize val="0"/>
        </c:dLbls>
        <c:gapWidth val="182"/>
        <c:axId val="1336431935"/>
        <c:axId val="1817975087"/>
        <c:extLst/>
      </c:barChart>
      <c:catAx>
        <c:axId val="13364319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000" baseline="0">
                <a:solidFill>
                  <a:schemeClr val="tx1">
                    <a:lumMod val="65000"/>
                    <a:lumOff val="35000"/>
                  </a:schemeClr>
                </a:solidFill>
                <a:latin typeface="+mn-lt"/>
                <a:ea typeface="+mn-ea"/>
                <a:cs typeface="+mn-cs"/>
              </a:defRPr>
            </a:pPr>
            <a:endParaRPr lang="pl-PL"/>
          </a:p>
        </c:txPr>
        <c:crossAx val="1817975087"/>
        <c:crosses val="autoZero"/>
        <c:auto val="0"/>
        <c:lblAlgn val="ctr"/>
        <c:lblOffset val="100"/>
        <c:noMultiLvlLbl val="0"/>
      </c:catAx>
      <c:valAx>
        <c:axId val="1817975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36431935"/>
        <c:crossesAt val="1"/>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1"/>
    </mc:Choice>
    <mc:Fallback>
      <c:style val="1"/>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Liczba interwencji</c:v>
                </c:pt>
              </c:strCache>
            </c:strRef>
          </c:tx>
          <c:spPr>
            <a:solidFill>
              <a:schemeClr val="dk1">
                <a:tint val="88500"/>
              </a:schemeClr>
            </a:solidFill>
            <a:ln>
              <a:noFill/>
            </a:ln>
            <a:effectLst/>
          </c:spPr>
          <c:invertIfNegative val="0"/>
          <c:cat>
            <c:strRef>
              <c:f>Arkusz1!$A$2:$A$7</c:f>
              <c:strCache>
                <c:ptCount val="6"/>
                <c:pt idx="0">
                  <c:v>Dyskryminacja Osób z niepełnosprawnościami</c:v>
                </c:pt>
                <c:pt idx="1">
                  <c:v>Dyskryminacja Osób ze względu na płeć</c:v>
                </c:pt>
                <c:pt idx="2">
                  <c:v>Dyskryminacja ze względu na narodowość</c:v>
                </c:pt>
                <c:pt idx="3">
                  <c:v>Dyskryminacja ze względu na wiek</c:v>
                </c:pt>
                <c:pt idx="4">
                  <c:v>Zagadnienia związane z epidemią COVID-19</c:v>
                </c:pt>
                <c:pt idx="5">
                  <c:v>inne</c:v>
                </c:pt>
              </c:strCache>
            </c:strRef>
          </c:cat>
          <c:val>
            <c:numRef>
              <c:f>Arkusz1!$B$2:$B$7</c:f>
              <c:numCache>
                <c:formatCode>General</c:formatCode>
                <c:ptCount val="6"/>
                <c:pt idx="0">
                  <c:v>9</c:v>
                </c:pt>
                <c:pt idx="1">
                  <c:v>5</c:v>
                </c:pt>
                <c:pt idx="2">
                  <c:v>2</c:v>
                </c:pt>
                <c:pt idx="3">
                  <c:v>2</c:v>
                </c:pt>
                <c:pt idx="4">
                  <c:v>1</c:v>
                </c:pt>
                <c:pt idx="5">
                  <c:v>1</c:v>
                </c:pt>
              </c:numCache>
            </c:numRef>
          </c:val>
          <c:extLst>
            <c:ext xmlns:c16="http://schemas.microsoft.com/office/drawing/2014/chart" uri="{C3380CC4-5D6E-409C-BE32-E72D297353CC}">
              <c16:uniqueId val="{00000000-96B2-4418-AC98-2D3F5C368070}"/>
            </c:ext>
          </c:extLst>
        </c:ser>
        <c:dLbls>
          <c:showLegendKey val="0"/>
          <c:showVal val="0"/>
          <c:showCatName val="0"/>
          <c:showSerName val="0"/>
          <c:showPercent val="0"/>
          <c:showBubbleSize val="0"/>
        </c:dLbls>
        <c:gapWidth val="182"/>
        <c:axId val="1895184031"/>
        <c:axId val="130448223"/>
      </c:barChart>
      <c:catAx>
        <c:axId val="18951840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30448223"/>
        <c:crosses val="autoZero"/>
        <c:auto val="1"/>
        <c:lblAlgn val="ctr"/>
        <c:lblOffset val="100"/>
        <c:noMultiLvlLbl val="0"/>
      </c:catAx>
      <c:valAx>
        <c:axId val="13044822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18951840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8FC64-5665-4583-99E6-B49F9AE3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8462</Words>
  <Characters>50778</Characters>
  <Application>Microsoft Office Word</Application>
  <DocSecurity>0</DocSecurity>
  <Lines>423</Lines>
  <Paragraphs>118</Paragraphs>
  <ScaleCrop>false</ScaleCrop>
  <HeadingPairs>
    <vt:vector size="2" baseType="variant">
      <vt:variant>
        <vt:lpstr>Tytuł</vt:lpstr>
      </vt:variant>
      <vt:variant>
        <vt:i4>1</vt:i4>
      </vt:variant>
    </vt:vector>
  </HeadingPairs>
  <TitlesOfParts>
    <vt:vector size="1" baseType="lpstr">
      <vt:lpstr/>
    </vt:vector>
  </TitlesOfParts>
  <Company>MRPiPS</Company>
  <LinksUpToDate>false</LinksUpToDate>
  <CharactersWithSpaces>59122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Zwolińska</dc:creator>
  <cp:keywords/>
  <dc:description/>
  <cp:lastModifiedBy>Sekretariat BRT</cp:lastModifiedBy>
  <cp:revision>2</cp:revision>
  <dcterms:created xsi:type="dcterms:W3CDTF">2023-03-23T10:08:00Z</dcterms:created>
  <dcterms:modified xsi:type="dcterms:W3CDTF">2023-03-23T10:08:00Z</dcterms:modified>
</cp:coreProperties>
</file>