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Pr="00683C29" w:rsidRDefault="00D30CE4" w:rsidP="00EA3171">
      <w:pPr>
        <w:tabs>
          <w:tab w:val="left" w:pos="2534"/>
        </w:tabs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66130" w:rsidRPr="00683C29" w:rsidRDefault="009864F6" w:rsidP="00EA3171">
      <w:pPr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 xml:space="preserve">Warszawa, dnia </w:t>
      </w:r>
      <w:bookmarkStart w:id="1" w:name="ezdDataPodpisu"/>
      <w:r w:rsidRPr="00683C29">
        <w:rPr>
          <w:rFonts w:ascii="Arial" w:hAnsi="Arial" w:cs="Arial"/>
          <w:sz w:val="20"/>
          <w:szCs w:val="20"/>
        </w:rPr>
        <w:t>18 września 2018</w:t>
      </w:r>
      <w:bookmarkEnd w:id="1"/>
      <w:r w:rsidRPr="00683C29">
        <w:rPr>
          <w:rFonts w:ascii="Arial" w:hAnsi="Arial" w:cs="Arial"/>
          <w:sz w:val="20"/>
          <w:szCs w:val="20"/>
        </w:rPr>
        <w:t xml:space="preserve"> r.</w:t>
      </w:r>
    </w:p>
    <w:p w:rsidR="00420AC6" w:rsidRPr="00683C29" w:rsidRDefault="00D30CE4" w:rsidP="00EA3171">
      <w:pPr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Pr="00683C29" w:rsidRDefault="009864F6" w:rsidP="00EA3171">
      <w:pPr>
        <w:tabs>
          <w:tab w:val="left" w:pos="816"/>
        </w:tabs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ab/>
      </w:r>
    </w:p>
    <w:p w:rsidR="009C3076" w:rsidRPr="00683C29" w:rsidRDefault="009864F6" w:rsidP="00EA3171">
      <w:pPr>
        <w:tabs>
          <w:tab w:val="left" w:pos="1848"/>
        </w:tabs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ab/>
      </w:r>
    </w:p>
    <w:p w:rsidR="00683C29" w:rsidRDefault="009864F6" w:rsidP="00EA317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159385</wp:posOffset>
                </wp:positionV>
                <wp:extent cx="1996440" cy="0"/>
                <wp:effectExtent l="0" t="0" r="2286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4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5" type="#_x0000_t32" style="height:0;margin-left:-14.1pt;margin-top:12.55pt;mso-height-percent:0;mso-height-relative:page;mso-width-percent:0;mso-width-relative:page;mso-wrap-distance-bottom:0;mso-wrap-distance-left:9pt;mso-wrap-distance-right:9pt;mso-wrap-distance-top:0;mso-wrap-style:square;position:absolute;visibility:visible;width:157.2pt;z-index:251659264" strokecolor="gray" strokeweight="0.25pt">
                <v:shadow color="#7f7f7f" opacity="0.5" offset="1pt"/>
              </v:shape>
            </w:pict>
          </mc:Fallback>
        </mc:AlternateContent>
      </w:r>
    </w:p>
    <w:p w:rsidR="000F78C0" w:rsidRDefault="00D30CE4" w:rsidP="00EA317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D9741B" w:rsidRPr="00683C29" w:rsidRDefault="009864F6" w:rsidP="00EA3171">
      <w:pPr>
        <w:spacing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 xml:space="preserve"> </w:t>
      </w:r>
      <w:bookmarkStart w:id="2" w:name="ezdSprawaZnak"/>
      <w:r w:rsidRPr="00683C29">
        <w:rPr>
          <w:rFonts w:ascii="Arial" w:hAnsi="Arial" w:cs="Arial"/>
          <w:sz w:val="20"/>
          <w:szCs w:val="20"/>
        </w:rPr>
        <w:t>DMP-II.025.105.2018</w:t>
      </w:r>
      <w:bookmarkEnd w:id="2"/>
      <w:r w:rsidRPr="00683C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IM</w:t>
      </w:r>
    </w:p>
    <w:p w:rsidR="005B492B" w:rsidRPr="00683C29" w:rsidRDefault="00D30CE4" w:rsidP="00EA3171">
      <w:pPr>
        <w:tabs>
          <w:tab w:val="center" w:pos="1980"/>
          <w:tab w:val="left" w:pos="5273"/>
        </w:tabs>
        <w:spacing w:line="260" w:lineRule="atLeast"/>
        <w:outlineLvl w:val="0"/>
        <w:rPr>
          <w:rFonts w:ascii="Arial" w:hAnsi="Arial" w:cs="Arial"/>
          <w:sz w:val="22"/>
          <w:szCs w:val="22"/>
        </w:rPr>
      </w:pPr>
    </w:p>
    <w:p w:rsidR="003F1C67" w:rsidRDefault="00D30CE4" w:rsidP="005547A6">
      <w:pPr>
        <w:spacing w:line="260" w:lineRule="exact"/>
        <w:rPr>
          <w:rFonts w:ascii="Arial" w:hAnsi="Arial" w:cs="Arial"/>
          <w:sz w:val="20"/>
          <w:szCs w:val="20"/>
        </w:rPr>
      </w:pPr>
    </w:p>
    <w:p w:rsidR="001D7C2F" w:rsidRDefault="00D30CE4" w:rsidP="005547A6">
      <w:pPr>
        <w:spacing w:line="260" w:lineRule="exact"/>
        <w:rPr>
          <w:rFonts w:ascii="Arial" w:hAnsi="Arial" w:cs="Arial"/>
          <w:sz w:val="20"/>
          <w:szCs w:val="20"/>
        </w:rPr>
      </w:pPr>
    </w:p>
    <w:p w:rsidR="00242C99" w:rsidRDefault="009864F6" w:rsidP="009C18C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</w:t>
      </w:r>
    </w:p>
    <w:p w:rsidR="00242C99" w:rsidRDefault="009864F6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34 ust. 5 ustawy z dnia 6 marca 2018 r. Prawo Przedsiębiorców (Dz.U. z 2018 r. poz. 646 z późn. zm.) oraz art. 9 ust. 1 ustawy z dnia 26 października 1982 r. o wychowaniu w trzeźwości i przeciwdziałaniu alkoholizmowi (Dz. U. z 2016 r., poz. 487 z późn.zm.), po rozpatrzeniu wniosku o wydanie wyjaśnienia co do zakresu i sposobu zastosowania przepisów, z których wynika obowiązek świadczenia przez przedsiębiorcę daniny publicznej, złożonego w Ministerstwie Przedsiębiorczości i Technologii w dniu 20 sierpnia 2018 r. Nr rej. </w:t>
      </w:r>
      <w:r w:rsidR="00825198">
        <w:rPr>
          <w:rFonts w:ascii="Arial" w:hAnsi="Arial" w:cs="Arial"/>
          <w:sz w:val="20"/>
          <w:szCs w:val="20"/>
        </w:rPr>
        <w:t>XXXXXX</w:t>
      </w:r>
      <w:r>
        <w:rPr>
          <w:rFonts w:ascii="Arial" w:hAnsi="Arial" w:cs="Arial"/>
          <w:sz w:val="20"/>
          <w:szCs w:val="20"/>
        </w:rPr>
        <w:t>, przez przedsiębiorcę:</w:t>
      </w:r>
    </w:p>
    <w:p w:rsidR="00242C99" w:rsidRDefault="00D30CE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825198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XXXXXXXXXXXXXXX</w:t>
      </w:r>
    </w:p>
    <w:p w:rsidR="00242C99" w:rsidRDefault="00825198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XXXXXXXXXXXX</w:t>
      </w:r>
    </w:p>
    <w:p w:rsidR="00242C99" w:rsidRDefault="00825198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 XXXXXXXXXXXX</w:t>
      </w:r>
    </w:p>
    <w:p w:rsidR="006578E3" w:rsidRPr="006578E3" w:rsidRDefault="00D30CE4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42C99" w:rsidRDefault="009864F6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uznaję </w:t>
      </w:r>
      <w:r>
        <w:rPr>
          <w:rFonts w:ascii="Arial" w:hAnsi="Arial" w:cs="Arial"/>
          <w:b/>
          <w:sz w:val="20"/>
          <w:szCs w:val="20"/>
        </w:rPr>
        <w:t>za nieprawidłowe</w:t>
      </w:r>
      <w:r>
        <w:rPr>
          <w:rFonts w:ascii="Arial" w:hAnsi="Arial" w:cs="Arial"/>
          <w:sz w:val="20"/>
          <w:szCs w:val="20"/>
        </w:rPr>
        <w:t xml:space="preserve"> stanowisko przedsiębiorcy zawarte w przedłożonym wniosku.</w:t>
      </w:r>
    </w:p>
    <w:p w:rsidR="00242C99" w:rsidRDefault="00D30CE4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42C99" w:rsidRDefault="009864F6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Uzasadnienie:</w:t>
      </w:r>
    </w:p>
    <w:p w:rsidR="00242C99" w:rsidRDefault="00D30CE4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42C99" w:rsidRDefault="009864F6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20 sierpnia 2018 r. Minister Przedsiębiorczości i Technologii otrzymał wniosek z dnia 16 sierpnia 2018 r. przedsiębiorcy </w:t>
      </w:r>
      <w:r w:rsidR="00825198">
        <w:rPr>
          <w:rFonts w:ascii="Arial" w:hAnsi="Arial" w:cs="Arial"/>
          <w:sz w:val="20"/>
          <w:szCs w:val="20"/>
        </w:rPr>
        <w:t>XXXXXXXXXXXX</w:t>
      </w:r>
      <w:r>
        <w:rPr>
          <w:rFonts w:ascii="Arial" w:hAnsi="Arial" w:cs="Arial"/>
          <w:sz w:val="20"/>
          <w:szCs w:val="20"/>
        </w:rPr>
        <w:t xml:space="preserve"> z siedzibą w </w:t>
      </w:r>
      <w:r w:rsidR="00825198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 xml:space="preserve"> o wydanie interpretacji indywidualnej w trybie art. 34 ustawy z dnia 6 marca 2018 r. Prawo Przedsiębiorców (Dz.U. z 2018 r. poz. 646 z późn. zm.).</w:t>
      </w:r>
    </w:p>
    <w:p w:rsidR="00560C3F" w:rsidRDefault="009864F6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wniosku wynika, że wnioskodawca prowadzi działalność gospodarczą polegającą na zakupie od polskich oraz zagranicznych podmiotów z innych krajów UE produktów spożywczych, w szczególności napojów bezalkoholowych, syropów i soków. Produkty te wnioskodawca sprzedaje innym przedsiębiorcom oraz klientom indywidualnym na terenie Polski. Wnioskodawca nie prowadzi sprzedaży napojów alkoholowych. </w:t>
      </w:r>
    </w:p>
    <w:p w:rsidR="00560C3F" w:rsidRDefault="009864F6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opisu zdarzenia przyszłego wynika, że wnioskodawca planuje rozszerzenie swojej oferty produktów o gorzkie przyprawy o nazwie handlowej „Bob`s Bitters”, używane jako dodatek do potraw i napojów. Przyprawy te zawierają alkohol etylowy i są według wnioskodawcy klasyfikowane w nomenklaturze scalonej UE jako </w:t>
      </w:r>
      <w:r w:rsidRPr="007C2C57">
        <w:rPr>
          <w:rFonts w:ascii="Arial" w:hAnsi="Arial" w:cs="Arial"/>
          <w:i/>
          <w:sz w:val="20"/>
          <w:szCs w:val="20"/>
        </w:rPr>
        <w:t>„gorzkie aromatyczne zaprawy”, „aromatyczne przyprawy” czy „dodatki do potraw i napojów”</w:t>
      </w:r>
      <w:r>
        <w:rPr>
          <w:rFonts w:ascii="Arial" w:hAnsi="Arial" w:cs="Arial"/>
          <w:sz w:val="20"/>
          <w:szCs w:val="20"/>
        </w:rPr>
        <w:t>. Z opisu wnioskodawcy wynika, że towary te produkowane są przez przedsiębiorcę z siedzibą w Wielkiej Brytanii w opakowaniach o pojemności 100 ml. Zawierają różne składniki oraz alkohol etylowy w stężeniu od 32,1% do 41,8%.</w:t>
      </w:r>
    </w:p>
    <w:p w:rsidR="00A42D0D" w:rsidRDefault="00D30CE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558D" w:rsidRPr="00A42D0D" w:rsidRDefault="009864F6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2D0D">
        <w:rPr>
          <w:rFonts w:ascii="Arial" w:hAnsi="Arial" w:cs="Arial"/>
          <w:b/>
          <w:sz w:val="20"/>
          <w:szCs w:val="20"/>
        </w:rPr>
        <w:t>Stanowisko wnioskodawcy:</w:t>
      </w:r>
    </w:p>
    <w:p w:rsidR="00560C3F" w:rsidRDefault="009864F6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przedstawionym stanowisku wnioskodawca stwierdza, że planowana przez niego sprzedaż ww. produktów nie stanowi sprzedaży wymagającej zezwolenia w świetle ustawy o wychowaniu w trzeźwości i przeciwdziałaniu alkoholizmowi.</w:t>
      </w:r>
    </w:p>
    <w:p w:rsidR="00E24D7F" w:rsidRPr="00E24D7F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Wnioskodawca na ile to było możliwe próbował samodzielnie zapoznać się z tematem i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zakresem przedmiotowym zezwoleń jak i definicją napojów alkoholowych. Zgodnie z art. 46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ustawy napoje alkoholowe to napoje przeznaczone do spożycia zawierające alkohol etylowy.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W orzecznic</w:t>
      </w:r>
      <w:r>
        <w:rPr>
          <w:rFonts w:ascii="Arial" w:hAnsi="Arial" w:cs="Arial"/>
          <w:sz w:val="20"/>
          <w:szCs w:val="20"/>
        </w:rPr>
        <w:t>twie podkreśla się przy tym, iż </w:t>
      </w:r>
      <w:r w:rsidRPr="00E24D7F">
        <w:rPr>
          <w:rFonts w:ascii="Arial" w:hAnsi="Arial" w:cs="Arial"/>
          <w:sz w:val="20"/>
          <w:szCs w:val="20"/>
        </w:rPr>
        <w:t>dla uznania wyrobu za napój alkoholowy ważne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są: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zawartość alkoholu oraz</w:t>
      </w:r>
      <w:r>
        <w:rPr>
          <w:rFonts w:ascii="Arial" w:hAnsi="Arial" w:cs="Arial"/>
          <w:sz w:val="20"/>
          <w:szCs w:val="20"/>
        </w:rPr>
        <w:t xml:space="preserve"> jego specyfika w związku z </w:t>
      </w:r>
      <w:r w:rsidRPr="00E24D7F">
        <w:rPr>
          <w:rFonts w:ascii="Arial" w:hAnsi="Arial" w:cs="Arial"/>
          <w:sz w:val="20"/>
          <w:szCs w:val="20"/>
        </w:rPr>
        <w:t>elementem definicji odnoszącym się do ich przeznaczenia do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spożycia.</w:t>
      </w:r>
    </w:p>
    <w:p w:rsidR="00E24D7F" w:rsidRPr="00E24D7F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W oparciu o powyższe wnioskodawca uznał, iż do prowadzenia przez niego działalności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gospodarczej, opisanej we wniosku, nie jest niezbędne uzyskanie zezwolenia na obrót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napojami alkoholowymi, albowiem - po pierwsze, z klasyfikacji wynika, że nie są one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napojami alkoholowymi, a po drugie powołując się na przepis art. 46 ust. 1 ustawy o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wychowaniu w trzeźwości i przeciwdziałaniu alkoholizmowi, zawierający definicję napoju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alkoholowego, w rozumieniu tej ustawy - uznał, że biorąc pod uwagę przeznaczenie i</w:t>
      </w:r>
      <w:r>
        <w:rPr>
          <w:rFonts w:ascii="Arial" w:hAnsi="Arial" w:cs="Arial"/>
          <w:sz w:val="20"/>
          <w:szCs w:val="20"/>
        </w:rPr>
        <w:t> </w:t>
      </w:r>
      <w:r w:rsidRPr="00E24D7F">
        <w:rPr>
          <w:rFonts w:ascii="Arial" w:hAnsi="Arial" w:cs="Arial"/>
          <w:sz w:val="20"/>
          <w:szCs w:val="20"/>
        </w:rPr>
        <w:t>specyfikę produktów, które zamierza sprzedawać, nie spełniają one kryterium uznania ich za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napoje alkoholowe, w rozumieniu cyt</w:t>
      </w:r>
      <w:r>
        <w:rPr>
          <w:rFonts w:ascii="Arial" w:hAnsi="Arial" w:cs="Arial"/>
          <w:sz w:val="20"/>
          <w:szCs w:val="20"/>
        </w:rPr>
        <w:t>owanej</w:t>
      </w:r>
      <w:r w:rsidRPr="00E24D7F">
        <w:rPr>
          <w:rFonts w:ascii="Arial" w:hAnsi="Arial" w:cs="Arial"/>
          <w:sz w:val="20"/>
          <w:szCs w:val="20"/>
        </w:rPr>
        <w:t xml:space="preserve"> ustawy. Zdaniem</w:t>
      </w:r>
      <w:r>
        <w:rPr>
          <w:rFonts w:ascii="Arial" w:hAnsi="Arial" w:cs="Arial"/>
          <w:sz w:val="20"/>
          <w:szCs w:val="20"/>
        </w:rPr>
        <w:t xml:space="preserve"> wnioskodawcy powyższe wynika </w:t>
      </w:r>
      <w:r w:rsidRPr="00E24D7F">
        <w:rPr>
          <w:rFonts w:ascii="Arial" w:hAnsi="Arial" w:cs="Arial"/>
          <w:sz w:val="20"/>
          <w:szCs w:val="20"/>
        </w:rPr>
        <w:t>z opisu produktu, jego specyfiki i przeznaczenia, które sprawiają iż dla klasyfikacji tych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duktów nieistotne jest to, że w </w:t>
      </w:r>
      <w:r w:rsidRPr="00E24D7F">
        <w:rPr>
          <w:rFonts w:ascii="Arial" w:hAnsi="Arial" w:cs="Arial"/>
          <w:sz w:val="20"/>
          <w:szCs w:val="20"/>
        </w:rPr>
        <w:t>składzie zawierają alkohol etylowy (na znaczenie nie tylko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stężenia zawartości alkoholu ale też przeznaczenia produktu przy ocenie czy produkt mieści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się w definicji napoju alkoholowego wskazuje się m.in. w orzeczeniu VI SA/Wa 2842/13 -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Wyrok Wojewódzkiego Sądu Administracyjnego w Warszawie LEX nr 2148893).</w:t>
      </w:r>
    </w:p>
    <w:p w:rsidR="00E24D7F" w:rsidRPr="00E24D7F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Produkty ww. nie stanowią napojów alkoholowych w rozumieniu ustawy albowiem nie są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przeznaczone do samodzielnego bezpośredniego spożycia. Są one bowiem zbliżone ze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względu na swoją specyfikę do aromatów inaczej zwanych środkami aromatyzującymi (ang.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flavourings) do których zalicza się różne substancje nieprzeznaczone do bezpośredniego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spożycia, o konsystencji płynnej lub sypkiej, służące nadaniu produktom spożywczym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określonego smaku lub zapachu; pośród nich można znaleźć zarówno olejki eteryczne, jak i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mieszaniny substancji zapachowych, esencje owocowe i ekstrakty roślinne.</w:t>
      </w:r>
    </w:p>
    <w:p w:rsidR="00560C3F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Rozróżnienie „bitters" od napojów alkoholowych dobrze oddaje treść Not wyjaśniających do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Nomenklatury scalonej UE zgodnie z którymi „bitters" należą do kategorii 21039030:</w:t>
      </w:r>
      <w:r>
        <w:rPr>
          <w:rFonts w:ascii="Arial" w:hAnsi="Arial" w:cs="Arial"/>
          <w:sz w:val="20"/>
          <w:szCs w:val="20"/>
        </w:rPr>
        <w:t xml:space="preserve"> Gorzkie aromatyczne zaprawy o </w:t>
      </w:r>
      <w:r w:rsidRPr="00E24D7F">
        <w:rPr>
          <w:rFonts w:ascii="Arial" w:hAnsi="Arial" w:cs="Arial"/>
          <w:sz w:val="20"/>
          <w:szCs w:val="20"/>
        </w:rPr>
        <w:t>objętościowej mocy alkoholu od 44,2 % do 49,2 % obj.,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zawierające od 1,5 % do 6 % masy goryczki, przypraw i różnych składników oraz od 4 % do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10 % masy cukru, w pojemnikach o objętości 0,5 litra lub mniejszej. W objaśnieniach do tejże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kategorii 21039030 czytamy: wyrobami wymienionymi w tej podpozycji są skoncentrowane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ciekłe preparaty alkoholowe wywodzące swoje szczególne właściwości smakowo-zapachowe,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zarówno gorzki smak jak i silnie aromatyczny zapach, z korzeni goryczki, stosowanych do ich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produkcji, w połączeniu z różnymi przyprawami i substancjami aromatyzującymi. Te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skoncentrowane gorzkie aromatyczne zaprawy stanowią dodatki przeznaczone do stosowania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zarówno jako substancje poprawiające wrażenia smakowe i zapachowe w napojach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(koktajlach, syropach, napojach bezalkoholowy itp.), jak i jako przyprawy do wykorzystania w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ten sam sposób, jak sosy i mieszane przyprawy do gotowanej żywności lub ciast (zupy,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przetwory mięsne, dania rybne lub warzywne, sosy, produkty delikatesowe, kompoty owocowe</w:t>
      </w:r>
      <w:r>
        <w:rPr>
          <w:rFonts w:ascii="Arial" w:hAnsi="Arial" w:cs="Arial"/>
          <w:sz w:val="20"/>
          <w:szCs w:val="20"/>
        </w:rPr>
        <w:t xml:space="preserve"> i sał</w:t>
      </w:r>
      <w:r w:rsidRPr="00E24D7F">
        <w:rPr>
          <w:rFonts w:ascii="Arial" w:hAnsi="Arial" w:cs="Arial"/>
          <w:sz w:val="20"/>
          <w:szCs w:val="20"/>
        </w:rPr>
        <w:t>atki owocowe, tarty owocowe, desery, sorbety itd).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484C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W ocenie wnioskodawcy na wymóg uzyskania zezwolenia należy patrzeć przez pryzmat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celów ustawy. Celem jaki przyświecał prawodawcy przy tworzeniu przepisów ustawy o</w:t>
      </w:r>
      <w:r>
        <w:rPr>
          <w:rFonts w:ascii="Arial" w:hAnsi="Arial" w:cs="Arial"/>
          <w:sz w:val="20"/>
          <w:szCs w:val="20"/>
        </w:rPr>
        <w:t xml:space="preserve"> wychowaniu w trzeźwości i </w:t>
      </w:r>
      <w:r w:rsidRPr="00E24D7F">
        <w:rPr>
          <w:rFonts w:ascii="Arial" w:hAnsi="Arial" w:cs="Arial"/>
          <w:sz w:val="20"/>
          <w:szCs w:val="20"/>
        </w:rPr>
        <w:t>przeciwdziałaniu alkoholizmowi było ograniczenie dostępności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 xml:space="preserve">napojów alkoholowych dla społeczeństwa, </w:t>
      </w:r>
      <w:r w:rsidRPr="00E24D7F">
        <w:rPr>
          <w:rFonts w:ascii="Arial" w:hAnsi="Arial" w:cs="Arial"/>
          <w:sz w:val="20"/>
          <w:szCs w:val="20"/>
        </w:rPr>
        <w:lastRenderedPageBreak/>
        <w:t>przede wszystkim dla osób nieletnich i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nadużywających alkoholu, zapobieganie chorobom alkoholowym oraz walka z nimi, a także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kontrola sprzedaży alkoholu (por. Skrzydło-Niżnik Iwona, Zalas Grażyna, Ustawa o</w:t>
      </w:r>
      <w:r>
        <w:rPr>
          <w:rFonts w:ascii="Arial" w:hAnsi="Arial" w:cs="Arial"/>
          <w:sz w:val="20"/>
          <w:szCs w:val="20"/>
        </w:rPr>
        <w:t> </w:t>
      </w:r>
      <w:r w:rsidRPr="00E24D7F">
        <w:rPr>
          <w:rFonts w:ascii="Arial" w:hAnsi="Arial" w:cs="Arial"/>
          <w:sz w:val="20"/>
          <w:szCs w:val="20"/>
        </w:rPr>
        <w:t>wychowaniu w trzeźwości i przeciwdziałaniu alkoholizmowi. Komentarz). W świetle wykładni</w:t>
      </w:r>
      <w:r>
        <w:rPr>
          <w:rFonts w:ascii="Arial" w:hAnsi="Arial" w:cs="Arial"/>
          <w:sz w:val="20"/>
          <w:szCs w:val="20"/>
        </w:rPr>
        <w:t xml:space="preserve"> celowościowej i </w:t>
      </w:r>
      <w:r w:rsidRPr="00E24D7F">
        <w:rPr>
          <w:rFonts w:ascii="Arial" w:hAnsi="Arial" w:cs="Arial"/>
          <w:sz w:val="20"/>
          <w:szCs w:val="20"/>
        </w:rPr>
        <w:t>przyjmując racjonalność ustawodawcy nie sposób przyjąć, iż celem regulacji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było ograniczenie zezwoleniem sprzedaży produktów, które wprawdzie zawierają alkohol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etylowy ale nie są ze względu na swoje przeznaczenie napojami do spożycia a jedynie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aromatami czy przyprawami wykorzystywanymi do innych potraw i napojów.</w:t>
      </w:r>
    </w:p>
    <w:p w:rsidR="00E24D7F" w:rsidRPr="00E24D7F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Trudno bowiem przyjąć, iż ustawodawcy chodziło o objęcie definicją napojów alkoholowych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przeznaczonych do spożycia wszystkie środki stosowane jako przyprawy czy aromaty przy</w:t>
      </w:r>
      <w:r>
        <w:rPr>
          <w:rFonts w:ascii="Arial" w:hAnsi="Arial" w:cs="Arial"/>
          <w:sz w:val="20"/>
          <w:szCs w:val="20"/>
        </w:rPr>
        <w:t xml:space="preserve"> przygotowywaniu potraw i </w:t>
      </w:r>
      <w:r w:rsidRPr="00E24D7F">
        <w:rPr>
          <w:rFonts w:ascii="Arial" w:hAnsi="Arial" w:cs="Arial"/>
          <w:sz w:val="20"/>
          <w:szCs w:val="20"/>
        </w:rPr>
        <w:t>napojów. Przemysł cukierniczy od wielu lat stosuje dodatki na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bazie alkoholu etylowego lub aromaty na bazie alkoholu, które nie wzbudzają kontrowersji.</w:t>
      </w:r>
    </w:p>
    <w:p w:rsidR="00F4558D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Wspomniane dodatki mają na celu przede wszystkim nadanie produktowi określonego smaku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oraz aromatu, a ich ilości w produkcie końcowym są niewielkie. I tak przykładowo można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 xml:space="preserve">wskazać dostępny wedle wiedzy wnioskodawcy w sprzedaży bez zezwolenia </w:t>
      </w:r>
      <w:r>
        <w:rPr>
          <w:rFonts w:ascii="Arial" w:hAnsi="Arial" w:cs="Arial"/>
          <w:sz w:val="20"/>
          <w:szCs w:val="20"/>
        </w:rPr>
        <w:t>–</w:t>
      </w:r>
      <w:r w:rsidRPr="00E24D7F">
        <w:rPr>
          <w:rFonts w:ascii="Arial" w:hAnsi="Arial" w:cs="Arial"/>
          <w:sz w:val="20"/>
          <w:szCs w:val="20"/>
        </w:rPr>
        <w:t xml:space="preserve"> Ekstrakt</w:t>
      </w:r>
      <w:r>
        <w:rPr>
          <w:rFonts w:ascii="Arial" w:hAnsi="Arial" w:cs="Arial"/>
          <w:sz w:val="20"/>
          <w:szCs w:val="20"/>
        </w:rPr>
        <w:t xml:space="preserve"> różany — Nielsen-Massey (</w:t>
      </w:r>
      <w:r w:rsidRPr="00E24D7F">
        <w:rPr>
          <w:rFonts w:ascii="Arial" w:hAnsi="Arial" w:cs="Arial"/>
          <w:sz w:val="20"/>
          <w:szCs w:val="20"/>
        </w:rPr>
        <w:t>Skład: glikol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propylenowy, alkohol (40%), olej z róży (1,5%), aromat naturalny</w:t>
      </w:r>
      <w:r>
        <w:rPr>
          <w:rFonts w:ascii="Arial" w:hAnsi="Arial" w:cs="Arial"/>
          <w:sz w:val="20"/>
          <w:szCs w:val="20"/>
        </w:rPr>
        <w:t>)</w:t>
      </w:r>
      <w:r w:rsidRPr="00E24D7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24D7F" w:rsidRPr="00E24D7F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Producent dodatkowo przez sam projekt opakowania pokazuje, że produkt nie jest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przeznaczony do bezpośredniego spożycia — każda butelka wyposażona jest w specjalistyczną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pipetę, mającą na celu umożliwienie precyzyjnego dozowania kropel produktu jako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przyprawy do potraw i napojów</w:t>
      </w:r>
      <w:r>
        <w:rPr>
          <w:rFonts w:ascii="Arial" w:hAnsi="Arial" w:cs="Arial"/>
          <w:sz w:val="20"/>
          <w:szCs w:val="20"/>
        </w:rPr>
        <w:t>.</w:t>
      </w:r>
    </w:p>
    <w:p w:rsidR="00242C99" w:rsidRDefault="009864F6" w:rsidP="00E2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D7F">
        <w:rPr>
          <w:rFonts w:ascii="Arial" w:hAnsi="Arial" w:cs="Arial"/>
          <w:sz w:val="20"/>
          <w:szCs w:val="20"/>
        </w:rPr>
        <w:t>Podkreślić również można, iż cena butelki przyprawy „bitters" oscyluje zwykle w zależności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od produktu w granicach 40-80</w:t>
      </w:r>
      <w:r>
        <w:rPr>
          <w:rFonts w:ascii="Arial" w:hAnsi="Arial" w:cs="Arial"/>
          <w:sz w:val="20"/>
          <w:szCs w:val="20"/>
        </w:rPr>
        <w:t xml:space="preserve"> zł</w:t>
      </w:r>
      <w:r w:rsidRPr="00E24D7F">
        <w:rPr>
          <w:rFonts w:ascii="Arial" w:hAnsi="Arial" w:cs="Arial"/>
          <w:sz w:val="20"/>
          <w:szCs w:val="20"/>
        </w:rPr>
        <w:t xml:space="preserve"> za 100 ml, co sprawia iż również z „finansowego" punktu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widzenia produkt ten nie jest typowym produktem alkoholowym o problemy z którego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dostępnością czy nadużywaniem chodziło ustawodawcy. Sugerowana przez producenta cena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produktów „</w:t>
      </w:r>
      <w:r w:rsidR="000443CD">
        <w:rPr>
          <w:rFonts w:ascii="Arial" w:hAnsi="Arial" w:cs="Arial"/>
          <w:sz w:val="20"/>
          <w:szCs w:val="20"/>
        </w:rPr>
        <w:t>XXXXXXXX</w:t>
      </w:r>
      <w:r w:rsidRPr="00E24D7F">
        <w:rPr>
          <w:rFonts w:ascii="Arial" w:hAnsi="Arial" w:cs="Arial"/>
          <w:sz w:val="20"/>
          <w:szCs w:val="20"/>
        </w:rPr>
        <w:t>", które wnioskodawca zamierza importować, wynosi od 60 do 80 zł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za butelkę 100</w:t>
      </w:r>
      <w:r>
        <w:rPr>
          <w:rFonts w:ascii="Arial" w:hAnsi="Arial" w:cs="Arial"/>
          <w:sz w:val="20"/>
          <w:szCs w:val="20"/>
        </w:rPr>
        <w:t xml:space="preserve"> </w:t>
      </w:r>
      <w:r w:rsidRPr="00E24D7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l</w:t>
      </w:r>
      <w:r w:rsidRPr="00E24D7F">
        <w:rPr>
          <w:rFonts w:ascii="Arial" w:hAnsi="Arial" w:cs="Arial"/>
          <w:sz w:val="20"/>
          <w:szCs w:val="20"/>
        </w:rPr>
        <w:t>, tj. od 600 do 800 zł za litr.</w:t>
      </w:r>
    </w:p>
    <w:p w:rsidR="00F4558D" w:rsidRPr="00F4558D" w:rsidRDefault="009864F6" w:rsidP="00F455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58D">
        <w:rPr>
          <w:rFonts w:ascii="Arial" w:hAnsi="Arial" w:cs="Arial"/>
          <w:sz w:val="20"/>
          <w:szCs w:val="20"/>
        </w:rPr>
        <w:t>W literaturze znaleźć można przykłady również innych produktów zawierających alkohol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etylowy które są na pograniczu napojów alkoholowych, ich styku z takimi produktami, jak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np. produkty lecznicze, a napojami alkoholowymi nie są ze względu na swoją specyfikę.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Można tu wskazać produkty stanowiące wyciągi alkoholowe z ziół, mieszanek ziół albo np.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kitu pszczelego (propolisu), w któr</w:t>
      </w:r>
      <w:r>
        <w:rPr>
          <w:rFonts w:ascii="Arial" w:hAnsi="Arial" w:cs="Arial"/>
          <w:sz w:val="20"/>
          <w:szCs w:val="20"/>
        </w:rPr>
        <w:t>ych alkohol etylowy (niekiedy w </w:t>
      </w:r>
      <w:r w:rsidRPr="00F4558D">
        <w:rPr>
          <w:rFonts w:ascii="Arial" w:hAnsi="Arial" w:cs="Arial"/>
          <w:sz w:val="20"/>
          <w:szCs w:val="20"/>
        </w:rPr>
        <w:t>bardzo wysokim stężeniu,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rzędu 60%) stanowi jedynie substancję pomocniczą - rozpuszcza składniki zawierające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substancje czynne, a także oddziałuje na nie konserwująco i zapewnia tym samym większą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558D" w:rsidRDefault="009864F6" w:rsidP="00F455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58D">
        <w:rPr>
          <w:rFonts w:ascii="Arial" w:hAnsi="Arial" w:cs="Arial"/>
          <w:sz w:val="20"/>
          <w:szCs w:val="20"/>
        </w:rPr>
        <w:t>trwałość produktu. Pomimo że dostępne w obrocie w postaci płynów co czyni je podobnymi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do napojów alkoholowych, produkty te stanowią skoncentrowaną postać i jako takie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przeznaczone są do sp</w:t>
      </w:r>
      <w:r>
        <w:rPr>
          <w:rFonts w:ascii="Arial" w:hAnsi="Arial" w:cs="Arial"/>
          <w:sz w:val="20"/>
          <w:szCs w:val="20"/>
        </w:rPr>
        <w:t>ożywania w </w:t>
      </w:r>
      <w:r w:rsidRPr="00F4558D">
        <w:rPr>
          <w:rFonts w:ascii="Arial" w:hAnsi="Arial" w:cs="Arial"/>
          <w:sz w:val="20"/>
          <w:szCs w:val="20"/>
        </w:rPr>
        <w:t>dawkach leczniczych (w tym celu mogą być rozrabiane z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innymi płynami, np. wodą), nie natomiast po prostu wypijane. Niektóre z takich wyciągów są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również wprowadzane do obrotu jako suplementy diety (por. Ożóg Marcin, System handlu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produktem leczniczym i produktami pokrewnymi. Problematyka prawna Publishing, house:</w:t>
      </w:r>
      <w:r>
        <w:rPr>
          <w:rFonts w:ascii="Arial" w:hAnsi="Arial" w:cs="Arial"/>
          <w:sz w:val="20"/>
          <w:szCs w:val="20"/>
        </w:rPr>
        <w:t xml:space="preserve"> </w:t>
      </w:r>
      <w:r w:rsidRPr="00F4558D">
        <w:rPr>
          <w:rFonts w:ascii="Arial" w:hAnsi="Arial" w:cs="Arial"/>
          <w:sz w:val="20"/>
          <w:szCs w:val="20"/>
        </w:rPr>
        <w:t>LexisNexis 2009).</w:t>
      </w:r>
    </w:p>
    <w:p w:rsidR="00E24D7F" w:rsidRDefault="00D30CE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9864F6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treść wniosku oraz obowiązujące przepisy stwierdzam, że stanowisko wyrażone przez przedsiębiorcę we wniosku o wydanie interpretacji w sprawie zakresu i sposobu zastosowania przepisów ustawy z dnia 26 października 1982 r. o wychowaniu w trzeźwości i przeciwdziałaniu alkoholizmowi, zwanej dalej ustawą o wychowaniu w trzeźwości (Dz. U. z 2016 r., poz. 487 z późn.zm.) uznać należy za </w:t>
      </w:r>
      <w:r w:rsidRPr="00B15846">
        <w:rPr>
          <w:rFonts w:ascii="Arial" w:hAnsi="Arial" w:cs="Arial"/>
          <w:b/>
          <w:sz w:val="20"/>
          <w:szCs w:val="20"/>
        </w:rPr>
        <w:t>nieprawidłowe</w:t>
      </w:r>
      <w:r>
        <w:rPr>
          <w:rFonts w:ascii="Arial" w:hAnsi="Arial" w:cs="Arial"/>
          <w:b/>
          <w:sz w:val="20"/>
          <w:szCs w:val="20"/>
        </w:rPr>
        <w:t>.</w:t>
      </w:r>
    </w:p>
    <w:p w:rsidR="00242C99" w:rsidRDefault="00D30CE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9864F6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Obrót hurtowy w kraju napojami alkoholowymi o zawartości powyżej 18% alkoholu może być prowadzony tylko na podstawie zezwolenia wydanego przez ministra właściwego do spraw gospodarki (art.9, ust. 1 ustawy o wychowaniu w trzeźwości). </w:t>
      </w:r>
    </w:p>
    <w:p w:rsidR="007761D8" w:rsidRDefault="009864F6" w:rsidP="00065D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46 ust. 1 </w:t>
      </w:r>
      <w:r w:rsidRPr="00065D18">
        <w:rPr>
          <w:rFonts w:ascii="Arial" w:hAnsi="Arial" w:cs="Arial"/>
          <w:sz w:val="20"/>
          <w:szCs w:val="20"/>
        </w:rPr>
        <w:t>ustawy o wychowaniu w trzeźwości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>napojem alkoholowym jest produkt przeznaczony do spożycia zawierający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>alkohol etylowy pochodzenia rolniczego w stężeniu przekraczającym 0,5%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 xml:space="preserve">jętościowych alkoholu. Zgodnie z powyższym </w:t>
      </w:r>
      <w:r w:rsidRPr="00065D18">
        <w:rPr>
          <w:rFonts w:ascii="Arial" w:hAnsi="Arial" w:cs="Arial"/>
          <w:sz w:val="20"/>
          <w:szCs w:val="20"/>
        </w:rPr>
        <w:t>produkt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>opisywany przez wnioskodawcę wpisuje się w</w:t>
      </w:r>
      <w:r>
        <w:rPr>
          <w:rFonts w:ascii="Arial" w:hAnsi="Arial" w:cs="Arial"/>
          <w:sz w:val="20"/>
          <w:szCs w:val="20"/>
        </w:rPr>
        <w:t> </w:t>
      </w:r>
      <w:r w:rsidRPr="00065D18">
        <w:rPr>
          <w:rFonts w:ascii="Arial" w:hAnsi="Arial" w:cs="Arial"/>
          <w:sz w:val="20"/>
          <w:szCs w:val="20"/>
        </w:rPr>
        <w:t>definicje napoju alkoholowego</w:t>
      </w:r>
      <w:r>
        <w:rPr>
          <w:rFonts w:ascii="Arial" w:hAnsi="Arial" w:cs="Arial"/>
          <w:sz w:val="20"/>
          <w:szCs w:val="20"/>
        </w:rPr>
        <w:t>, określoną w ustawie o wychowaniu w trzeźwości</w:t>
      </w:r>
      <w:r w:rsidRPr="00065D18">
        <w:rPr>
          <w:rFonts w:ascii="Arial" w:hAnsi="Arial" w:cs="Arial"/>
          <w:sz w:val="20"/>
          <w:szCs w:val="20"/>
        </w:rPr>
        <w:t>.</w:t>
      </w:r>
    </w:p>
    <w:p w:rsidR="00B15846" w:rsidRDefault="009864F6" w:rsidP="00065D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65D18">
        <w:rPr>
          <w:rFonts w:ascii="Arial" w:hAnsi="Arial" w:cs="Arial"/>
          <w:sz w:val="20"/>
          <w:szCs w:val="20"/>
        </w:rPr>
        <w:t>odana przez wnioskodawcę klasyfikacja nie odnosi się do wymienionych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 xml:space="preserve">przez niego produktów, gdyż objętość alkoholu </w:t>
      </w:r>
      <w:r>
        <w:rPr>
          <w:rFonts w:ascii="Arial" w:hAnsi="Arial" w:cs="Arial"/>
          <w:sz w:val="20"/>
          <w:szCs w:val="20"/>
        </w:rPr>
        <w:t xml:space="preserve">w tych produktach </w:t>
      </w:r>
      <w:r w:rsidRPr="00065D18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niższa</w:t>
      </w:r>
      <w:r w:rsidRPr="00065D18">
        <w:rPr>
          <w:rFonts w:ascii="Arial" w:hAnsi="Arial" w:cs="Arial"/>
          <w:sz w:val="20"/>
          <w:szCs w:val="20"/>
        </w:rPr>
        <w:t xml:space="preserve"> niż 44,2%. Zgodnie zaś z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 xml:space="preserve">klasyfikacją nomenklatury scalonej, w kategorii 21039030 sklasyfikowano </w:t>
      </w:r>
      <w:r w:rsidRPr="003D673B">
        <w:rPr>
          <w:rFonts w:ascii="Arial" w:hAnsi="Arial" w:cs="Arial"/>
          <w:i/>
          <w:sz w:val="20"/>
          <w:szCs w:val="20"/>
        </w:rPr>
        <w:t>Gorzkie aromatyczne zaprawy o objętościowej mocy alkoholu od 44,2 do 49,2 % obj., zawierające od 1,5 do 6 % masy goryczki, przypraw i różnych składników oraz od 4 do 10 % masy cukru, w pojemnikach o objętości 0,5 litra lub mniejszej.</w:t>
      </w:r>
    </w:p>
    <w:p w:rsidR="00065D18" w:rsidRPr="00065D18" w:rsidRDefault="009864F6" w:rsidP="00065D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5D18">
        <w:rPr>
          <w:rFonts w:ascii="Arial" w:hAnsi="Arial" w:cs="Arial"/>
          <w:sz w:val="20"/>
          <w:szCs w:val="20"/>
        </w:rPr>
        <w:t xml:space="preserve">W analizowanej </w:t>
      </w:r>
      <w:r>
        <w:rPr>
          <w:rFonts w:ascii="Arial" w:hAnsi="Arial" w:cs="Arial"/>
          <w:sz w:val="20"/>
          <w:szCs w:val="20"/>
        </w:rPr>
        <w:t>sprawie</w:t>
      </w:r>
      <w:r w:rsidRPr="00065D18">
        <w:rPr>
          <w:rFonts w:ascii="Arial" w:hAnsi="Arial" w:cs="Arial"/>
          <w:sz w:val="20"/>
          <w:szCs w:val="20"/>
        </w:rPr>
        <w:t xml:space="preserve"> istotne </w:t>
      </w:r>
      <w:r>
        <w:rPr>
          <w:rFonts w:ascii="Arial" w:hAnsi="Arial" w:cs="Arial"/>
          <w:sz w:val="20"/>
          <w:szCs w:val="20"/>
        </w:rPr>
        <w:t>znaczenie mają</w:t>
      </w:r>
      <w:r w:rsidRPr="00065D18">
        <w:rPr>
          <w:rFonts w:ascii="Arial" w:hAnsi="Arial" w:cs="Arial"/>
          <w:sz w:val="20"/>
          <w:szCs w:val="20"/>
        </w:rPr>
        <w:t xml:space="preserve"> również przepisy Rozporządzenia Parlamentu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>Europejskiego i Rady (WE) nr 110/2008 z dnia 15 stycznia 2008 r. w sprawie definicji,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>opisu, prezentacji, etykietowania i ochrony oznaczeń geograficznych napojów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>spirytusowych oraz uchylające rozporządzenie Rady (EWG) nr 1576/89, zgodnie</w:t>
      </w:r>
      <w:r>
        <w:rPr>
          <w:rFonts w:ascii="Arial" w:hAnsi="Arial" w:cs="Arial"/>
          <w:sz w:val="20"/>
          <w:szCs w:val="20"/>
        </w:rPr>
        <w:t xml:space="preserve"> </w:t>
      </w:r>
      <w:r w:rsidRPr="00065D18">
        <w:rPr>
          <w:rFonts w:ascii="Arial" w:hAnsi="Arial" w:cs="Arial"/>
          <w:sz w:val="20"/>
          <w:szCs w:val="20"/>
        </w:rPr>
        <w:t>z którymi gorzkie napoje spirytusowe lub bitter to kategoria napojów spirytusowych.</w:t>
      </w:r>
    </w:p>
    <w:p w:rsidR="00065D18" w:rsidRPr="00065D18" w:rsidRDefault="009864F6" w:rsidP="00065D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5D18">
        <w:rPr>
          <w:rFonts w:ascii="Arial" w:hAnsi="Arial" w:cs="Arial"/>
          <w:sz w:val="20"/>
          <w:szCs w:val="20"/>
        </w:rPr>
        <w:t xml:space="preserve">W załączniku II — </w:t>
      </w:r>
      <w:r w:rsidRPr="003D673B">
        <w:rPr>
          <w:rFonts w:ascii="Arial" w:hAnsi="Arial" w:cs="Arial"/>
          <w:i/>
          <w:sz w:val="20"/>
          <w:szCs w:val="20"/>
        </w:rPr>
        <w:t>Napoje spirytusowe</w:t>
      </w:r>
      <w:r w:rsidRPr="00065D18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ww</w:t>
      </w:r>
      <w:r w:rsidRPr="00065D18">
        <w:rPr>
          <w:rFonts w:ascii="Arial" w:hAnsi="Arial" w:cs="Arial"/>
          <w:sz w:val="20"/>
          <w:szCs w:val="20"/>
        </w:rPr>
        <w:t xml:space="preserve">. rozporządzenia w ust. 30 </w:t>
      </w:r>
      <w:r>
        <w:rPr>
          <w:rFonts w:ascii="Arial" w:hAnsi="Arial" w:cs="Arial"/>
          <w:i/>
          <w:sz w:val="20"/>
          <w:szCs w:val="20"/>
        </w:rPr>
        <w:t>Gorzkie napoje spirytusowe lub </w:t>
      </w:r>
      <w:r w:rsidRPr="003D673B">
        <w:rPr>
          <w:rFonts w:ascii="Arial" w:hAnsi="Arial" w:cs="Arial"/>
          <w:i/>
          <w:sz w:val="20"/>
          <w:szCs w:val="20"/>
        </w:rPr>
        <w:t xml:space="preserve">bitter </w:t>
      </w:r>
      <w:r w:rsidRPr="00065D18">
        <w:rPr>
          <w:rFonts w:ascii="Arial" w:hAnsi="Arial" w:cs="Arial"/>
          <w:sz w:val="20"/>
          <w:szCs w:val="20"/>
        </w:rPr>
        <w:t>wskazuje się następujące kryteria:</w:t>
      </w:r>
    </w:p>
    <w:p w:rsidR="00065D18" w:rsidRPr="003D673B" w:rsidRDefault="009864F6" w:rsidP="003D67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673B">
        <w:rPr>
          <w:rFonts w:ascii="Arial" w:hAnsi="Arial" w:cs="Arial"/>
          <w:sz w:val="20"/>
          <w:szCs w:val="20"/>
        </w:rPr>
        <w:t>Gorzkie napoje spirytusowe lub bitter to napoje spirytusowe o dominującym gorzkim smaku, wytwarzane w drodze aromatyzowania alkoholu etylowego pochodzenia rolniczego substancjami aromatycznymi w rozumieniu art. 3 ust. 2 lit. b) rozporządzenia (WE) nr 1334/2008 lub preparatami aromatycznymi w rozumieniu art. 3 ust. 2 lit. d) tego rozporządzenia:</w:t>
      </w:r>
    </w:p>
    <w:p w:rsidR="003D673B" w:rsidRDefault="009864F6" w:rsidP="003D67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673B">
        <w:rPr>
          <w:rFonts w:ascii="Arial" w:hAnsi="Arial" w:cs="Arial"/>
          <w:sz w:val="20"/>
          <w:szCs w:val="20"/>
        </w:rPr>
        <w:t>Minimalna zawartość alkoholu w gorzkich napojach spirytusowych lub bitter wynosi 15 % obj.;</w:t>
      </w:r>
    </w:p>
    <w:p w:rsidR="00065D18" w:rsidRPr="003D673B" w:rsidRDefault="009864F6" w:rsidP="003D673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673B">
        <w:rPr>
          <w:rFonts w:ascii="Arial" w:hAnsi="Arial" w:cs="Arial"/>
          <w:sz w:val="20"/>
          <w:szCs w:val="20"/>
        </w:rPr>
        <w:t>Napoje te mogą być również sprzedawane pod nazwą amer lub bitter, z użyciem lub bez użycia innego określenia.</w:t>
      </w:r>
    </w:p>
    <w:p w:rsidR="00065D18" w:rsidRDefault="00D30CE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9864F6" w:rsidP="00065D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Uwzględniając powyższe stwierdzam, że </w:t>
      </w:r>
      <w:r w:rsidRPr="00065D18">
        <w:rPr>
          <w:rFonts w:ascii="Arial" w:hAnsi="Arial" w:cs="Arial"/>
          <w:sz w:val="20"/>
          <w:szCs w:val="20"/>
        </w:rPr>
        <w:t>produkty</w:t>
      </w:r>
      <w:r>
        <w:rPr>
          <w:rFonts w:ascii="Arial" w:hAnsi="Arial" w:cs="Arial"/>
          <w:sz w:val="20"/>
          <w:szCs w:val="20"/>
        </w:rPr>
        <w:t xml:space="preserve">, które wnioskodawca zamierza sprzedawać należy zakwalifikować jako napoje alkoholowe. W konsekwencji powyższego wskazać należy, że wnioskodawca, prowadząc obrót hurtowy w kraju tymi napojami zobowiązany będzie do uzyskania zezwolenia na obrót hurtowy w kraju napojami alkoholowymi o zawartości powyżej 18% alkoholu, o którym mowa w art. 9 ust.1 ustawy o wychowaniu w trzeźwości i w związku z tym do wniesienia opłaty za wydanie zezwolenia. </w:t>
      </w:r>
    </w:p>
    <w:p w:rsidR="00242C99" w:rsidRDefault="00D30CE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9864F6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Mając na uwadze powyższe postanawiam jak w sentencji.</w:t>
      </w:r>
    </w:p>
    <w:p w:rsidR="00242C99" w:rsidRDefault="00D30CE4" w:rsidP="00242C99">
      <w:pPr>
        <w:spacing w:line="360" w:lineRule="auto"/>
        <w:rPr>
          <w:rFonts w:ascii="Arial" w:hAnsi="Arial" w:cs="Arial"/>
          <w:sz w:val="20"/>
          <w:szCs w:val="20"/>
        </w:rPr>
      </w:pPr>
    </w:p>
    <w:p w:rsidR="00242C99" w:rsidRDefault="009864F6" w:rsidP="00242C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Pouczenie:</w:t>
      </w:r>
    </w:p>
    <w:p w:rsidR="00242C99" w:rsidRDefault="00D30CE4" w:rsidP="00242C99">
      <w:pPr>
        <w:rPr>
          <w:rFonts w:ascii="Arial" w:hAnsi="Arial" w:cs="Arial"/>
          <w:b/>
          <w:sz w:val="20"/>
          <w:szCs w:val="20"/>
        </w:rPr>
      </w:pPr>
    </w:p>
    <w:p w:rsidR="00421EAD" w:rsidRPr="00421EAD" w:rsidRDefault="009864F6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Od decyzji niniejszej stronie nie służy odwołanie. Strona niezadowolona z decyzji może jednak zwrócić się do Ministra Przedsiębiorczości i Technologii z wnioskiem o ponowne rozpatrzenie sprawy w terminie 14 dni od dnia doręczenia decyzji. </w:t>
      </w:r>
    </w:p>
    <w:p w:rsidR="00421EAD" w:rsidRPr="00421EAD" w:rsidRDefault="009864F6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Jeżeli strona nie chce skorzystać z prawa do zwrócenia się z wnioskiem o ponowne rozpatrzenie sprawy, może wnieść do Wojewódzkiego Sądu Administracyjnego w Warszawie skargę na decyzję w terminie 30 dni od dnia doręczenia decyzji Stronie. Skargę wnosi się za pośrednictwem Ministra Przedsiębiorczości i Technologii (art. 127 § 3 i 129 § 2 kpa oraz art. 52-54 § 1 ustawy z dnia 30 sierpnia </w:t>
      </w:r>
      <w:r w:rsidRPr="00421EAD">
        <w:rPr>
          <w:rFonts w:ascii="Arial" w:hAnsi="Arial" w:cs="Arial"/>
          <w:sz w:val="20"/>
          <w:szCs w:val="20"/>
        </w:rPr>
        <w:lastRenderedPageBreak/>
        <w:t xml:space="preserve">2002 r. – Prawo o postępowaniu przed sądami administracyjnymi (t.j. Dz.U. z 2018 r. poz. 1302 – p.p.s.a.). </w:t>
      </w:r>
    </w:p>
    <w:p w:rsidR="00421EAD" w:rsidRPr="00421EAD" w:rsidRDefault="009864F6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Wpis od skargi wynosi 200 złotych (art. 230-233 p.p.s.a. w zw. z § 2 rozporządzenia Rady Ministrów z dnia 16 grudnia 2003 r. w sprawie wysokości oraz szczegółowych zasad pobierania wpisu w postępowaniu przed sądami administracyjnymi (Dz. U. z 2003 r. Nr 221 poz. 2193). </w:t>
      </w:r>
    </w:p>
    <w:p w:rsidR="00421EAD" w:rsidRPr="00421EAD" w:rsidRDefault="009864F6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Stronie, na jej wniosek, może być przyznane prawo pomocy, które obejmuje zwolnienie od kosztów sądowych oraz ustanowienie adwokata lub radcy prawnego (art. 243-262 p.p.s.a.). </w:t>
      </w:r>
    </w:p>
    <w:p w:rsidR="00242C99" w:rsidRPr="00421EAD" w:rsidRDefault="009864F6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>W trakcie biegu terminu do zwrócenia się z wnioskiem o ponowne rozpatrzenie sprawy strona może zrzec się prawa do zwrócenia się z wnioskiem o ponowne rozpatrzenie sprawy wobec Ministra Przedsiębiorczości i Technologii. Z dniem doręczenia Ministrowi Przedsiębiorczości i Technologii oświadczenia o zrzeczeniu się prawa do zwrócenia się z wnioskiem o ponowne rozpatrzenie sprawy przez stronę postępowania decyzja staje się ostateczna i prawomocna (art. 127a w zw. z art. 127 § 3 k.p.a.).</w:t>
      </w:r>
    </w:p>
    <w:p w:rsidR="00242C99" w:rsidRDefault="00D30CE4" w:rsidP="00242C99">
      <w:pPr>
        <w:rPr>
          <w:rFonts w:ascii="Arial" w:hAnsi="Arial" w:cs="Arial"/>
          <w:sz w:val="20"/>
          <w:szCs w:val="20"/>
        </w:rPr>
      </w:pPr>
    </w:p>
    <w:p w:rsidR="00242C99" w:rsidRDefault="00D30CE4" w:rsidP="00242C99">
      <w:pPr>
        <w:rPr>
          <w:rFonts w:ascii="Arial" w:hAnsi="Arial" w:cs="Arial"/>
          <w:sz w:val="20"/>
          <w:szCs w:val="20"/>
        </w:rPr>
      </w:pPr>
    </w:p>
    <w:p w:rsidR="00242C99" w:rsidRDefault="00D30CE4" w:rsidP="00242C99">
      <w:pPr>
        <w:rPr>
          <w:rFonts w:ascii="Arial" w:hAnsi="Arial" w:cs="Arial"/>
          <w:sz w:val="20"/>
          <w:szCs w:val="20"/>
        </w:rPr>
      </w:pPr>
    </w:p>
    <w:p w:rsidR="00242C99" w:rsidRDefault="009864F6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Opłatę za wydanie niniejszej decyzji</w:t>
      </w:r>
    </w:p>
    <w:p w:rsidR="00242C99" w:rsidRDefault="009864F6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wniesiono w dniu 17.08.2018 r. na konto</w:t>
      </w:r>
    </w:p>
    <w:p w:rsidR="00242C99" w:rsidRDefault="009864F6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Ministerstwa Przedsiębiorczości i Technologii</w:t>
      </w:r>
    </w:p>
    <w:p w:rsidR="00242C99" w:rsidRDefault="009864F6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16 1010 1010 0039 0022 3100 0000</w:t>
      </w:r>
    </w:p>
    <w:p w:rsidR="00970839" w:rsidRDefault="00D30CE4" w:rsidP="005547A6">
      <w:pPr>
        <w:spacing w:line="260" w:lineRule="exact"/>
        <w:rPr>
          <w:rFonts w:ascii="Arial" w:hAnsi="Arial" w:cs="Arial"/>
          <w:sz w:val="20"/>
          <w:szCs w:val="20"/>
        </w:rPr>
      </w:pPr>
    </w:p>
    <w:p w:rsidR="00EA2529" w:rsidRPr="00EA2529" w:rsidRDefault="00D30CE4" w:rsidP="00EA2529">
      <w:pPr>
        <w:rPr>
          <w:rFonts w:ascii="Arial" w:hAnsi="Arial" w:cs="Arial"/>
          <w:sz w:val="20"/>
          <w:szCs w:val="20"/>
        </w:rPr>
      </w:pPr>
    </w:p>
    <w:p w:rsidR="0090067E" w:rsidRDefault="00D30CE4" w:rsidP="0090067E">
      <w:pPr>
        <w:rPr>
          <w:rFonts w:ascii="Arial" w:hAnsi="Arial" w:cs="Arial"/>
          <w:sz w:val="20"/>
          <w:szCs w:val="20"/>
        </w:rPr>
      </w:pPr>
    </w:p>
    <w:p w:rsidR="00580951" w:rsidRDefault="00D30CE4" w:rsidP="0090067E">
      <w:pPr>
        <w:rPr>
          <w:rFonts w:ascii="Arial" w:hAnsi="Arial" w:cs="Arial"/>
          <w:sz w:val="20"/>
          <w:szCs w:val="20"/>
        </w:rPr>
      </w:pPr>
    </w:p>
    <w:p w:rsidR="00ED0F22" w:rsidRPr="00580951" w:rsidRDefault="00D30CE4" w:rsidP="00ED0F22">
      <w:pPr>
        <w:rPr>
          <w:rFonts w:ascii="Arial" w:hAnsi="Arial" w:cs="Arial"/>
          <w:sz w:val="16"/>
          <w:szCs w:val="16"/>
        </w:rPr>
      </w:pPr>
    </w:p>
    <w:p w:rsidR="00F87EB3" w:rsidRPr="00580951" w:rsidRDefault="009864F6" w:rsidP="00ED0F22">
      <w:pPr>
        <w:rPr>
          <w:rFonts w:ascii="Arial" w:hAnsi="Arial" w:cs="Arial"/>
          <w:b/>
          <w:sz w:val="16"/>
          <w:szCs w:val="16"/>
        </w:rPr>
      </w:pPr>
      <w:r w:rsidRPr="00580951">
        <w:rPr>
          <w:rFonts w:ascii="Arial" w:hAnsi="Arial" w:cs="Arial"/>
          <w:b/>
          <w:sz w:val="16"/>
          <w:szCs w:val="16"/>
        </w:rPr>
        <w:t xml:space="preserve"> </w:t>
      </w:r>
    </w:p>
    <w:p w:rsidR="00F87EB3" w:rsidRPr="00580951" w:rsidRDefault="009864F6" w:rsidP="00ED0F22">
      <w:pPr>
        <w:rPr>
          <w:rFonts w:ascii="Arial" w:hAnsi="Arial" w:cs="Arial"/>
          <w:sz w:val="16"/>
          <w:szCs w:val="16"/>
        </w:rPr>
      </w:pPr>
      <w:r w:rsidRPr="00580951">
        <w:rPr>
          <w:rFonts w:ascii="Arial" w:hAnsi="Arial" w:cs="Arial"/>
          <w:sz w:val="16"/>
          <w:szCs w:val="16"/>
        </w:rPr>
        <w:t xml:space="preserve">&lt; </w:t>
      </w:r>
      <w:bookmarkStart w:id="3" w:name="ezdPracownikAtrybut1"/>
      <w:r w:rsidRPr="00580951">
        <w:rPr>
          <w:rFonts w:ascii="Arial" w:hAnsi="Arial" w:cs="Arial"/>
          <w:sz w:val="16"/>
          <w:szCs w:val="16"/>
        </w:rPr>
        <w:t>Dokument podpisany elektronicznie przez:</w:t>
      </w:r>
      <w:bookmarkEnd w:id="3"/>
      <w:r w:rsidRPr="00580951">
        <w:rPr>
          <w:rFonts w:ascii="Arial" w:hAnsi="Arial" w:cs="Arial"/>
          <w:sz w:val="16"/>
          <w:szCs w:val="16"/>
        </w:rPr>
        <w:t xml:space="preserve"> </w:t>
      </w:r>
      <w:bookmarkStart w:id="4" w:name="ezdPracownikNazwa"/>
      <w:r w:rsidRPr="00580951">
        <w:rPr>
          <w:rFonts w:ascii="Arial" w:hAnsi="Arial" w:cs="Arial"/>
          <w:sz w:val="16"/>
          <w:szCs w:val="16"/>
        </w:rPr>
        <w:t>Wojciech Paluch</w:t>
      </w:r>
      <w:bookmarkEnd w:id="4"/>
      <w:r w:rsidRPr="00580951">
        <w:rPr>
          <w:rFonts w:ascii="Arial" w:hAnsi="Arial" w:cs="Arial"/>
          <w:sz w:val="16"/>
          <w:szCs w:val="16"/>
        </w:rPr>
        <w:t xml:space="preserve"> &gt;</w:t>
      </w:r>
    </w:p>
    <w:p w:rsidR="0088746D" w:rsidRPr="00580951" w:rsidRDefault="009864F6" w:rsidP="00C23FC8">
      <w:pPr>
        <w:rPr>
          <w:rFonts w:ascii="Arial" w:hAnsi="Arial" w:cs="Arial"/>
          <w:sz w:val="16"/>
          <w:szCs w:val="16"/>
        </w:rPr>
      </w:pPr>
      <w:r w:rsidRPr="00580951">
        <w:rPr>
          <w:rFonts w:ascii="Arial" w:hAnsi="Arial" w:cs="Arial"/>
          <w:sz w:val="16"/>
          <w:szCs w:val="16"/>
        </w:rPr>
        <w:t xml:space="preserve">&lt; </w:t>
      </w:r>
      <w:bookmarkStart w:id="5" w:name="ezdPracownikAtrybut2"/>
      <w:r w:rsidRPr="00580951">
        <w:rPr>
          <w:rFonts w:ascii="Arial" w:hAnsi="Arial" w:cs="Arial"/>
          <w:sz w:val="16"/>
          <w:szCs w:val="16"/>
        </w:rPr>
        <w:t>Data podpisu:</w:t>
      </w:r>
      <w:bookmarkEnd w:id="5"/>
      <w:r w:rsidRPr="00580951">
        <w:rPr>
          <w:rFonts w:ascii="Arial" w:hAnsi="Arial" w:cs="Arial"/>
          <w:sz w:val="16"/>
          <w:szCs w:val="16"/>
        </w:rPr>
        <w:t xml:space="preserve"> </w:t>
      </w:r>
      <w:bookmarkStart w:id="6" w:name="ezdDataPodpisu_2"/>
      <w:r w:rsidRPr="00580951">
        <w:rPr>
          <w:rFonts w:ascii="Arial" w:hAnsi="Arial" w:cs="Arial"/>
          <w:sz w:val="16"/>
          <w:szCs w:val="16"/>
        </w:rPr>
        <w:t>18 września 2018</w:t>
      </w:r>
      <w:bookmarkEnd w:id="6"/>
      <w:r w:rsidRPr="00580951">
        <w:rPr>
          <w:rFonts w:ascii="Arial" w:hAnsi="Arial" w:cs="Arial"/>
          <w:sz w:val="16"/>
          <w:szCs w:val="16"/>
        </w:rPr>
        <w:t xml:space="preserve"> &gt;</w:t>
      </w:r>
    </w:p>
    <w:p w:rsidR="005B227F" w:rsidRPr="00C23FC8" w:rsidRDefault="00D30CE4" w:rsidP="00C23FC8">
      <w:pPr>
        <w:rPr>
          <w:rFonts w:ascii="Arial" w:hAnsi="Arial" w:cs="Arial"/>
          <w:sz w:val="20"/>
          <w:szCs w:val="20"/>
        </w:rPr>
      </w:pPr>
    </w:p>
    <w:sectPr w:rsidR="005B227F" w:rsidRPr="00C23FC8" w:rsidSect="000F78C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E4" w:rsidRDefault="00D30CE4">
      <w:r>
        <w:separator/>
      </w:r>
    </w:p>
  </w:endnote>
  <w:endnote w:type="continuationSeparator" w:id="0">
    <w:p w:rsidR="00D30CE4" w:rsidRDefault="00D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9864F6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D30C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9864F6" w:rsidP="009A0A7B">
    <w:pPr>
      <w:pStyle w:val="Stopka"/>
      <w:framePr w:wrap="around" w:vAnchor="text" w:hAnchor="page" w:x="5977" w:y="131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8276D3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D30C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1" w:rsidRPr="005511F1" w:rsidRDefault="00D30CE4" w:rsidP="005511F1">
    <w:pPr>
      <w:rPr>
        <w:rFonts w:ascii="Arial" w:hAnsi="Arial" w:cs="Arial"/>
        <w:sz w:val="20"/>
        <w:szCs w:val="20"/>
      </w:rPr>
    </w:pPr>
  </w:p>
  <w:p w:rsidR="005511F1" w:rsidRPr="005511F1" w:rsidRDefault="00D30CE4" w:rsidP="005511F1">
    <w:pPr>
      <w:rPr>
        <w:rFonts w:ascii="Arial" w:hAnsi="Arial" w:cs="Arial"/>
        <w:sz w:val="20"/>
        <w:szCs w:val="20"/>
      </w:rPr>
    </w:pPr>
  </w:p>
  <w:p w:rsidR="005511F1" w:rsidRPr="005511F1" w:rsidRDefault="009864F6">
    <w:pPr>
      <w:rPr>
        <w:rFonts w:ascii="Arial" w:hAnsi="Arial" w:cs="Arial"/>
        <w:sz w:val="20"/>
        <w:szCs w:val="20"/>
      </w:rPr>
    </w:pPr>
    <w:r w:rsidRPr="005511F1">
      <w:rPr>
        <w:rFonts w:ascii="Arial" w:hAnsi="Arial" w:cs="Arial"/>
        <w:sz w:val="20"/>
        <w:szCs w:val="20"/>
      </w:rPr>
      <w:t xml:space="preserve"> </w:t>
    </w:r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D31E80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D30CE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D30CE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D30CE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D30CE4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D30CE4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D31E80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D30CE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D30CE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D30CE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D30CE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D30CE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D30CE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D30CE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9864F6" w:rsidP="001E68C4">
          <w:pPr>
            <w:pStyle w:val="Stopka"/>
            <w:jc w:val="center"/>
            <w:rPr>
              <w:rFonts w:asciiTheme="minorHAnsi" w:hAnsiTheme="minorHAnsi"/>
              <w:sz w:val="15"/>
              <w:szCs w:val="15"/>
            </w:rPr>
          </w:pP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>Przedsiębiorczości i Technologii, Plac Trzech Krzyży 3/5, 00-507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262 94 47, </w:t>
          </w:r>
          <w:r w:rsidRPr="006737B2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> 262 91 37; www.mpit.gov.pl</w:t>
          </w:r>
        </w:p>
        <w:p w:rsidR="00F479F9" w:rsidRDefault="00D30CE4" w:rsidP="001E68C4">
          <w:pPr>
            <w:pStyle w:val="Stopka"/>
            <w:jc w:val="center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D30CE4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6737B2" w:rsidRDefault="00D30CE4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E4" w:rsidRDefault="00D30CE4">
      <w:r>
        <w:separator/>
      </w:r>
    </w:p>
  </w:footnote>
  <w:footnote w:type="continuationSeparator" w:id="0">
    <w:p w:rsidR="00D30CE4" w:rsidRDefault="00D3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9864F6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448310</wp:posOffset>
              </wp:positionV>
              <wp:extent cx="2623820" cy="1501775"/>
              <wp:effectExtent l="0" t="0" r="5080" b="381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50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8C0" w:rsidRDefault="009864F6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33400" cy="533400"/>
                                <wp:effectExtent l="0" t="0" r="0" b="0"/>
                                <wp:docPr id="213803890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F78C0" w:rsidRDefault="009864F6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  <w:r w:rsidRPr="001D3444"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:rsidR="000F78C0" w:rsidRDefault="009864F6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PRZEDSIĘBIORCZOŚCI </w:t>
                          </w:r>
                        </w:p>
                        <w:p w:rsidR="000F78C0" w:rsidRPr="009A648A" w:rsidRDefault="009864F6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I </w:t>
                          </w:r>
                          <w:r w:rsidRPr="009A648A">
                            <w:rPr>
                              <w:color w:val="000000"/>
                            </w:rPr>
                            <w:t>TECHNOLOGII</w:t>
                          </w:r>
                        </w:p>
                        <w:p w:rsidR="000F78C0" w:rsidRPr="009A648A" w:rsidRDefault="00D30CE4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0F78C0" w:rsidRPr="00407F91" w:rsidRDefault="00D30CE4" w:rsidP="000F78C0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2049" type="#_x0000_t202" style="height:118.25pt;margin-left:-36.4pt;margin-top:35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6.6pt;z-index:251659264" stroked="f">
              <v:textbox style="mso-fit-shape-to-text:t">
                <w:txbxContent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33400" cy="533400"/>
                          <wp:effectExtent l="0" t="0" r="0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  <w:r w:rsidRPr="001D3444">
                      <w:rPr>
                        <w:color w:val="000000"/>
                      </w:rPr>
                      <w:t xml:space="preserve"> </w:t>
                    </w:r>
                  </w:p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PRZEDSIĘBIORCZOŚCI </w:t>
                    </w:r>
                  </w:p>
                  <w:p w:rsidR="000F78C0" w:rsidRPr="009A648A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I </w:t>
                    </w:r>
                    <w:r w:rsidRPr="009A648A">
                      <w:rPr>
                        <w:color w:val="000000"/>
                      </w:rPr>
                      <w:t>TECHNOLOGII</w:t>
                    </w:r>
                  </w:p>
                  <w:p w:rsidR="000F78C0" w:rsidRPr="009A648A" w:rsidP="000F78C0">
                    <w:pPr>
                      <w:jc w:val="center"/>
                      <w:rPr>
                        <w:color w:val="000000"/>
                      </w:rPr>
                    </w:pPr>
                  </w:p>
                  <w:p w:rsidR="000F78C0" w:rsidRPr="00407F91" w:rsidP="000F78C0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0E1"/>
    <w:multiLevelType w:val="hybridMultilevel"/>
    <w:tmpl w:val="4D066FAE"/>
    <w:lvl w:ilvl="0" w:tplc="0D3865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721D42" w:tentative="1">
      <w:start w:val="1"/>
      <w:numFmt w:val="lowerLetter"/>
      <w:lvlText w:val="%2."/>
      <w:lvlJc w:val="left"/>
      <w:pPr>
        <w:ind w:left="1440" w:hanging="360"/>
      </w:pPr>
    </w:lvl>
    <w:lvl w:ilvl="2" w:tplc="F48AD2EA" w:tentative="1">
      <w:start w:val="1"/>
      <w:numFmt w:val="lowerRoman"/>
      <w:lvlText w:val="%3."/>
      <w:lvlJc w:val="right"/>
      <w:pPr>
        <w:ind w:left="2160" w:hanging="180"/>
      </w:pPr>
    </w:lvl>
    <w:lvl w:ilvl="3" w:tplc="E5DA6BDE" w:tentative="1">
      <w:start w:val="1"/>
      <w:numFmt w:val="decimal"/>
      <w:lvlText w:val="%4."/>
      <w:lvlJc w:val="left"/>
      <w:pPr>
        <w:ind w:left="2880" w:hanging="360"/>
      </w:pPr>
    </w:lvl>
    <w:lvl w:ilvl="4" w:tplc="7E527622" w:tentative="1">
      <w:start w:val="1"/>
      <w:numFmt w:val="lowerLetter"/>
      <w:lvlText w:val="%5."/>
      <w:lvlJc w:val="left"/>
      <w:pPr>
        <w:ind w:left="3600" w:hanging="360"/>
      </w:pPr>
    </w:lvl>
    <w:lvl w:ilvl="5" w:tplc="5DD2A5E4" w:tentative="1">
      <w:start w:val="1"/>
      <w:numFmt w:val="lowerRoman"/>
      <w:lvlText w:val="%6."/>
      <w:lvlJc w:val="right"/>
      <w:pPr>
        <w:ind w:left="4320" w:hanging="180"/>
      </w:pPr>
    </w:lvl>
    <w:lvl w:ilvl="6" w:tplc="B2003C5A" w:tentative="1">
      <w:start w:val="1"/>
      <w:numFmt w:val="decimal"/>
      <w:lvlText w:val="%7."/>
      <w:lvlJc w:val="left"/>
      <w:pPr>
        <w:ind w:left="5040" w:hanging="360"/>
      </w:pPr>
    </w:lvl>
    <w:lvl w:ilvl="7" w:tplc="C974EA64" w:tentative="1">
      <w:start w:val="1"/>
      <w:numFmt w:val="lowerLetter"/>
      <w:lvlText w:val="%8."/>
      <w:lvlJc w:val="left"/>
      <w:pPr>
        <w:ind w:left="5760" w:hanging="360"/>
      </w:pPr>
    </w:lvl>
    <w:lvl w:ilvl="8" w:tplc="82602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964C55A6"/>
    <w:lvl w:ilvl="0" w:tplc="134A7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3645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72FF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BAF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6C6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CEFF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540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1C6F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DE0D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F34CC0"/>
    <w:multiLevelType w:val="hybridMultilevel"/>
    <w:tmpl w:val="C6600620"/>
    <w:lvl w:ilvl="0" w:tplc="1E2CC0CC">
      <w:start w:val="1"/>
      <w:numFmt w:val="decimal"/>
      <w:lvlText w:val="%1)"/>
      <w:lvlJc w:val="left"/>
      <w:pPr>
        <w:ind w:left="720" w:hanging="360"/>
      </w:pPr>
    </w:lvl>
    <w:lvl w:ilvl="1" w:tplc="CF3A9C44">
      <w:start w:val="1"/>
      <w:numFmt w:val="lowerLetter"/>
      <w:lvlText w:val="%2."/>
      <w:lvlJc w:val="left"/>
      <w:pPr>
        <w:ind w:left="1440" w:hanging="360"/>
      </w:pPr>
    </w:lvl>
    <w:lvl w:ilvl="2" w:tplc="7D5A474A">
      <w:start w:val="1"/>
      <w:numFmt w:val="lowerRoman"/>
      <w:lvlText w:val="%3."/>
      <w:lvlJc w:val="right"/>
      <w:pPr>
        <w:ind w:left="2160" w:hanging="180"/>
      </w:pPr>
    </w:lvl>
    <w:lvl w:ilvl="3" w:tplc="78AAA3B0">
      <w:start w:val="1"/>
      <w:numFmt w:val="decimal"/>
      <w:lvlText w:val="%4."/>
      <w:lvlJc w:val="left"/>
      <w:pPr>
        <w:ind w:left="2880" w:hanging="360"/>
      </w:pPr>
    </w:lvl>
    <w:lvl w:ilvl="4" w:tplc="0EA2D902">
      <w:start w:val="1"/>
      <w:numFmt w:val="lowerLetter"/>
      <w:lvlText w:val="%5."/>
      <w:lvlJc w:val="left"/>
      <w:pPr>
        <w:ind w:left="3600" w:hanging="360"/>
      </w:pPr>
    </w:lvl>
    <w:lvl w:ilvl="5" w:tplc="E43A212A">
      <w:start w:val="1"/>
      <w:numFmt w:val="lowerRoman"/>
      <w:lvlText w:val="%6."/>
      <w:lvlJc w:val="right"/>
      <w:pPr>
        <w:ind w:left="4320" w:hanging="180"/>
      </w:pPr>
    </w:lvl>
    <w:lvl w:ilvl="6" w:tplc="A168B890">
      <w:start w:val="1"/>
      <w:numFmt w:val="decimal"/>
      <w:lvlText w:val="%7."/>
      <w:lvlJc w:val="left"/>
      <w:pPr>
        <w:ind w:left="5040" w:hanging="360"/>
      </w:pPr>
    </w:lvl>
    <w:lvl w:ilvl="7" w:tplc="0508804E">
      <w:start w:val="1"/>
      <w:numFmt w:val="lowerLetter"/>
      <w:lvlText w:val="%8."/>
      <w:lvlJc w:val="left"/>
      <w:pPr>
        <w:ind w:left="5760" w:hanging="360"/>
      </w:pPr>
    </w:lvl>
    <w:lvl w:ilvl="8" w:tplc="900E15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F5E"/>
    <w:multiLevelType w:val="hybridMultilevel"/>
    <w:tmpl w:val="54640F68"/>
    <w:lvl w:ilvl="0" w:tplc="89B8D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8CAE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68EC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5A0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F07F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10A3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FA6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9246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1025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2C4BC7"/>
    <w:multiLevelType w:val="hybridMultilevel"/>
    <w:tmpl w:val="BE9A899E"/>
    <w:lvl w:ilvl="0" w:tplc="159EB45E">
      <w:start w:val="1"/>
      <w:numFmt w:val="decimal"/>
      <w:lvlText w:val="%1."/>
      <w:lvlJc w:val="left"/>
      <w:pPr>
        <w:ind w:left="720" w:hanging="360"/>
      </w:pPr>
    </w:lvl>
    <w:lvl w:ilvl="1" w:tplc="0C8EE25C">
      <w:start w:val="1"/>
      <w:numFmt w:val="lowerLetter"/>
      <w:lvlText w:val="%2."/>
      <w:lvlJc w:val="left"/>
      <w:pPr>
        <w:ind w:left="1440" w:hanging="360"/>
      </w:pPr>
    </w:lvl>
    <w:lvl w:ilvl="2" w:tplc="725CCA26">
      <w:start w:val="1"/>
      <w:numFmt w:val="lowerRoman"/>
      <w:lvlText w:val="%3."/>
      <w:lvlJc w:val="right"/>
      <w:pPr>
        <w:ind w:left="2160" w:hanging="180"/>
      </w:pPr>
    </w:lvl>
    <w:lvl w:ilvl="3" w:tplc="AB7C4E76">
      <w:start w:val="1"/>
      <w:numFmt w:val="decimal"/>
      <w:lvlText w:val="%4."/>
      <w:lvlJc w:val="left"/>
      <w:pPr>
        <w:ind w:left="2880" w:hanging="360"/>
      </w:pPr>
    </w:lvl>
    <w:lvl w:ilvl="4" w:tplc="9EACC962">
      <w:start w:val="1"/>
      <w:numFmt w:val="lowerLetter"/>
      <w:lvlText w:val="%5."/>
      <w:lvlJc w:val="left"/>
      <w:pPr>
        <w:ind w:left="3600" w:hanging="360"/>
      </w:pPr>
    </w:lvl>
    <w:lvl w:ilvl="5" w:tplc="5F8CF43E">
      <w:start w:val="1"/>
      <w:numFmt w:val="lowerRoman"/>
      <w:lvlText w:val="%6."/>
      <w:lvlJc w:val="right"/>
      <w:pPr>
        <w:ind w:left="4320" w:hanging="180"/>
      </w:pPr>
    </w:lvl>
    <w:lvl w:ilvl="6" w:tplc="88CC8620">
      <w:start w:val="1"/>
      <w:numFmt w:val="decimal"/>
      <w:lvlText w:val="%7."/>
      <w:lvlJc w:val="left"/>
      <w:pPr>
        <w:ind w:left="5040" w:hanging="360"/>
      </w:pPr>
    </w:lvl>
    <w:lvl w:ilvl="7" w:tplc="F068664E">
      <w:start w:val="1"/>
      <w:numFmt w:val="lowerLetter"/>
      <w:lvlText w:val="%8."/>
      <w:lvlJc w:val="left"/>
      <w:pPr>
        <w:ind w:left="5760" w:hanging="360"/>
      </w:pPr>
    </w:lvl>
    <w:lvl w:ilvl="8" w:tplc="5A5CDC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1035"/>
    <w:multiLevelType w:val="hybridMultilevel"/>
    <w:tmpl w:val="CF628464"/>
    <w:lvl w:ilvl="0" w:tplc="E3001C3A">
      <w:start w:val="1"/>
      <w:numFmt w:val="decimal"/>
      <w:lvlText w:val="%1."/>
      <w:lvlJc w:val="left"/>
      <w:pPr>
        <w:ind w:left="720" w:hanging="360"/>
      </w:pPr>
    </w:lvl>
    <w:lvl w:ilvl="1" w:tplc="40902040" w:tentative="1">
      <w:start w:val="1"/>
      <w:numFmt w:val="lowerLetter"/>
      <w:lvlText w:val="%2."/>
      <w:lvlJc w:val="left"/>
      <w:pPr>
        <w:ind w:left="1440" w:hanging="360"/>
      </w:pPr>
    </w:lvl>
    <w:lvl w:ilvl="2" w:tplc="ADB225E6" w:tentative="1">
      <w:start w:val="1"/>
      <w:numFmt w:val="lowerRoman"/>
      <w:lvlText w:val="%3."/>
      <w:lvlJc w:val="right"/>
      <w:pPr>
        <w:ind w:left="2160" w:hanging="180"/>
      </w:pPr>
    </w:lvl>
    <w:lvl w:ilvl="3" w:tplc="3F7CC938" w:tentative="1">
      <w:start w:val="1"/>
      <w:numFmt w:val="decimal"/>
      <w:lvlText w:val="%4."/>
      <w:lvlJc w:val="left"/>
      <w:pPr>
        <w:ind w:left="2880" w:hanging="360"/>
      </w:pPr>
    </w:lvl>
    <w:lvl w:ilvl="4" w:tplc="1BD86C70" w:tentative="1">
      <w:start w:val="1"/>
      <w:numFmt w:val="lowerLetter"/>
      <w:lvlText w:val="%5."/>
      <w:lvlJc w:val="left"/>
      <w:pPr>
        <w:ind w:left="3600" w:hanging="360"/>
      </w:pPr>
    </w:lvl>
    <w:lvl w:ilvl="5" w:tplc="A56A49A2" w:tentative="1">
      <w:start w:val="1"/>
      <w:numFmt w:val="lowerRoman"/>
      <w:lvlText w:val="%6."/>
      <w:lvlJc w:val="right"/>
      <w:pPr>
        <w:ind w:left="4320" w:hanging="180"/>
      </w:pPr>
    </w:lvl>
    <w:lvl w:ilvl="6" w:tplc="2B442E38" w:tentative="1">
      <w:start w:val="1"/>
      <w:numFmt w:val="decimal"/>
      <w:lvlText w:val="%7."/>
      <w:lvlJc w:val="left"/>
      <w:pPr>
        <w:ind w:left="5040" w:hanging="360"/>
      </w:pPr>
    </w:lvl>
    <w:lvl w:ilvl="7" w:tplc="A7EEE750" w:tentative="1">
      <w:start w:val="1"/>
      <w:numFmt w:val="lowerLetter"/>
      <w:lvlText w:val="%8."/>
      <w:lvlJc w:val="left"/>
      <w:pPr>
        <w:ind w:left="5760" w:hanging="360"/>
      </w:pPr>
    </w:lvl>
    <w:lvl w:ilvl="8" w:tplc="72CEA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D5E91"/>
    <w:multiLevelType w:val="hybridMultilevel"/>
    <w:tmpl w:val="A5125716"/>
    <w:lvl w:ilvl="0" w:tplc="2B5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2C41DA" w:tentative="1">
      <w:start w:val="1"/>
      <w:numFmt w:val="lowerLetter"/>
      <w:lvlText w:val="%2."/>
      <w:lvlJc w:val="left"/>
      <w:pPr>
        <w:ind w:left="1440" w:hanging="360"/>
      </w:pPr>
    </w:lvl>
    <w:lvl w:ilvl="2" w:tplc="961896B8" w:tentative="1">
      <w:start w:val="1"/>
      <w:numFmt w:val="lowerRoman"/>
      <w:lvlText w:val="%3."/>
      <w:lvlJc w:val="right"/>
      <w:pPr>
        <w:ind w:left="2160" w:hanging="180"/>
      </w:pPr>
    </w:lvl>
    <w:lvl w:ilvl="3" w:tplc="8F566FA8" w:tentative="1">
      <w:start w:val="1"/>
      <w:numFmt w:val="decimal"/>
      <w:lvlText w:val="%4."/>
      <w:lvlJc w:val="left"/>
      <w:pPr>
        <w:ind w:left="2880" w:hanging="360"/>
      </w:pPr>
    </w:lvl>
    <w:lvl w:ilvl="4" w:tplc="23EC744E" w:tentative="1">
      <w:start w:val="1"/>
      <w:numFmt w:val="lowerLetter"/>
      <w:lvlText w:val="%5."/>
      <w:lvlJc w:val="left"/>
      <w:pPr>
        <w:ind w:left="3600" w:hanging="360"/>
      </w:pPr>
    </w:lvl>
    <w:lvl w:ilvl="5" w:tplc="621A06AE" w:tentative="1">
      <w:start w:val="1"/>
      <w:numFmt w:val="lowerRoman"/>
      <w:lvlText w:val="%6."/>
      <w:lvlJc w:val="right"/>
      <w:pPr>
        <w:ind w:left="4320" w:hanging="180"/>
      </w:pPr>
    </w:lvl>
    <w:lvl w:ilvl="6" w:tplc="C5804D40" w:tentative="1">
      <w:start w:val="1"/>
      <w:numFmt w:val="decimal"/>
      <w:lvlText w:val="%7."/>
      <w:lvlJc w:val="left"/>
      <w:pPr>
        <w:ind w:left="5040" w:hanging="360"/>
      </w:pPr>
    </w:lvl>
    <w:lvl w:ilvl="7" w:tplc="26A04B60" w:tentative="1">
      <w:start w:val="1"/>
      <w:numFmt w:val="lowerLetter"/>
      <w:lvlText w:val="%8."/>
      <w:lvlJc w:val="left"/>
      <w:pPr>
        <w:ind w:left="5760" w:hanging="360"/>
      </w:pPr>
    </w:lvl>
    <w:lvl w:ilvl="8" w:tplc="03181A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80"/>
    <w:rsid w:val="000443CD"/>
    <w:rsid w:val="00825198"/>
    <w:rsid w:val="008276D3"/>
    <w:rsid w:val="009576A8"/>
    <w:rsid w:val="009864F6"/>
    <w:rsid w:val="00AE2EB5"/>
    <w:rsid w:val="00CA72A7"/>
    <w:rsid w:val="00D30CE4"/>
    <w:rsid w:val="00D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66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643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6A79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A7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9E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7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9ED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242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66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643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6A79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A7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9E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7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9ED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24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5F06-B634-49FD-BC71-2CF8BDC1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Dariusz Domzalski</cp:lastModifiedBy>
  <cp:revision>2</cp:revision>
  <cp:lastPrinted>2015-11-16T13:16:00Z</cp:lastPrinted>
  <dcterms:created xsi:type="dcterms:W3CDTF">2019-03-19T10:21:00Z</dcterms:created>
  <dcterms:modified xsi:type="dcterms:W3CDTF">2019-03-19T10:21:00Z</dcterms:modified>
</cp:coreProperties>
</file>