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53C2" w14:textId="77777777" w:rsidR="00481816" w:rsidRDefault="009C77D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DEPARTAMENT FUNDUSZY EUROPEJSKICH MSWiA</w:t>
      </w:r>
      <w:r w:rsidR="00481816">
        <w:rPr>
          <w:b/>
          <w:bCs/>
        </w:rPr>
        <w:t xml:space="preserve"> – </w:t>
      </w:r>
      <w:r w:rsidR="00CA7B93">
        <w:rPr>
          <w:b/>
          <w:bCs/>
        </w:rPr>
        <w:t xml:space="preserve">OPERATOR </w:t>
      </w:r>
      <w:r w:rsidR="00481816">
        <w:rPr>
          <w:b/>
          <w:bCs/>
        </w:rPr>
        <w:t>PROGRAMU</w:t>
      </w:r>
    </w:p>
    <w:p w14:paraId="01C539AF" w14:textId="77777777" w:rsidR="00481816" w:rsidRDefault="00481816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oraz</w:t>
      </w:r>
    </w:p>
    <w:p w14:paraId="064299E3" w14:textId="77777777" w:rsidR="00481816" w:rsidRDefault="009C77D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 xml:space="preserve">CENTRUM OBSŁUGI </w:t>
      </w:r>
      <w:r w:rsidR="00747FB2">
        <w:rPr>
          <w:b/>
          <w:bCs/>
        </w:rPr>
        <w:t>PROJEKTÓW</w:t>
      </w:r>
      <w:r>
        <w:rPr>
          <w:b/>
          <w:bCs/>
        </w:rPr>
        <w:t xml:space="preserve"> EUROPEJSKICH MSWiA</w:t>
      </w:r>
      <w:r w:rsidR="00481816">
        <w:rPr>
          <w:b/>
          <w:bCs/>
        </w:rPr>
        <w:t xml:space="preserve"> </w:t>
      </w:r>
    </w:p>
    <w:p w14:paraId="44164C7E" w14:textId="0B3E46AA" w:rsidR="009C77D1" w:rsidRDefault="00C31370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 xml:space="preserve">URUCHAMIAJĄ </w:t>
      </w:r>
      <w:r w:rsidR="00512264">
        <w:rPr>
          <w:b/>
          <w:bCs/>
        </w:rPr>
        <w:t>PROCEDURĘ OSZCZĘDNOŚCI</w:t>
      </w:r>
      <w:r w:rsidR="00930772" w:rsidRPr="00930772">
        <w:rPr>
          <w:b/>
          <w:bCs/>
        </w:rPr>
        <w:t xml:space="preserve"> </w:t>
      </w:r>
      <w:r w:rsidR="00512264">
        <w:rPr>
          <w:b/>
          <w:bCs/>
        </w:rPr>
        <w:t xml:space="preserve">DOT. </w:t>
      </w:r>
      <w:r w:rsidR="00CD03FC">
        <w:rPr>
          <w:b/>
          <w:bCs/>
        </w:rPr>
        <w:t>DODATKOW</w:t>
      </w:r>
      <w:r w:rsidR="00512264">
        <w:rPr>
          <w:b/>
          <w:bCs/>
        </w:rPr>
        <w:t>YCH</w:t>
      </w:r>
      <w:r w:rsidR="00CD03FC">
        <w:rPr>
          <w:b/>
          <w:bCs/>
        </w:rPr>
        <w:t xml:space="preserve"> ŚRODK</w:t>
      </w:r>
      <w:r w:rsidR="00512264">
        <w:rPr>
          <w:b/>
          <w:bCs/>
        </w:rPr>
        <w:t>ÓW</w:t>
      </w:r>
    </w:p>
    <w:p w14:paraId="268162FE" w14:textId="77777777" w:rsidR="00BE0321" w:rsidRDefault="00BE032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dla Beneficjentów projektów będących w trakcie realizacji</w:t>
      </w:r>
    </w:p>
    <w:p w14:paraId="4CBF8409" w14:textId="77777777" w:rsidR="009C77D1" w:rsidRDefault="00BE032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 xml:space="preserve">Obszarze Programowym PA20 </w:t>
      </w:r>
      <w:r w:rsidR="00930772" w:rsidRPr="00930772">
        <w:rPr>
          <w:b/>
          <w:bCs/>
        </w:rPr>
        <w:t>w ramach Programu „</w:t>
      </w:r>
      <w:r w:rsidR="00930772" w:rsidRPr="009C77D1">
        <w:rPr>
          <w:b/>
          <w:bCs/>
          <w:i/>
        </w:rPr>
        <w:t>SPRAWY WEWNĘTRZNE”</w:t>
      </w:r>
      <w:r w:rsidR="00930772" w:rsidRPr="00930772">
        <w:rPr>
          <w:b/>
          <w:bCs/>
        </w:rPr>
        <w:t xml:space="preserve"> </w:t>
      </w:r>
    </w:p>
    <w:p w14:paraId="6A393E56" w14:textId="77777777" w:rsidR="00930772" w:rsidRDefault="00930772" w:rsidP="007E44BA">
      <w:pPr>
        <w:spacing w:after="120" w:line="276" w:lineRule="auto"/>
        <w:jc w:val="center"/>
        <w:rPr>
          <w:b/>
          <w:bCs/>
        </w:rPr>
      </w:pPr>
      <w:r w:rsidRPr="00930772">
        <w:rPr>
          <w:b/>
          <w:bCs/>
        </w:rPr>
        <w:t>finansowanego ze środków Norweskiego Mechanizmu Finansowego 2014 – 2021</w:t>
      </w:r>
      <w:r>
        <w:rPr>
          <w:b/>
          <w:bCs/>
        </w:rPr>
        <w:t>.</w:t>
      </w:r>
    </w:p>
    <w:p w14:paraId="311946C1" w14:textId="77777777" w:rsidR="00481816" w:rsidRDefault="00481816" w:rsidP="007E44BA">
      <w:pPr>
        <w:spacing w:after="120" w:line="276" w:lineRule="auto"/>
        <w:jc w:val="center"/>
        <w:rPr>
          <w:b/>
          <w:bCs/>
        </w:rPr>
      </w:pPr>
    </w:p>
    <w:p w14:paraId="31BC27F7" w14:textId="77777777" w:rsidR="00CD03FC" w:rsidRDefault="00D33374" w:rsidP="007E44BA">
      <w:pPr>
        <w:spacing w:after="120" w:line="276" w:lineRule="auto"/>
        <w:jc w:val="both"/>
      </w:pPr>
      <w:r w:rsidRPr="00930772">
        <w:rPr>
          <w:b/>
          <w:bCs/>
        </w:rPr>
        <w:t>Cel:</w:t>
      </w:r>
      <w:r w:rsidRPr="00930772">
        <w:t xml:space="preserve"> </w:t>
      </w:r>
      <w:r w:rsidR="00CD03FC">
        <w:t>zagospodarowanie oszczędności powstałych w ramach Obszaru Programowego PA20 „Międzynarodowa współpraca policyjna i zwalczanie przestępczości</w:t>
      </w:r>
    </w:p>
    <w:p w14:paraId="5AB465D0" w14:textId="28499496" w:rsidR="001D2D68" w:rsidRDefault="00512264" w:rsidP="007E44BA">
      <w:pPr>
        <w:spacing w:after="120" w:line="276" w:lineRule="auto"/>
        <w:jc w:val="both"/>
      </w:pPr>
      <w:r>
        <w:t>Procedura</w:t>
      </w:r>
      <w:r w:rsidR="001D2D68">
        <w:t xml:space="preserve"> jest </w:t>
      </w:r>
      <w:r>
        <w:t xml:space="preserve">uruchamiana </w:t>
      </w:r>
      <w:r w:rsidR="001D2D68">
        <w:t>w celu zmniejszenia ryzyka nieosiągnięcia celów i wskaźników założonych dla Programu i projektów.</w:t>
      </w:r>
    </w:p>
    <w:p w14:paraId="118BD690" w14:textId="29D5FFC2" w:rsidR="009539A6" w:rsidRDefault="009539A6" w:rsidP="007E44BA">
      <w:pPr>
        <w:spacing w:after="120" w:line="276" w:lineRule="auto"/>
        <w:jc w:val="both"/>
      </w:pPr>
      <w:r>
        <w:t xml:space="preserve">Przyznanie środków w ramach </w:t>
      </w:r>
      <w:r w:rsidR="00512264">
        <w:t>procedury</w:t>
      </w:r>
      <w:r>
        <w:t xml:space="preserve"> nastąpi pod warunkiem wprowadzenia zmiany w Umowie </w:t>
      </w:r>
      <w:proofErr w:type="spellStart"/>
      <w:r>
        <w:t>ws</w:t>
      </w:r>
      <w:proofErr w:type="spellEnd"/>
      <w:r>
        <w:t>. Programu „Sprawy wewnętrzne” NMF 2014-2021 pomiędzy norweskim Ministerstwem Spraw Zagranicznych a dawnym polskim Ministerstwem Inwestycji i Rozwoju (obecnie Ministerstwem Funduszy i Polityki Regionalnej).</w:t>
      </w:r>
    </w:p>
    <w:p w14:paraId="1A55FE02" w14:textId="77777777" w:rsidR="00A70EFA" w:rsidRDefault="00405706" w:rsidP="007E44BA">
      <w:pPr>
        <w:spacing w:after="120" w:line="276" w:lineRule="auto"/>
        <w:jc w:val="both"/>
        <w:rPr>
          <w:rStyle w:val="tlid-translation"/>
        </w:rPr>
      </w:pPr>
      <w:r>
        <w:rPr>
          <w:rStyle w:val="tlid-translation"/>
          <w:b/>
        </w:rPr>
        <w:t>Uprawnieni w</w:t>
      </w:r>
      <w:r w:rsidR="00A0022C">
        <w:rPr>
          <w:rStyle w:val="tlid-translation"/>
          <w:b/>
        </w:rPr>
        <w:t>nioskodawcy</w:t>
      </w:r>
      <w:r w:rsidR="008216E0">
        <w:rPr>
          <w:rStyle w:val="tlid-translation"/>
          <w:b/>
        </w:rPr>
        <w:t>:</w:t>
      </w:r>
      <w:r w:rsidR="00A70EFA">
        <w:rPr>
          <w:rStyle w:val="tlid-translation"/>
          <w:b/>
        </w:rPr>
        <w:t xml:space="preserve"> </w:t>
      </w:r>
      <w:r w:rsidR="00CD03FC">
        <w:rPr>
          <w:rStyle w:val="tlid-translation"/>
        </w:rPr>
        <w:t xml:space="preserve">Beneficjenci projektów </w:t>
      </w:r>
      <w:r w:rsidR="00697459">
        <w:rPr>
          <w:rStyle w:val="tlid-translation"/>
        </w:rPr>
        <w:t xml:space="preserve">będących </w:t>
      </w:r>
      <w:r w:rsidR="00CD03FC">
        <w:rPr>
          <w:rStyle w:val="tlid-translation"/>
        </w:rPr>
        <w:t>w trakcie realizacji</w:t>
      </w:r>
      <w:r w:rsidR="004D48C6">
        <w:rPr>
          <w:rStyle w:val="tlid-translation"/>
        </w:rPr>
        <w:t xml:space="preserve"> do czasu zakończenia procedury rozdysponowania oszczędności</w:t>
      </w:r>
      <w:r w:rsidR="007E44BA">
        <w:rPr>
          <w:rStyle w:val="tlid-translation"/>
        </w:rPr>
        <w:t>.</w:t>
      </w:r>
    </w:p>
    <w:p w14:paraId="6FFE4CF1" w14:textId="49367056" w:rsidR="008216E0" w:rsidRDefault="008216E0" w:rsidP="007E44BA">
      <w:pPr>
        <w:spacing w:after="120" w:line="276" w:lineRule="auto"/>
        <w:jc w:val="both"/>
        <w:rPr>
          <w:rStyle w:val="tlid-translation"/>
        </w:rPr>
      </w:pPr>
      <w:r w:rsidRPr="00930772">
        <w:rPr>
          <w:b/>
          <w:bCs/>
        </w:rPr>
        <w:t xml:space="preserve">Całkowita kwota dostępna w ramach </w:t>
      </w:r>
      <w:r w:rsidR="00512264">
        <w:rPr>
          <w:b/>
          <w:bCs/>
        </w:rPr>
        <w:t>procedury</w:t>
      </w:r>
      <w:r w:rsidRPr="00930772">
        <w:rPr>
          <w:b/>
          <w:bCs/>
        </w:rPr>
        <w:t>:</w:t>
      </w:r>
      <w:r>
        <w:rPr>
          <w:b/>
          <w:bCs/>
        </w:rPr>
        <w:t xml:space="preserve"> </w:t>
      </w:r>
      <w:r w:rsidR="001D2D68" w:rsidRPr="00314783">
        <w:rPr>
          <w:bCs/>
        </w:rPr>
        <w:t>59 288,01</w:t>
      </w:r>
      <w:r w:rsidR="000926F4">
        <w:rPr>
          <w:bCs/>
        </w:rPr>
        <w:t xml:space="preserve"> </w:t>
      </w:r>
      <w:r w:rsidR="00075259" w:rsidRPr="00075259">
        <w:rPr>
          <w:bCs/>
        </w:rPr>
        <w:t xml:space="preserve">euro </w:t>
      </w:r>
      <w:r w:rsidR="00CD03FC">
        <w:rPr>
          <w:bCs/>
        </w:rPr>
        <w:t>tj.</w:t>
      </w:r>
      <w:r w:rsidR="00075259" w:rsidRPr="00075259">
        <w:rPr>
          <w:bCs/>
        </w:rPr>
        <w:t xml:space="preserve"> </w:t>
      </w:r>
      <w:r w:rsidR="001D2D68">
        <w:rPr>
          <w:bCs/>
        </w:rPr>
        <w:t>264 413,66</w:t>
      </w:r>
      <w:r w:rsidR="000926F4">
        <w:rPr>
          <w:bCs/>
        </w:rPr>
        <w:t xml:space="preserve"> </w:t>
      </w:r>
      <w:r w:rsidR="00075259" w:rsidRPr="00075259">
        <w:rPr>
          <w:bCs/>
        </w:rPr>
        <w:t xml:space="preserve">zł (liczone wg średniego miesięcznego kursu publikowanego w serii C Oficjalnego Dziennika Unii Europejskiej, liczonego dla 6-miesięcznego okresu sprzed dnia publikacji ogłoszenia, tj. 1 </w:t>
      </w:r>
      <w:r w:rsidR="00751432">
        <w:rPr>
          <w:bCs/>
        </w:rPr>
        <w:t>euro</w:t>
      </w:r>
      <w:r w:rsidR="00751432" w:rsidRPr="00075259">
        <w:rPr>
          <w:bCs/>
        </w:rPr>
        <w:t xml:space="preserve"> </w:t>
      </w:r>
      <w:r w:rsidR="00075259" w:rsidRPr="00075259">
        <w:rPr>
          <w:bCs/>
        </w:rPr>
        <w:t xml:space="preserve">= </w:t>
      </w:r>
      <w:r w:rsidR="001D2D68">
        <w:rPr>
          <w:bCs/>
        </w:rPr>
        <w:t>4,4598</w:t>
      </w:r>
      <w:r w:rsidR="001D2D68" w:rsidRPr="00075259">
        <w:rPr>
          <w:bCs/>
        </w:rPr>
        <w:t xml:space="preserve"> </w:t>
      </w:r>
      <w:r w:rsidR="00751432">
        <w:rPr>
          <w:bCs/>
        </w:rPr>
        <w:t>zł</w:t>
      </w:r>
      <w:r w:rsidR="00075259" w:rsidRPr="00075259">
        <w:rPr>
          <w:bCs/>
        </w:rPr>
        <w:t>)</w:t>
      </w:r>
      <w:r w:rsidRPr="008216E0">
        <w:rPr>
          <w:bCs/>
        </w:rPr>
        <w:t>.</w:t>
      </w:r>
    </w:p>
    <w:p w14:paraId="09DABEED" w14:textId="48805D1F" w:rsidR="00D803DB" w:rsidRDefault="00CD03FC" w:rsidP="007E44BA">
      <w:pPr>
        <w:spacing w:after="120" w:line="276" w:lineRule="auto"/>
        <w:jc w:val="both"/>
      </w:pPr>
      <w:r w:rsidRPr="00CD03FC">
        <w:rPr>
          <w:b/>
        </w:rPr>
        <w:t>M</w:t>
      </w:r>
      <w:r w:rsidR="00CA7B93" w:rsidRPr="00CD03FC">
        <w:rPr>
          <w:b/>
        </w:rPr>
        <w:t>inimalna kwota</w:t>
      </w:r>
      <w:r w:rsidR="00CA7B93">
        <w:t xml:space="preserve"> </w:t>
      </w:r>
      <w:r w:rsidR="007E44BA">
        <w:t>na</w:t>
      </w:r>
      <w:r>
        <w:t xml:space="preserve"> jaką może zostać złożony wniosek o dodatkowe środki to </w:t>
      </w:r>
      <w:r w:rsidR="004E310A">
        <w:t>50 </w:t>
      </w:r>
      <w:r>
        <w:t xml:space="preserve">000 </w:t>
      </w:r>
      <w:r w:rsidR="00751432">
        <w:t>zł</w:t>
      </w:r>
      <w:r>
        <w:t xml:space="preserve">. </w:t>
      </w:r>
    </w:p>
    <w:p w14:paraId="27DB49DD" w14:textId="77777777" w:rsidR="009C7513" w:rsidRDefault="009C7513" w:rsidP="007E44BA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Kwalifikowalność wydatków:</w:t>
      </w:r>
    </w:p>
    <w:p w14:paraId="22AD6CDE" w14:textId="77777777" w:rsidR="009C7513" w:rsidRDefault="009C7513" w:rsidP="007E44BA">
      <w:pPr>
        <w:spacing w:after="120" w:line="276" w:lineRule="auto"/>
        <w:jc w:val="both"/>
      </w:pPr>
      <w:r>
        <w:t>Wydatki są kwalifikowalne na zasadach ogólnych, zgodnie z Artykułem 8.</w:t>
      </w:r>
      <w:r w:rsidRPr="002E44D8">
        <w:t>3</w:t>
      </w:r>
      <w:r w:rsidRPr="00302616">
        <w:rPr>
          <w:i/>
        </w:rPr>
        <w:t xml:space="preserve"> Regulacji w sprawie wdrażania Norweskiego Mechanizmu Finansowego na lata 2014-2021</w:t>
      </w:r>
      <w:r w:rsidR="00CA7B93" w:rsidRPr="00CA7B93">
        <w:t xml:space="preserve"> (dostępnych na stronie fundusze.mswia.gov.pl)</w:t>
      </w:r>
      <w:r w:rsidRPr="00CA7B93">
        <w:t>.</w:t>
      </w:r>
    </w:p>
    <w:p w14:paraId="7236425C" w14:textId="77777777" w:rsidR="009C7513" w:rsidRDefault="009C7513" w:rsidP="007E44BA">
      <w:pPr>
        <w:spacing w:after="120" w:line="276" w:lineRule="auto"/>
        <w:jc w:val="both"/>
      </w:pPr>
      <w:r>
        <w:t xml:space="preserve">W szczególności kwalifikowalne są poniższe </w:t>
      </w:r>
      <w:r w:rsidRPr="00451E11">
        <w:rPr>
          <w:b/>
        </w:rPr>
        <w:t>wydatki bezpośrednie</w:t>
      </w:r>
      <w:r>
        <w:t xml:space="preserve">, jeżeli spełniają kryteria podane </w:t>
      </w:r>
      <w:r w:rsidR="00E0388E">
        <w:t>w </w:t>
      </w:r>
      <w:r>
        <w:t>art.8.</w:t>
      </w:r>
      <w:r w:rsidR="00CA7B93">
        <w:t xml:space="preserve">3.1 </w:t>
      </w:r>
      <w:r>
        <w:rPr>
          <w:rStyle w:val="HTML-cytat"/>
        </w:rPr>
        <w:t>Regulacji</w:t>
      </w:r>
      <w:r>
        <w:t>:</w:t>
      </w:r>
    </w:p>
    <w:p w14:paraId="269CA8BA" w14:textId="77777777" w:rsidR="00737A2B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 xml:space="preserve">koszty personelu przydzielonego do projektu, zawierające faktyczne wynagrodzenia, składki </w:t>
      </w:r>
      <w:r w:rsidR="00E0388E">
        <w:rPr>
          <w:rFonts w:ascii="Calibri" w:hAnsi="Calibri" w:cs="Calibri"/>
        </w:rPr>
        <w:t>na </w:t>
      </w:r>
      <w:r w:rsidRPr="00C35ED9">
        <w:rPr>
          <w:rFonts w:ascii="Calibri" w:hAnsi="Calibri" w:cs="Calibri"/>
        </w:rPr>
        <w:t>ubezpieczenie społeczne i inne koszty ustawowe wchodzące w skład wynagrodzenia, pod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warunkiem, że są one zgodne ze standardowymi zasadami ustalania wynagrodzeń przez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beneficjenta i partnera projektu. Odpowiednie koszty wynagrodzeń personelu administracji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krajowej są kwalifikowalne w zakresie, w którym odnoszą się do kosztów działań, które nie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byłyby przeprowadzone, gdyby nie podjęto się wdrażania danego projektu</w:t>
      </w:r>
      <w:r w:rsidR="00737A2B">
        <w:rPr>
          <w:rFonts w:ascii="Calibri" w:hAnsi="Calibri" w:cs="Calibri"/>
        </w:rPr>
        <w:t>.</w:t>
      </w:r>
    </w:p>
    <w:p w14:paraId="6301B139" w14:textId="77777777" w:rsidR="00C35ED9" w:rsidRDefault="00737A2B" w:rsidP="00737A2B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 przypadku kosztów personelu możliwe jest tylko adekwatne zwiększenie tych kosztów w przypadku przedłużenia projektu. Nie jest możliwe dodanie kosztów personelu w przypadku projektów, które dotychczas ich nie przewidywały</w:t>
      </w:r>
      <w:r w:rsidR="009C7513" w:rsidRPr="00C35ED9">
        <w:rPr>
          <w:rFonts w:ascii="Calibri" w:hAnsi="Calibri" w:cs="Calibri"/>
        </w:rPr>
        <w:t>;</w:t>
      </w:r>
    </w:p>
    <w:p w14:paraId="52F8C6C0" w14:textId="77777777" w:rsidR="00C35ED9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koszty podróży i diety dla personelu uczestniczącego w projekcie. Uwzględniając zasadę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proporcjonalności, koszty podróży, włącznie z dietą, mogą być wyliczane jako ryczałt, na</w:t>
      </w:r>
      <w:r w:rsidR="00E0388E">
        <w:rPr>
          <w:rFonts w:ascii="Calibri" w:hAnsi="Calibri" w:cs="Calibri"/>
        </w:rPr>
        <w:t> </w:t>
      </w:r>
      <w:r w:rsidRPr="00C35ED9">
        <w:rPr>
          <w:rFonts w:ascii="Calibri" w:hAnsi="Calibri" w:cs="Calibri"/>
        </w:rPr>
        <w:t>podstawie określonych zasad zaakceptowanych przez Operatora Programu;</w:t>
      </w:r>
    </w:p>
    <w:p w14:paraId="2CED94EF" w14:textId="77777777" w:rsidR="009C7513" w:rsidRPr="00E0388E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 nowego lub używanego sprzętu. Gdy Operator Programu stwierdzi, że sprzęt stanowi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integralny i niezbędny element umożliwiający osiągnięcie celów projektu, kwalifikowalna może</w:t>
      </w:r>
      <w:r w:rsidR="00E0388E">
        <w:rPr>
          <w:rFonts w:ascii="Calibri" w:hAnsi="Calibri" w:cs="Calibri"/>
        </w:rPr>
        <w:t xml:space="preserve"> </w:t>
      </w:r>
      <w:r w:rsidRPr="00E0388E">
        <w:rPr>
          <w:rFonts w:ascii="Calibri" w:hAnsi="Calibri" w:cs="Calibri"/>
        </w:rPr>
        <w:t>być całkowita cena zakupu tego sprzętu - w drodze wyjątku od reguły zawartej w art. 8.2 ust.</w:t>
      </w:r>
      <w:r w:rsidR="0071473D">
        <w:rPr>
          <w:rFonts w:ascii="Calibri" w:hAnsi="Calibri" w:cs="Calibri"/>
        </w:rPr>
        <w:t> </w:t>
      </w:r>
      <w:r w:rsidRPr="00E0388E">
        <w:rPr>
          <w:rFonts w:ascii="Calibri" w:hAnsi="Calibri" w:cs="Calibri"/>
        </w:rPr>
        <w:t>4</w:t>
      </w:r>
      <w:r w:rsidR="00C96AB8">
        <w:rPr>
          <w:rFonts w:ascii="Calibri" w:hAnsi="Calibri" w:cs="Calibri"/>
        </w:rPr>
        <w:t xml:space="preserve"> Regulacji</w:t>
      </w:r>
      <w:r w:rsidRPr="00E0388E">
        <w:rPr>
          <w:rFonts w:ascii="Calibri" w:hAnsi="Calibri" w:cs="Calibri"/>
        </w:rPr>
        <w:t>;</w:t>
      </w:r>
    </w:p>
    <w:p w14:paraId="31775EDB" w14:textId="77777777" w:rsidR="009C7513" w:rsidRPr="009C7513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9C7513">
        <w:rPr>
          <w:rFonts w:ascii="Calibri" w:hAnsi="Calibri" w:cs="Calibri"/>
        </w:rPr>
        <w:t>zakup gruntów i nieruchomości na warunkach określonych w art. 8.6</w:t>
      </w:r>
      <w:r w:rsidR="00C96AB8">
        <w:rPr>
          <w:rFonts w:ascii="Calibri" w:hAnsi="Calibri" w:cs="Calibri"/>
        </w:rPr>
        <w:t xml:space="preserve"> Regulacji</w:t>
      </w:r>
      <w:r w:rsidRPr="009C7513">
        <w:rPr>
          <w:rFonts w:ascii="Calibri" w:hAnsi="Calibri" w:cs="Calibri"/>
        </w:rPr>
        <w:t>;</w:t>
      </w:r>
    </w:p>
    <w:p w14:paraId="4B7EBCB8" w14:textId="77777777" w:rsidR="00302616" w:rsidRPr="007E44BA" w:rsidRDefault="009C7513" w:rsidP="00924F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7E44BA">
        <w:rPr>
          <w:rFonts w:ascii="Calibri" w:hAnsi="Calibri" w:cs="Calibri"/>
        </w:rPr>
        <w:t>koszty materiałów eksploatacyjnych i dostaw, pod warunkiem, że są one możliwe do</w:t>
      </w:r>
      <w:r w:rsidR="007E44BA">
        <w:rPr>
          <w:rFonts w:ascii="Calibri" w:hAnsi="Calibri" w:cs="Calibri"/>
        </w:rPr>
        <w:t xml:space="preserve"> </w:t>
      </w:r>
      <w:r w:rsidRPr="007E44BA">
        <w:rPr>
          <w:rFonts w:ascii="Calibri" w:hAnsi="Calibri" w:cs="Calibri"/>
        </w:rPr>
        <w:t>zidentyfikowania i przypisane do projektu;</w:t>
      </w:r>
    </w:p>
    <w:p w14:paraId="581AAB6B" w14:textId="77777777" w:rsidR="00302616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302616">
        <w:rPr>
          <w:rFonts w:ascii="Calibri" w:hAnsi="Calibri" w:cs="Calibri"/>
        </w:rPr>
        <w:t>koszty wynikające z innych umów zawartych przez beneficjenta w celu wdrożenia projektu, pod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warunkiem, że ich zawarcie jest zgodne z obowiązującymi przepisami dotyczącymi zamówień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publicznych oraz niniejszymi Regulacjami;</w:t>
      </w:r>
    </w:p>
    <w:p w14:paraId="122F1A24" w14:textId="77777777" w:rsidR="009C7513" w:rsidRPr="00302616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bCs/>
        </w:rPr>
      </w:pPr>
      <w:r w:rsidRPr="00302616">
        <w:rPr>
          <w:rFonts w:ascii="Calibri" w:hAnsi="Calibri" w:cs="Calibri"/>
        </w:rPr>
        <w:t xml:space="preserve">koszty wynikające bezpośrednio z wymogów nałożonych umową w sprawie projektu </w:t>
      </w:r>
      <w:r w:rsidR="00E0388E">
        <w:rPr>
          <w:rFonts w:ascii="Calibri" w:hAnsi="Calibri" w:cs="Calibri"/>
        </w:rPr>
        <w:t>dla </w:t>
      </w:r>
      <w:r w:rsidRPr="00302616">
        <w:rPr>
          <w:rFonts w:ascii="Calibri" w:hAnsi="Calibri" w:cs="Calibri"/>
        </w:rPr>
        <w:t>każdego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projektu.</w:t>
      </w:r>
    </w:p>
    <w:p w14:paraId="340A8AA1" w14:textId="45A320A6" w:rsidR="007B0F55" w:rsidRDefault="007B0F55" w:rsidP="007B0F55">
      <w:pPr>
        <w:autoSpaceDE w:val="0"/>
        <w:autoSpaceDN w:val="0"/>
        <w:adjustRightInd w:val="0"/>
        <w:spacing w:after="120" w:line="276" w:lineRule="auto"/>
        <w:jc w:val="both"/>
      </w:pPr>
      <w:r>
        <w:t>Za wydatki kwalifikowalne uznaje się także wydatki pośrednie, tj. wszystkie koszty, które nie mogą być precyzyjnie wskazane przez beneficjenta i/lub partnera projekt</w:t>
      </w:r>
      <w:r w:rsidR="000926F4">
        <w:t>u, jako bezpośrednio związane z </w:t>
      </w:r>
      <w:r>
        <w:t xml:space="preserve">projektem, ale które można wskazać i uzasadnić w ramach systemu rachunkowości, jako poniesione bezpośrednio w związku z bezpośrednimi kosztami kwalifikowalnymi projektu. Metody wykazania kosztów pośrednich określone są w art. 8.5 pkt. 1 </w:t>
      </w:r>
      <w:proofErr w:type="spellStart"/>
      <w:r>
        <w:t>ppkt</w:t>
      </w:r>
      <w:proofErr w:type="spellEnd"/>
      <w:r>
        <w:t xml:space="preserve">.  a), b), c) oraz e) Regulacji. W ramach </w:t>
      </w:r>
      <w:r w:rsidR="00512264">
        <w:t xml:space="preserve">procedury </w:t>
      </w:r>
      <w:r>
        <w:t xml:space="preserve">nie przewidziano możliwości wykazania kosztów pośrednich poprzez metodę wskazaną w art. 8.5 pkt. 1 </w:t>
      </w:r>
      <w:proofErr w:type="spellStart"/>
      <w:r>
        <w:t>ppkt</w:t>
      </w:r>
      <w:proofErr w:type="spellEnd"/>
      <w:r>
        <w:t xml:space="preserve"> d).</w:t>
      </w:r>
    </w:p>
    <w:p w14:paraId="13751B22" w14:textId="1E4798A7" w:rsidR="0095303D" w:rsidRPr="00CD03FC" w:rsidRDefault="007B0F55" w:rsidP="007B0F55">
      <w:pPr>
        <w:autoSpaceDE w:val="0"/>
        <w:autoSpaceDN w:val="0"/>
        <w:adjustRightInd w:val="0"/>
        <w:spacing w:after="120" w:line="276" w:lineRule="auto"/>
        <w:jc w:val="both"/>
        <w:rPr>
          <w:sz w:val="24"/>
        </w:rPr>
      </w:pPr>
      <w:r>
        <w:t>Szczegółowy sposób wyliczania kosztów pośrednich oraz wszystkie inne informacje nt. kwalifikowalności wydatków, procedur dotyczących sprawozdawczości i płatności, dokumentowania wydatków, w tym informacje dot. rozliczania i przepływów finansowych w projektach z partnerami zagranicznymi znajdują się w Wytycznych dla Beneficjentów Programu Sprawy wewnętrzne Norweskiego Mechanizmu Finansowego 2014-2021 (Załącznik nr 2 do Ogłoszenia).</w:t>
      </w:r>
    </w:p>
    <w:p w14:paraId="0E9E9643" w14:textId="77777777" w:rsidR="0095303D" w:rsidRDefault="00740380" w:rsidP="007E44BA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Ujęcie wydatku w budżecie projektu nie jest uznawane za potwierdzenie kwalifikowalności tego wydatku.</w:t>
      </w:r>
    </w:p>
    <w:p w14:paraId="74F73093" w14:textId="77777777" w:rsidR="00B53F1C" w:rsidRDefault="00B53F1C" w:rsidP="004D48C6">
      <w:pPr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Założenia</w:t>
      </w:r>
    </w:p>
    <w:p w14:paraId="4A0F65FF" w14:textId="77777777" w:rsidR="006D3982" w:rsidRDefault="006D3982" w:rsidP="004D48C6">
      <w:pPr>
        <w:spacing w:after="120" w:line="276" w:lineRule="auto"/>
        <w:jc w:val="both"/>
      </w:pPr>
      <w:r>
        <w:t>Dokonując oceny złożonych wniosków o dodatkowe środki OP będzie przede wszystkim brał pod uwagę:</w:t>
      </w:r>
    </w:p>
    <w:p w14:paraId="4BC8C55F" w14:textId="10A03B93" w:rsidR="006D3982" w:rsidRDefault="009539A6" w:rsidP="000926F4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Zmniejszanie ryzyka nieosiągnięcia celów Programu/projektu – OP oceni, czy niezrealizowanie działań zaproponowanych w ramach dodatkowych środków będzie miało negatywny wpływ na osiągnięcie celów Programu/projektu,</w:t>
      </w:r>
    </w:p>
    <w:p w14:paraId="2F9F09FB" w14:textId="2BC02A1B" w:rsidR="007B0F55" w:rsidRDefault="006D3982" w:rsidP="000926F4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wpisywanie się dodatkowych działań w cele projektu</w:t>
      </w:r>
      <w:r w:rsidR="00697459">
        <w:t xml:space="preserve"> – środki mogą zostać przyznane tylko na działania, które wspierają realizację pierwotnego celu projektu</w:t>
      </w:r>
      <w:r>
        <w:t xml:space="preserve">, </w:t>
      </w:r>
    </w:p>
    <w:p w14:paraId="034E9D9B" w14:textId="1711DCC7" w:rsidR="00924FF2" w:rsidRDefault="006D3982" w:rsidP="00924FF2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lastRenderedPageBreak/>
        <w:t xml:space="preserve">wpływ na wskaźniki programowe – w przypadku nowych działań/zwiększenia skali działań dotychczasowych </w:t>
      </w:r>
      <w:r>
        <w:softHyphen/>
        <w:t>– dodatkowa punktacja będzie przyznawana wnioskom, które zwiększą realizację wskaźników programowych i bilateralnych</w:t>
      </w:r>
      <w:r w:rsidR="000926F4">
        <w:t>,</w:t>
      </w:r>
    </w:p>
    <w:p w14:paraId="27F877FF" w14:textId="00E20037" w:rsidR="009539A6" w:rsidRDefault="009539A6" w:rsidP="00924FF2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dotychczasowy stopień wydatkowania środków w ramach projektu i stopień rzeczowej realizacji projektu – dodatkowe środki powinny być przyznane na rzecz projektu, którego realizacja jest zaawansowana, aby zmniejszyć ryzyko ni</w:t>
      </w:r>
      <w:r w:rsidR="000926F4">
        <w:t>ewydatkowania środków w całości.</w:t>
      </w:r>
    </w:p>
    <w:p w14:paraId="7A00F85B" w14:textId="77777777" w:rsidR="00D35850" w:rsidRDefault="00D35850" w:rsidP="00924FF2">
      <w:pPr>
        <w:spacing w:after="120" w:line="276" w:lineRule="auto"/>
        <w:jc w:val="both"/>
      </w:pPr>
      <w:r>
        <w:t>Wniosek o dodatkowe środki może wprowadzać nowy wskaźnik</w:t>
      </w:r>
      <w:r w:rsidR="008B45B4">
        <w:t xml:space="preserve"> z listy wskaźników</w:t>
      </w:r>
      <w:r>
        <w:t xml:space="preserve"> programowy</w:t>
      </w:r>
      <w:r w:rsidR="008B45B4">
        <w:t>ch</w:t>
      </w:r>
      <w:r>
        <w:t xml:space="preserve"> i/lub bilateralny</w:t>
      </w:r>
      <w:r w:rsidR="008B45B4">
        <w:t>ch</w:t>
      </w:r>
      <w:r>
        <w:t>. Wskaźniki bilateralne dotyczą działań, które realizowane są z udziałem instytucji norweskich.</w:t>
      </w:r>
      <w:r w:rsidR="00924FF2">
        <w:t xml:space="preserve"> W związku z restrykcjami związanymi z pandemią COVID-19 i wybuchem wojny w Ukrainie zagrożone niewypełnienie</w:t>
      </w:r>
      <w:r w:rsidR="00CD28DA">
        <w:t>m</w:t>
      </w:r>
      <w:r w:rsidR="00924FF2">
        <w:t xml:space="preserve"> są następujące wskaźniki bilateralne:</w:t>
      </w:r>
    </w:p>
    <w:p w14:paraId="1244ABFB" w14:textId="77777777" w:rsidR="00924FF2" w:rsidRDefault="00924FF2" w:rsidP="00924FF2">
      <w:pPr>
        <w:pStyle w:val="Akapitzlist"/>
        <w:numPr>
          <w:ilvl w:val="0"/>
          <w:numId w:val="18"/>
        </w:numPr>
        <w:spacing w:after="120" w:line="276" w:lineRule="auto"/>
        <w:jc w:val="both"/>
      </w:pPr>
      <w:r w:rsidRPr="0095138F">
        <w:t>Liczba funkcjonariuszy i pracowników z Państwa-Beneficjenta biorących udział w działaniach realizowanych w Norwegii (z podziałem według płci)</w:t>
      </w:r>
    </w:p>
    <w:p w14:paraId="6F867C65" w14:textId="77777777" w:rsidR="00924FF2" w:rsidRDefault="00924FF2" w:rsidP="00924FF2">
      <w:pPr>
        <w:pStyle w:val="Akapitzlist"/>
        <w:numPr>
          <w:ilvl w:val="0"/>
          <w:numId w:val="18"/>
        </w:numPr>
        <w:spacing w:after="120" w:line="276" w:lineRule="auto"/>
        <w:jc w:val="both"/>
      </w:pPr>
      <w:r w:rsidRPr="0095138F">
        <w:t>Liczba pracowników z Państwa-Darczyńcy biorących udzia</w:t>
      </w:r>
      <w:r w:rsidR="006775AD">
        <w:t>ł w działaniach realizowanych w </w:t>
      </w:r>
      <w:r w:rsidRPr="0095138F">
        <w:t>Polsce min. przez 2 dni (z podziałem według płci)</w:t>
      </w:r>
    </w:p>
    <w:p w14:paraId="155F2215" w14:textId="77777777" w:rsidR="00924FF2" w:rsidRDefault="00924FF2" w:rsidP="00924FF2">
      <w:pPr>
        <w:spacing w:after="120" w:line="276" w:lineRule="auto"/>
        <w:jc w:val="both"/>
      </w:pPr>
      <w:r>
        <w:t xml:space="preserve">Operator Programu </w:t>
      </w:r>
      <w:r w:rsidR="006775AD">
        <w:t>sugeruje</w:t>
      </w:r>
      <w:r>
        <w:t>, aby Beneficjenci</w:t>
      </w:r>
      <w:r w:rsidR="006775AD">
        <w:t xml:space="preserve"> rozważyli dodatkowe działania uwzględniające jeden lub oba z powyższych wskaźników.</w:t>
      </w:r>
    </w:p>
    <w:p w14:paraId="7DAB4EF9" w14:textId="77777777" w:rsidR="0095138F" w:rsidRDefault="0095138F" w:rsidP="00D35850">
      <w:pPr>
        <w:spacing w:after="120" w:line="276" w:lineRule="auto"/>
        <w:jc w:val="both"/>
      </w:pPr>
      <w:r>
        <w:t>Lista wskaźników programowych: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5138F" w14:paraId="389D9E4C" w14:textId="77777777" w:rsidTr="00924FF2">
        <w:tc>
          <w:tcPr>
            <w:tcW w:w="3681" w:type="dxa"/>
          </w:tcPr>
          <w:p w14:paraId="3001B45F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Oczekiwane cele i rezultaty Programu</w:t>
            </w:r>
          </w:p>
        </w:tc>
        <w:tc>
          <w:tcPr>
            <w:tcW w:w="5386" w:type="dxa"/>
          </w:tcPr>
          <w:p w14:paraId="4C717B8D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Wskaźnik</w:t>
            </w:r>
          </w:p>
        </w:tc>
      </w:tr>
      <w:tr w:rsidR="00F07147" w:rsidRPr="00CC6BFA" w14:paraId="01D480D5" w14:textId="77777777" w:rsidTr="0095138F">
        <w:trPr>
          <w:trHeight w:val="992"/>
        </w:trPr>
        <w:tc>
          <w:tcPr>
            <w:tcW w:w="3681" w:type="dxa"/>
            <w:vMerge w:val="restart"/>
          </w:tcPr>
          <w:p w14:paraId="11CEADCB" w14:textId="77777777" w:rsidR="00F07147" w:rsidRDefault="00F07147" w:rsidP="00924FF2">
            <w:pPr>
              <w:jc w:val="both"/>
              <w:rPr>
                <w:b/>
              </w:rPr>
            </w:pPr>
            <w:r>
              <w:rPr>
                <w:b/>
              </w:rPr>
              <w:t>Rezultat 1</w:t>
            </w:r>
          </w:p>
          <w:p w14:paraId="40EDF29A" w14:textId="77777777" w:rsidR="00F07147" w:rsidRPr="00685676" w:rsidRDefault="00F07147" w:rsidP="00924FF2">
            <w:pPr>
              <w:jc w:val="both"/>
            </w:pPr>
            <w:r w:rsidRPr="00685676">
              <w:t>Zwiększona skuteczność polskich służb ścigania</w:t>
            </w:r>
          </w:p>
        </w:tc>
        <w:tc>
          <w:tcPr>
            <w:tcW w:w="5386" w:type="dxa"/>
          </w:tcPr>
          <w:p w14:paraId="0380DE15" w14:textId="77777777" w:rsidR="00F07147" w:rsidRPr="00DC32DA" w:rsidRDefault="00F07147" w:rsidP="00924FF2">
            <w:pPr>
              <w:jc w:val="both"/>
            </w:pPr>
            <w:r w:rsidRPr="00DC32DA">
              <w:t>Liczba funkcjonariuszy przeszkolonych</w:t>
            </w:r>
            <w:r>
              <w:t xml:space="preserve"> w </w:t>
            </w:r>
            <w:r w:rsidRPr="00DC32DA">
              <w:t>zakresie zapobiegania przestępczości</w:t>
            </w:r>
            <w:r>
              <w:t xml:space="preserve"> i </w:t>
            </w:r>
            <w:r w:rsidRPr="00DC32DA">
              <w:t>dochodzeń (z podziałem według płci)</w:t>
            </w:r>
          </w:p>
        </w:tc>
      </w:tr>
      <w:tr w:rsidR="00F07147" w:rsidRPr="00CC6BFA" w14:paraId="35BD1ACC" w14:textId="77777777" w:rsidTr="0095138F">
        <w:trPr>
          <w:trHeight w:val="992"/>
        </w:trPr>
        <w:tc>
          <w:tcPr>
            <w:tcW w:w="3681" w:type="dxa"/>
            <w:vMerge/>
          </w:tcPr>
          <w:p w14:paraId="505F1D81" w14:textId="77777777" w:rsidR="00F07147" w:rsidRDefault="00F07147" w:rsidP="00924FF2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6BFBCB8F" w14:textId="77777777" w:rsidR="00F07147" w:rsidRPr="00DC32DA" w:rsidRDefault="00F07147" w:rsidP="00924FF2">
            <w:pPr>
              <w:jc w:val="both"/>
            </w:pPr>
            <w:r w:rsidRPr="00F07147">
              <w:t>Liczba instytucji, w tym Regionalnych Laboratoriów Kryminalistycznych Policji, posiadających wysoko wyspecjalizowany sprzęt</w:t>
            </w:r>
          </w:p>
        </w:tc>
      </w:tr>
      <w:tr w:rsidR="0095138F" w:rsidRPr="00A7313A" w14:paraId="2BFB5F8A" w14:textId="77777777" w:rsidTr="0095138F">
        <w:trPr>
          <w:trHeight w:val="526"/>
        </w:trPr>
        <w:tc>
          <w:tcPr>
            <w:tcW w:w="3681" w:type="dxa"/>
            <w:vMerge w:val="restart"/>
          </w:tcPr>
          <w:p w14:paraId="32B9C2AD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Rezultat 2</w:t>
            </w:r>
          </w:p>
          <w:p w14:paraId="1B6E3407" w14:textId="77777777" w:rsidR="0095138F" w:rsidRPr="00DC32DA" w:rsidRDefault="0095138F" w:rsidP="00924FF2">
            <w:pPr>
              <w:jc w:val="both"/>
            </w:pPr>
            <w:r>
              <w:t>Z</w:t>
            </w:r>
            <w:r w:rsidRPr="00DC32DA">
              <w:t>większon</w:t>
            </w:r>
            <w:r>
              <w:t>a</w:t>
            </w:r>
            <w:r w:rsidRPr="00DC32DA">
              <w:t xml:space="preserve"> skutecznoś</w:t>
            </w:r>
            <w:r>
              <w:t>ć</w:t>
            </w:r>
            <w:r w:rsidRPr="00DC32DA">
              <w:t xml:space="preserve"> współpracy międzynarodowej pomiędzy organami ścigania</w:t>
            </w:r>
          </w:p>
        </w:tc>
        <w:tc>
          <w:tcPr>
            <w:tcW w:w="5386" w:type="dxa"/>
          </w:tcPr>
          <w:p w14:paraId="6DCEA777" w14:textId="77777777" w:rsidR="0095138F" w:rsidRPr="00DC32DA" w:rsidRDefault="0095138F" w:rsidP="00924FF2">
            <w:pPr>
              <w:jc w:val="both"/>
            </w:pPr>
            <w:r w:rsidRPr="00A03EEB">
              <w:t>Liczba zaangażowanych instytucji zagranicznych</w:t>
            </w:r>
          </w:p>
        </w:tc>
      </w:tr>
      <w:tr w:rsidR="0095138F" w:rsidRPr="00CC6BFA" w14:paraId="160CECC2" w14:textId="77777777" w:rsidTr="0095138F">
        <w:trPr>
          <w:trHeight w:val="547"/>
        </w:trPr>
        <w:tc>
          <w:tcPr>
            <w:tcW w:w="3681" w:type="dxa"/>
            <w:vMerge/>
          </w:tcPr>
          <w:p w14:paraId="658D0CC5" w14:textId="77777777" w:rsidR="0095138F" w:rsidRDefault="0095138F" w:rsidP="00924FF2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6F2FC106" w14:textId="77777777" w:rsidR="0095138F" w:rsidRPr="00DC32DA" w:rsidRDefault="0095138F" w:rsidP="00924FF2">
            <w:pPr>
              <w:jc w:val="both"/>
            </w:pPr>
            <w:r w:rsidRPr="00DC32DA">
              <w:t>Liczba wizyt studyjnych</w:t>
            </w:r>
            <w:r>
              <w:t xml:space="preserve"> w </w:t>
            </w:r>
            <w:r w:rsidRPr="00DC32DA">
              <w:t>ramach projektu</w:t>
            </w:r>
          </w:p>
        </w:tc>
      </w:tr>
    </w:tbl>
    <w:p w14:paraId="08E37F69" w14:textId="77777777" w:rsidR="0095138F" w:rsidRDefault="0095138F" w:rsidP="00D35850">
      <w:pPr>
        <w:spacing w:after="120" w:line="276" w:lineRule="auto"/>
        <w:jc w:val="both"/>
      </w:pPr>
    </w:p>
    <w:p w14:paraId="1A9B83B6" w14:textId="77777777" w:rsidR="0095138F" w:rsidRDefault="0095138F" w:rsidP="001C060C">
      <w:pPr>
        <w:keepNext/>
        <w:spacing w:after="120" w:line="276" w:lineRule="auto"/>
        <w:jc w:val="both"/>
      </w:pPr>
      <w:r>
        <w:t>Lista wskaźników bilateralnych</w:t>
      </w:r>
      <w:r w:rsidR="001C060C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5138F" w14:paraId="227DF85B" w14:textId="77777777" w:rsidTr="00924FF2">
        <w:tc>
          <w:tcPr>
            <w:tcW w:w="3681" w:type="dxa"/>
          </w:tcPr>
          <w:p w14:paraId="5B18A92B" w14:textId="77777777" w:rsidR="0095138F" w:rsidRDefault="0095138F" w:rsidP="001C060C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Oczekiwane cele i rezultaty Programu</w:t>
            </w:r>
          </w:p>
        </w:tc>
        <w:tc>
          <w:tcPr>
            <w:tcW w:w="5386" w:type="dxa"/>
          </w:tcPr>
          <w:p w14:paraId="5C1EBE78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Wskaźnik</w:t>
            </w:r>
          </w:p>
        </w:tc>
      </w:tr>
      <w:tr w:rsidR="001C060C" w14:paraId="7842D9E6" w14:textId="77777777" w:rsidTr="00924FF2">
        <w:tc>
          <w:tcPr>
            <w:tcW w:w="3681" w:type="dxa"/>
          </w:tcPr>
          <w:p w14:paraId="55AD9113" w14:textId="77777777" w:rsidR="001C060C" w:rsidRPr="008B2D0A" w:rsidRDefault="001C060C" w:rsidP="0095138F">
            <w:pPr>
              <w:jc w:val="both"/>
              <w:rPr>
                <w:b/>
              </w:rPr>
            </w:pPr>
            <w:r w:rsidRPr="008B2D0A">
              <w:rPr>
                <w:b/>
              </w:rPr>
              <w:t>Rezultat</w:t>
            </w:r>
          </w:p>
          <w:p w14:paraId="7EA373D2" w14:textId="77777777" w:rsidR="001C060C" w:rsidRDefault="001C060C" w:rsidP="0095138F">
            <w:pPr>
              <w:jc w:val="both"/>
              <w:rPr>
                <w:b/>
              </w:rPr>
            </w:pPr>
            <w:r>
              <w:t>Budowanie potencjału w celu wzmocnienia praworządności</w:t>
            </w:r>
          </w:p>
        </w:tc>
        <w:tc>
          <w:tcPr>
            <w:tcW w:w="5386" w:type="dxa"/>
          </w:tcPr>
          <w:p w14:paraId="5F9F2B09" w14:textId="77777777" w:rsidR="001C060C" w:rsidRDefault="001C060C" w:rsidP="0095138F">
            <w:pPr>
              <w:jc w:val="both"/>
              <w:rPr>
                <w:b/>
              </w:rPr>
            </w:pPr>
            <w:r>
              <w:t>Liczba seminariów, szkoleń i warsztatów między polskimi i norweskimi organami ścigania</w:t>
            </w:r>
          </w:p>
        </w:tc>
      </w:tr>
      <w:tr w:rsidR="001C060C" w:rsidRPr="00CC6BFA" w14:paraId="37BB8AFA" w14:textId="77777777" w:rsidTr="0095138F">
        <w:trPr>
          <w:trHeight w:val="204"/>
        </w:trPr>
        <w:tc>
          <w:tcPr>
            <w:tcW w:w="3681" w:type="dxa"/>
          </w:tcPr>
          <w:p w14:paraId="37AE4065" w14:textId="77777777" w:rsidR="001C060C" w:rsidRDefault="001C060C" w:rsidP="0095138F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32E935A3" w14:textId="77777777" w:rsidR="001C060C" w:rsidRPr="008B2D0A" w:rsidRDefault="001C060C" w:rsidP="0095138F">
            <w:r w:rsidRPr="0095138F">
              <w:t>Liczba funkcjonariuszy i pracowników z Państwa-Beneficjenta biorących udział w działaniach realizowanych w Norwegii (z podziałem według płci)</w:t>
            </w:r>
          </w:p>
        </w:tc>
      </w:tr>
      <w:tr w:rsidR="001C060C" w:rsidRPr="00CC6BFA" w14:paraId="3B4C0BC8" w14:textId="77777777" w:rsidTr="0095138F">
        <w:trPr>
          <w:trHeight w:val="202"/>
        </w:trPr>
        <w:tc>
          <w:tcPr>
            <w:tcW w:w="3681" w:type="dxa"/>
          </w:tcPr>
          <w:p w14:paraId="30CF6DB7" w14:textId="77777777" w:rsidR="001C060C" w:rsidRPr="008B2D0A" w:rsidRDefault="001C060C" w:rsidP="0095138F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20B0D79B" w14:textId="77777777" w:rsidR="001C060C" w:rsidRPr="008B2D0A" w:rsidRDefault="00924FF2" w:rsidP="0095138F">
            <w:r w:rsidRPr="0095138F">
              <w:t>Liczba pracowników z Państwa-Darczyńcy biorących udział w działaniach realizowanych w Polsce min. przez 2 dni (z podziałem według płci)</w:t>
            </w:r>
          </w:p>
        </w:tc>
      </w:tr>
    </w:tbl>
    <w:p w14:paraId="6F6CD384" w14:textId="77777777" w:rsidR="0095138F" w:rsidRDefault="0095138F" w:rsidP="00D35850">
      <w:pPr>
        <w:spacing w:after="120" w:line="276" w:lineRule="auto"/>
        <w:jc w:val="both"/>
      </w:pPr>
    </w:p>
    <w:p w14:paraId="3CFB6351" w14:textId="77777777" w:rsidR="00BD0F40" w:rsidRPr="00BD0F40" w:rsidRDefault="006D3982" w:rsidP="004D48C6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wpływ na proporcję wydatków inwestycyjnych</w:t>
      </w:r>
      <w:r w:rsidRPr="00340DE7">
        <w:rPr>
          <w:rStyle w:val="Odwoanieprzypisudolnego"/>
        </w:rPr>
        <w:footnoteReference w:id="1"/>
      </w:r>
      <w:r>
        <w:t xml:space="preserve"> (60/40) w Programie – OP będzie badał wpływ dodatkowych działań na zachowanie proporcji w rama</w:t>
      </w:r>
      <w:r w:rsidR="00B24C06">
        <w:t>ch całego Programu. Proporcja w </w:t>
      </w:r>
      <w:r>
        <w:t xml:space="preserve">ramach projektu może zostać przekroczona, o ile jest to uzasadnione celami projektu – OP będzie analizował każdy przypadek </w:t>
      </w:r>
      <w:r w:rsidR="00B24C06">
        <w:t>indywidualnie</w:t>
      </w:r>
      <w:r>
        <w:t>.</w:t>
      </w:r>
    </w:p>
    <w:p w14:paraId="131DF7B7" w14:textId="097ECF0C" w:rsidR="00737A2B" w:rsidRDefault="00F24015" w:rsidP="007E44BA">
      <w:pPr>
        <w:spacing w:after="120" w:line="276" w:lineRule="auto"/>
        <w:jc w:val="both"/>
      </w:pPr>
      <w:r w:rsidRPr="004C0ADB">
        <w:rPr>
          <w:b/>
          <w:bCs/>
        </w:rPr>
        <w:t>Data kwalifikowalności</w:t>
      </w:r>
      <w:r w:rsidR="00503B50" w:rsidRPr="004C0ADB">
        <w:rPr>
          <w:b/>
          <w:bCs/>
        </w:rPr>
        <w:t xml:space="preserve"> wydatków</w:t>
      </w:r>
      <w:r w:rsidRPr="004C0ADB">
        <w:rPr>
          <w:b/>
          <w:bCs/>
        </w:rPr>
        <w:t>:</w:t>
      </w:r>
      <w:r w:rsidRPr="004C0ADB">
        <w:t xml:space="preserve"> </w:t>
      </w:r>
      <w:r w:rsidR="00CA7B93" w:rsidRPr="004C0ADB">
        <w:t xml:space="preserve">Nie będą </w:t>
      </w:r>
      <w:r w:rsidR="00512264">
        <w:t>kwalifikowalne</w:t>
      </w:r>
      <w:r w:rsidR="00512264" w:rsidRPr="004C0ADB">
        <w:t xml:space="preserve"> </w:t>
      </w:r>
      <w:r w:rsidR="00CA7B93" w:rsidRPr="004C0ADB">
        <w:t xml:space="preserve">wydatki poniesione po </w:t>
      </w:r>
      <w:r w:rsidRPr="004C0ADB">
        <w:t xml:space="preserve">30 kwietnia </w:t>
      </w:r>
      <w:r w:rsidR="00E46276">
        <w:t>2024 </w:t>
      </w:r>
      <w:r w:rsidRPr="004C0ADB">
        <w:t>roku.</w:t>
      </w:r>
      <w:r w:rsidR="004D48C6">
        <w:t xml:space="preserve"> </w:t>
      </w:r>
      <w:r w:rsidR="00737A2B">
        <w:t>Zgodnie z zapisami art. 8.2.3 Regulacji w drodze wyjątku wydatek uznaje się za poniesiony w okresie kwalifikowalności, jeżeli został on zafakturowany i zapłacony do dnia 30 kwietnia 2024 r., a przedmiot został dostarczony (w przypadku dostaw) lub wykonany (w przypadku usług i robót budowlanych) do dnia 31 grudnia 2024 r.</w:t>
      </w:r>
    </w:p>
    <w:p w14:paraId="7FB4E06C" w14:textId="77777777" w:rsidR="00F24015" w:rsidRPr="00930772" w:rsidRDefault="004D48C6" w:rsidP="007E44BA">
      <w:pPr>
        <w:spacing w:after="120" w:line="276" w:lineRule="auto"/>
        <w:jc w:val="both"/>
      </w:pPr>
      <w:r>
        <w:t>Wniosek o dodatkowe środki będzie traktowany jako wniosek o przedłu</w:t>
      </w:r>
      <w:r w:rsidR="00737A2B">
        <w:t>żenie projektu, jeśli zgodnie z </w:t>
      </w:r>
      <w:r>
        <w:t>nim data zakończenia projektu będzie późniejsza niż data wynikająca z ostatniej zaakceptowanej fiszy projektu. OP przeanalizuje ryzyko związane z przedłużeniem projektu na etapie oceny wniosku.</w:t>
      </w:r>
    </w:p>
    <w:p w14:paraId="5912913C" w14:textId="39615A16" w:rsidR="0095303D" w:rsidRDefault="002F69DD" w:rsidP="007E44BA">
      <w:pPr>
        <w:spacing w:after="120" w:line="276" w:lineRule="auto"/>
        <w:jc w:val="both"/>
      </w:pPr>
      <w:r w:rsidRPr="00930772">
        <w:rPr>
          <w:b/>
          <w:bCs/>
        </w:rPr>
        <w:t xml:space="preserve">Termin składania </w:t>
      </w:r>
      <w:r>
        <w:rPr>
          <w:b/>
          <w:bCs/>
        </w:rPr>
        <w:t xml:space="preserve">wniosków: </w:t>
      </w:r>
      <w:r w:rsidRPr="00930772">
        <w:rPr>
          <w:b/>
          <w:bCs/>
        </w:rPr>
        <w:t xml:space="preserve"> </w:t>
      </w:r>
      <w:r w:rsidRPr="002F69DD">
        <w:rPr>
          <w:bCs/>
        </w:rPr>
        <w:t xml:space="preserve">do </w:t>
      </w:r>
      <w:r w:rsidR="00067F2D">
        <w:rPr>
          <w:bCs/>
        </w:rPr>
        <w:t xml:space="preserve">19 grudnia 2023 r. </w:t>
      </w:r>
      <w:r w:rsidR="00CA7B93">
        <w:rPr>
          <w:bCs/>
        </w:rPr>
        <w:t xml:space="preserve">(do godziny </w:t>
      </w:r>
      <w:r w:rsidR="001B2F85">
        <w:rPr>
          <w:bCs/>
        </w:rPr>
        <w:t>24</w:t>
      </w:r>
      <w:r w:rsidR="00067F2D">
        <w:rPr>
          <w:bCs/>
        </w:rPr>
        <w:t>:00).</w:t>
      </w:r>
      <w:r w:rsidR="004F203A">
        <w:rPr>
          <w:bCs/>
        </w:rPr>
        <w:t xml:space="preserve"> Termin składania wniosków jest ostateczny i nie będzie przedłużany.</w:t>
      </w:r>
      <w:bookmarkStart w:id="0" w:name="_GoBack"/>
      <w:bookmarkEnd w:id="0"/>
    </w:p>
    <w:p w14:paraId="385A8A55" w14:textId="6F7BEF05" w:rsidR="00C96AB8" w:rsidRDefault="00C96AB8" w:rsidP="007E44BA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Wniosek musi być przygotowany na formularzu stanowiącym Załącznik nr 1 do Ogłoszenia.</w:t>
      </w:r>
      <w:r w:rsidRPr="00C96AB8">
        <w:t xml:space="preserve"> </w:t>
      </w:r>
      <w:r>
        <w:t>W</w:t>
      </w:r>
      <w:r w:rsidR="00A42951">
        <w:t>e wniosku</w:t>
      </w:r>
      <w:r>
        <w:t xml:space="preserve"> muszą zostać również wskazani wszyscy konsultanci zaangażowani w przygotowanie wniosku.</w:t>
      </w:r>
      <w:r w:rsidR="009539A6">
        <w:t xml:space="preserve"> Budżet projektu musi zostać wypełniony w euro.</w:t>
      </w:r>
    </w:p>
    <w:p w14:paraId="0479A910" w14:textId="77777777" w:rsidR="00C96AB8" w:rsidRDefault="002F69DD" w:rsidP="007E44BA">
      <w:pPr>
        <w:spacing w:after="120" w:line="276" w:lineRule="auto"/>
        <w:jc w:val="both"/>
      </w:pPr>
      <w:r>
        <w:t xml:space="preserve">Wnioski </w:t>
      </w:r>
      <w:r w:rsidRPr="00930772">
        <w:t>należy złożyć w języku polskim</w:t>
      </w:r>
      <w:r>
        <w:t xml:space="preserve"> w</w:t>
      </w:r>
      <w:r w:rsidR="003B22E6">
        <w:t xml:space="preserve"> formie elektronicznej</w:t>
      </w:r>
      <w:r w:rsidR="00C96AB8">
        <w:t>:</w:t>
      </w:r>
    </w:p>
    <w:p w14:paraId="4A57778B" w14:textId="77777777" w:rsidR="00870F82" w:rsidRDefault="003B22E6" w:rsidP="004D48C6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>
        <w:t>na adres</w:t>
      </w:r>
      <w:r w:rsidR="007E44BA">
        <w:t xml:space="preserve"> mailowy </w:t>
      </w:r>
      <w:r>
        <w:t>COPE MSWiA</w:t>
      </w:r>
      <w:r w:rsidR="007E44BA">
        <w:t xml:space="preserve"> (nmf@copemswia.gov.pl)</w:t>
      </w:r>
      <w:r>
        <w:t xml:space="preserve"> w postaci skanów podpisanych dokumentów albo dokumentów elektronicznych podpisanych </w:t>
      </w:r>
      <w:r w:rsidR="008D77E0">
        <w:t>podpisem kwalifikowanym osoby upoważnionej</w:t>
      </w:r>
      <w:r w:rsidR="00870F82" w:rsidRPr="00364E32">
        <w:t xml:space="preserve">. </w:t>
      </w:r>
      <w:r w:rsidR="008D77E0">
        <w:t>Załącznikiem do wniosku musi być skan dokumentu poświadczającego umocowanie takiej osoby do reprezentowania wnioskodawcy</w:t>
      </w:r>
      <w:r w:rsidR="008D77E0">
        <w:rPr>
          <w:rStyle w:val="Odwoanieprzypisudolnego"/>
        </w:rPr>
        <w:footnoteReference w:id="2"/>
      </w:r>
      <w:r w:rsidR="00F52CCA">
        <w:t>. W przypadku skanów podpisanych dokumentów należy dołączyć wersję edytowalną wniosku,</w:t>
      </w:r>
    </w:p>
    <w:p w14:paraId="1891FA32" w14:textId="77777777" w:rsidR="00C96AB8" w:rsidRPr="00364E32" w:rsidRDefault="00C96AB8" w:rsidP="004D48C6">
      <w:pPr>
        <w:spacing w:after="120" w:line="276" w:lineRule="auto"/>
        <w:ind w:left="284"/>
        <w:jc w:val="both"/>
        <w:rPr>
          <w:rFonts w:cs="Arial"/>
        </w:rPr>
      </w:pPr>
      <w:r>
        <w:rPr>
          <w:rFonts w:cs="Arial"/>
        </w:rPr>
        <w:t>albo</w:t>
      </w:r>
    </w:p>
    <w:p w14:paraId="33381CD1" w14:textId="77777777" w:rsidR="0048703F" w:rsidRPr="00B94137" w:rsidRDefault="0048703F" w:rsidP="004D48C6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 w:rsidRPr="00C96AB8">
        <w:t>poprzez platformę EPUAP</w:t>
      </w:r>
      <w:r w:rsidRPr="0048703F">
        <w:t xml:space="preserve"> n</w:t>
      </w:r>
      <w:r>
        <w:t>a elektroniczn</w:t>
      </w:r>
      <w:r w:rsidR="008D77E0">
        <w:t>e</w:t>
      </w:r>
      <w:r>
        <w:t xml:space="preserve"> skrzynk</w:t>
      </w:r>
      <w:r w:rsidR="008D77E0">
        <w:t>i</w:t>
      </w:r>
      <w:r>
        <w:t xml:space="preserve"> podawcz</w:t>
      </w:r>
      <w:r w:rsidR="008D77E0">
        <w:t>e</w:t>
      </w:r>
      <w:r w:rsidRPr="0048703F">
        <w:t xml:space="preserve"> </w:t>
      </w:r>
      <w:r w:rsidRPr="00C96AB8">
        <w:t xml:space="preserve">Centrum Obsługi Projektów Europejskich Ministerstwa Spraw Wewnętrznych </w:t>
      </w:r>
      <w:r w:rsidR="00E0388E" w:rsidRPr="00C96AB8">
        <w:t>i</w:t>
      </w:r>
      <w:r w:rsidR="008D77E0">
        <w:t xml:space="preserve"> </w:t>
      </w:r>
      <w:r w:rsidRPr="00C96AB8">
        <w:t>Administracji</w:t>
      </w:r>
      <w:r w:rsidR="00697972" w:rsidRPr="00C96AB8">
        <w:t xml:space="preserve"> (adres: </w:t>
      </w:r>
      <w:r w:rsidR="00697972" w:rsidRPr="00B94137">
        <w:t>/COPEMSW/</w:t>
      </w:r>
      <w:proofErr w:type="spellStart"/>
      <w:r w:rsidR="00697972" w:rsidRPr="00B94137">
        <w:t>SkrytkaESP</w:t>
      </w:r>
      <w:proofErr w:type="spellEnd"/>
      <w:r w:rsidR="00697972" w:rsidRPr="00B94137">
        <w:t xml:space="preserve"> )</w:t>
      </w:r>
      <w:r w:rsidRPr="0048703F">
        <w:t>. Wnios</w:t>
      </w:r>
      <w:r w:rsidR="00396F3B">
        <w:t>e</w:t>
      </w:r>
      <w:r w:rsidRPr="0048703F">
        <w:t>k mus</w:t>
      </w:r>
      <w:r w:rsidR="00396F3B">
        <w:t>i</w:t>
      </w:r>
      <w:r w:rsidRPr="0048703F">
        <w:t xml:space="preserve"> zawierać podpis </w:t>
      </w:r>
      <w:r w:rsidR="00405706">
        <w:t xml:space="preserve">kwalifikowany </w:t>
      </w:r>
      <w:r w:rsidRPr="0048703F">
        <w:t>osoby upoważnionej</w:t>
      </w:r>
      <w:r w:rsidR="00396F3B">
        <w:t xml:space="preserve"> </w:t>
      </w:r>
      <w:r w:rsidR="00396F3B" w:rsidRPr="00364E32">
        <w:rPr>
          <w:rFonts w:cs="Arial"/>
        </w:rPr>
        <w:t xml:space="preserve">wraz </w:t>
      </w:r>
      <w:r w:rsidR="00396F3B" w:rsidRPr="00364E32">
        <w:t>z załączeniem oryginału lub kopii dokumentu poświadczającego umocowanie takiej osoby do reprezentowania wnioskodawcy</w:t>
      </w:r>
      <w:r w:rsidR="00960296">
        <w:rPr>
          <w:rStyle w:val="Odwoanieprzypisudolnego"/>
        </w:rPr>
        <w:footnoteReference w:id="3"/>
      </w:r>
      <w:r w:rsidR="00396F3B" w:rsidRPr="00364E32">
        <w:t>.</w:t>
      </w:r>
      <w:r w:rsidR="00B94137" w:rsidRPr="0048703F" w:rsidDel="00B94137">
        <w:t xml:space="preserve"> </w:t>
      </w:r>
    </w:p>
    <w:p w14:paraId="0AB650CD" w14:textId="77777777" w:rsidR="002F69DD" w:rsidRPr="00930772" w:rsidRDefault="002F69DD" w:rsidP="00B53F1C">
      <w:pPr>
        <w:keepNext/>
        <w:spacing w:after="120" w:line="276" w:lineRule="auto"/>
        <w:jc w:val="both"/>
      </w:pPr>
      <w:r w:rsidRPr="00A5012D">
        <w:rPr>
          <w:u w:val="single"/>
        </w:rPr>
        <w:lastRenderedPageBreak/>
        <w:t xml:space="preserve">Za datę wpływu do </w:t>
      </w:r>
      <w:r w:rsidR="00B7743C" w:rsidRPr="00A5012D">
        <w:rPr>
          <w:u w:val="single"/>
        </w:rPr>
        <w:t>COPE</w:t>
      </w:r>
      <w:r w:rsidR="00B94137" w:rsidRPr="00A5012D">
        <w:rPr>
          <w:u w:val="single"/>
        </w:rPr>
        <w:t xml:space="preserve"> MSWiA</w:t>
      </w:r>
      <w:r w:rsidRPr="00A5012D">
        <w:rPr>
          <w:u w:val="single"/>
        </w:rPr>
        <w:t xml:space="preserve"> uznaje się:</w:t>
      </w:r>
    </w:p>
    <w:p w14:paraId="0F4677E8" w14:textId="77777777" w:rsidR="00B80A37" w:rsidRDefault="00CA7B93" w:rsidP="004D48C6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284"/>
        <w:jc w:val="both"/>
      </w:pPr>
      <w:r w:rsidRPr="00364E32">
        <w:t>dat</w:t>
      </w:r>
      <w:r>
        <w:t>ę</w:t>
      </w:r>
      <w:r w:rsidRPr="00364E32">
        <w:t xml:space="preserve"> wpływu na adres skrzynki podawczej </w:t>
      </w:r>
      <w:r w:rsidR="00B7743C">
        <w:t>COPE</w:t>
      </w:r>
      <w:r w:rsidR="00B94137">
        <w:t xml:space="preserve"> MSWiA</w:t>
      </w:r>
      <w:r w:rsidRPr="00364E32">
        <w:t xml:space="preserve"> </w:t>
      </w:r>
      <w:r>
        <w:t xml:space="preserve">– </w:t>
      </w:r>
      <w:r w:rsidR="00B80A37" w:rsidRPr="00364E32">
        <w:t xml:space="preserve">w przypadku przesłania wniosku platformą </w:t>
      </w:r>
      <w:proofErr w:type="spellStart"/>
      <w:r w:rsidR="00B80A37" w:rsidRPr="00364E32">
        <w:t>ePUAP</w:t>
      </w:r>
      <w:proofErr w:type="spellEnd"/>
      <w:r>
        <w:t>.</w:t>
      </w:r>
    </w:p>
    <w:p w14:paraId="1D72B1EF" w14:textId="77777777" w:rsidR="008D77E0" w:rsidRPr="00364E32" w:rsidRDefault="008D77E0" w:rsidP="004D48C6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284"/>
        <w:jc w:val="both"/>
      </w:pPr>
      <w:r>
        <w:t>datę wpływu na adres skrzynki mailowej – w przypadku przesłania wniosku mailowo.</w:t>
      </w:r>
    </w:p>
    <w:p w14:paraId="5420EF92" w14:textId="77777777" w:rsidR="00E17300" w:rsidRPr="00E17300" w:rsidRDefault="00697972" w:rsidP="007E44BA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Ocena </w:t>
      </w:r>
      <w:r w:rsidR="00E17300" w:rsidRPr="00E17300">
        <w:rPr>
          <w:b/>
          <w:bCs/>
        </w:rPr>
        <w:t>projektów</w:t>
      </w:r>
      <w:r w:rsidR="00C33B75">
        <w:rPr>
          <w:b/>
          <w:bCs/>
        </w:rPr>
        <w:t>:</w:t>
      </w:r>
    </w:p>
    <w:p w14:paraId="0E939466" w14:textId="77777777" w:rsidR="00E17300" w:rsidRDefault="00E17300" w:rsidP="007E44BA">
      <w:pPr>
        <w:spacing w:after="120" w:line="276" w:lineRule="auto"/>
        <w:jc w:val="both"/>
        <w:rPr>
          <w:bCs/>
        </w:rPr>
      </w:pPr>
      <w:r w:rsidRPr="00EF1441">
        <w:rPr>
          <w:bCs/>
        </w:rPr>
        <w:t xml:space="preserve">Ocena projektów jest </w:t>
      </w:r>
      <w:r w:rsidR="003B22E6">
        <w:rPr>
          <w:bCs/>
        </w:rPr>
        <w:t>jednoetapowa</w:t>
      </w:r>
      <w:r w:rsidR="001258FD">
        <w:rPr>
          <w:bCs/>
        </w:rPr>
        <w:t xml:space="preserve"> (formalno-merytoryczna). Każdy wniosek jest</w:t>
      </w:r>
      <w:r w:rsidR="003B22E6">
        <w:rPr>
          <w:bCs/>
        </w:rPr>
        <w:t xml:space="preserve"> </w:t>
      </w:r>
      <w:r w:rsidR="001258FD">
        <w:rPr>
          <w:bCs/>
        </w:rPr>
        <w:t xml:space="preserve">oceniany </w:t>
      </w:r>
      <w:r w:rsidR="003B22E6">
        <w:rPr>
          <w:bCs/>
        </w:rPr>
        <w:t>przez dwóch ekspertów polskich – jednego przedstawiciela COPE MSWiA i jednego przedstawiciela DFE MSWiA.</w:t>
      </w:r>
    </w:p>
    <w:p w14:paraId="4EB0D728" w14:textId="77777777" w:rsidR="00D019AE" w:rsidRDefault="00E17300" w:rsidP="007E44BA">
      <w:pPr>
        <w:spacing w:after="120" w:line="276" w:lineRule="auto"/>
        <w:jc w:val="both"/>
      </w:pPr>
      <w:r w:rsidRPr="00EF1441">
        <w:rPr>
          <w:bCs/>
        </w:rPr>
        <w:t xml:space="preserve">W </w:t>
      </w:r>
      <w:r w:rsidR="008D77E0">
        <w:rPr>
          <w:bCs/>
        </w:rPr>
        <w:t>zakresie części kryteriów formalnych</w:t>
      </w:r>
      <w:r w:rsidR="007E44BA">
        <w:rPr>
          <w:bCs/>
        </w:rPr>
        <w:t xml:space="preserve"> (oznaczonych w arkuszu weryfikacji jako </w:t>
      </w:r>
      <w:r w:rsidR="007E44BA" w:rsidRPr="007E44BA">
        <w:rPr>
          <w:rStyle w:val="Hipercze"/>
          <w:i/>
          <w:color w:val="auto"/>
          <w:u w:val="none"/>
        </w:rPr>
        <w:t>KRYTERIA FORMALNE podlegające uzupełnieniu w trybie 3 dni roboczych</w:t>
      </w:r>
      <w:r w:rsidR="007E44BA" w:rsidRPr="007E44BA">
        <w:rPr>
          <w:bCs/>
          <w:i/>
        </w:rPr>
        <w:t>)</w:t>
      </w:r>
      <w:r w:rsidRPr="00EF1441">
        <w:rPr>
          <w:bCs/>
        </w:rPr>
        <w:t xml:space="preserve"> jest przewidziany tryb uzupełnień trwający </w:t>
      </w:r>
      <w:r w:rsidR="008D77E0">
        <w:rPr>
          <w:bCs/>
        </w:rPr>
        <w:t>3</w:t>
      </w:r>
      <w:r w:rsidR="00BB695B">
        <w:rPr>
          <w:bCs/>
        </w:rPr>
        <w:t xml:space="preserve"> dni robocz</w:t>
      </w:r>
      <w:r w:rsidR="008D77E0">
        <w:rPr>
          <w:bCs/>
        </w:rPr>
        <w:t>e</w:t>
      </w:r>
      <w:r w:rsidRPr="00EF1441">
        <w:rPr>
          <w:bCs/>
        </w:rPr>
        <w:t>.</w:t>
      </w:r>
      <w:r w:rsidR="00D019AE">
        <w:rPr>
          <w:bCs/>
        </w:rPr>
        <w:t xml:space="preserve"> </w:t>
      </w:r>
      <w:r w:rsidR="00D019AE" w:rsidRPr="00EF1441">
        <w:rPr>
          <w:bCs/>
        </w:rPr>
        <w:t xml:space="preserve">Wyłącznie </w:t>
      </w:r>
      <w:r w:rsidR="008D77E0">
        <w:rPr>
          <w:bCs/>
        </w:rPr>
        <w:t>wnioski</w:t>
      </w:r>
      <w:r w:rsidR="00D019AE" w:rsidRPr="00EF1441">
        <w:rPr>
          <w:bCs/>
        </w:rPr>
        <w:t xml:space="preserve">, które spełnią wszystkie kryteria formalne </w:t>
      </w:r>
      <w:r w:rsidR="008D77E0">
        <w:rPr>
          <w:bCs/>
        </w:rPr>
        <w:t xml:space="preserve">mogą być brane pod uwagę przy </w:t>
      </w:r>
      <w:r w:rsidR="001258FD">
        <w:rPr>
          <w:bCs/>
        </w:rPr>
        <w:t>podziale środków</w:t>
      </w:r>
      <w:r w:rsidR="00D019AE" w:rsidRPr="00EF1441">
        <w:rPr>
          <w:bCs/>
        </w:rPr>
        <w:t>.</w:t>
      </w:r>
      <w:r w:rsidR="00D019AE">
        <w:rPr>
          <w:bCs/>
        </w:rPr>
        <w:t xml:space="preserve"> </w:t>
      </w:r>
    </w:p>
    <w:p w14:paraId="713B0C05" w14:textId="008D87A2" w:rsidR="00D22638" w:rsidRDefault="007E44BA" w:rsidP="007E44BA">
      <w:pPr>
        <w:spacing w:after="120" w:line="276" w:lineRule="auto"/>
        <w:jc w:val="both"/>
        <w:rPr>
          <w:rFonts w:ascii="Calibri" w:hAnsi="Calibri" w:cs="Calibri"/>
          <w:color w:val="010101"/>
        </w:rPr>
      </w:pPr>
      <w:r>
        <w:rPr>
          <w:bCs/>
        </w:rPr>
        <w:t xml:space="preserve">Kryteria merytoryczne są stopniowalne. Każdy wniosek może uzyskać łącznie </w:t>
      </w:r>
      <w:r w:rsidR="00067F2D">
        <w:rPr>
          <w:bCs/>
        </w:rPr>
        <w:t xml:space="preserve">20 </w:t>
      </w:r>
      <w:r>
        <w:rPr>
          <w:bCs/>
        </w:rPr>
        <w:t xml:space="preserve">pkt w ramach tych kryteriów. </w:t>
      </w:r>
      <w:r w:rsidR="0082099F">
        <w:rPr>
          <w:bCs/>
        </w:rPr>
        <w:t xml:space="preserve">Z dwóch ocen dokonanych przez ekspertów wyciąga się średnią. OP biorąc pod uwagę średnie oceny każdego wniosku sporządza listę rankingową, która zostanie </w:t>
      </w:r>
      <w:r w:rsidR="00875CE0" w:rsidRPr="00875CE0">
        <w:rPr>
          <w:bCs/>
        </w:rPr>
        <w:t xml:space="preserve">przedłożona Komitetowi </w:t>
      </w:r>
      <w:r w:rsidR="00F52CCA">
        <w:rPr>
          <w:bCs/>
        </w:rPr>
        <w:t>Współpracy</w:t>
      </w:r>
      <w:r w:rsidR="0082099F">
        <w:rPr>
          <w:bCs/>
        </w:rPr>
        <w:t>.</w:t>
      </w:r>
    </w:p>
    <w:p w14:paraId="01490AA4" w14:textId="77777777" w:rsidR="000A59B2" w:rsidRDefault="00CA7B93" w:rsidP="007E44BA">
      <w:pPr>
        <w:spacing w:after="120" w:line="276" w:lineRule="auto"/>
        <w:jc w:val="both"/>
        <w:rPr>
          <w:rStyle w:val="HTML-cytat"/>
        </w:rPr>
      </w:pPr>
      <w:r w:rsidRPr="005D1B02">
        <w:rPr>
          <w:bCs/>
        </w:rPr>
        <w:t>Ostateczn</w:t>
      </w:r>
      <w:r>
        <w:rPr>
          <w:bCs/>
        </w:rPr>
        <w:t>a</w:t>
      </w:r>
      <w:r w:rsidRPr="005D1B02">
        <w:rPr>
          <w:bCs/>
        </w:rPr>
        <w:t xml:space="preserve"> rekomendacj</w:t>
      </w:r>
      <w:r>
        <w:rPr>
          <w:bCs/>
        </w:rPr>
        <w:t>a</w:t>
      </w:r>
      <w:r w:rsidRPr="005D1B02">
        <w:rPr>
          <w:bCs/>
        </w:rPr>
        <w:t xml:space="preserve"> </w:t>
      </w:r>
      <w:r w:rsidR="00D22638" w:rsidRPr="005D1B02">
        <w:rPr>
          <w:bCs/>
        </w:rPr>
        <w:t xml:space="preserve">projektów do dofinansowania </w:t>
      </w:r>
      <w:r>
        <w:rPr>
          <w:bCs/>
        </w:rPr>
        <w:t xml:space="preserve">powinna zostać zaakceptowana przez </w:t>
      </w:r>
      <w:r w:rsidR="00B65258" w:rsidRPr="00B65258">
        <w:rPr>
          <w:rStyle w:val="HTML-cytat"/>
        </w:rPr>
        <w:t>Międzyresortowy Zespół ds. Europejskich Funduszy Spraw Wewnętrznych</w:t>
      </w:r>
      <w:r>
        <w:rPr>
          <w:rStyle w:val="HTML-cytat"/>
        </w:rPr>
        <w:t xml:space="preserve"> </w:t>
      </w:r>
      <w:r w:rsidR="00755F05">
        <w:rPr>
          <w:rStyle w:val="HTML-cytat"/>
          <w:i w:val="0"/>
        </w:rPr>
        <w:t xml:space="preserve">w drodze </w:t>
      </w:r>
      <w:r w:rsidR="00875CE0">
        <w:rPr>
          <w:rStyle w:val="HTML-cytat"/>
          <w:i w:val="0"/>
        </w:rPr>
        <w:t>uchwały</w:t>
      </w:r>
      <w:r w:rsidR="00EB1AE5" w:rsidRPr="005D1B02">
        <w:rPr>
          <w:rStyle w:val="HTML-cytat"/>
        </w:rPr>
        <w:t>.</w:t>
      </w:r>
      <w:r w:rsidR="000A59B2">
        <w:rPr>
          <w:rStyle w:val="HTML-cytat"/>
        </w:rPr>
        <w:t xml:space="preserve"> </w:t>
      </w:r>
    </w:p>
    <w:p w14:paraId="6A29DB91" w14:textId="77777777" w:rsidR="00551AC9" w:rsidRPr="0082099F" w:rsidRDefault="00CA7B93" w:rsidP="007E44BA">
      <w:pPr>
        <w:spacing w:after="120" w:line="276" w:lineRule="auto"/>
        <w:jc w:val="both"/>
        <w:rPr>
          <w:rFonts w:ascii="Calibri" w:hAnsi="Calibri" w:cs="Calibri"/>
        </w:rPr>
      </w:pPr>
      <w:r>
        <w:rPr>
          <w:rStyle w:val="Hipercze"/>
          <w:rFonts w:ascii="Calibri" w:hAnsi="Calibri" w:cs="Calibri"/>
          <w:color w:val="auto"/>
          <w:u w:val="none"/>
        </w:rPr>
        <w:t>Ostateczna l</w:t>
      </w:r>
      <w:r w:rsidRPr="0024469C">
        <w:rPr>
          <w:rStyle w:val="Hipercze"/>
          <w:rFonts w:ascii="Calibri" w:hAnsi="Calibri" w:cs="Calibri"/>
          <w:color w:val="auto"/>
          <w:u w:val="none"/>
        </w:rPr>
        <w:t xml:space="preserve">ista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rankingowa </w:t>
      </w:r>
      <w:r>
        <w:rPr>
          <w:rStyle w:val="Hipercze"/>
          <w:rFonts w:ascii="Calibri" w:hAnsi="Calibri" w:cs="Calibri"/>
          <w:color w:val="auto"/>
          <w:u w:val="none"/>
        </w:rPr>
        <w:t xml:space="preserve">z projektami wybranymi do dofinansowania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zostanie opublikowana na stronie internetowej </w:t>
      </w:r>
      <w:r w:rsidR="00551AC9" w:rsidRPr="00551AC9">
        <w:rPr>
          <w:rStyle w:val="Hipercze"/>
          <w:rFonts w:ascii="Calibri" w:hAnsi="Calibri" w:cs="Calibri"/>
          <w:color w:val="auto"/>
          <w:u w:val="none"/>
        </w:rPr>
        <w:t>www.</w:t>
      </w:r>
      <w:r w:rsidR="00551AC9">
        <w:rPr>
          <w:rStyle w:val="Hipercze"/>
          <w:rFonts w:ascii="Calibri" w:hAnsi="Calibri" w:cs="Calibri"/>
          <w:color w:val="auto"/>
          <w:u w:val="none"/>
        </w:rPr>
        <w:t>fundusze.mswia.gov.pl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, a do wnioskodawców </w:t>
      </w:r>
      <w:r>
        <w:rPr>
          <w:rStyle w:val="Hipercze"/>
          <w:rFonts w:ascii="Calibri" w:hAnsi="Calibri" w:cs="Calibri"/>
          <w:color w:val="auto"/>
          <w:u w:val="none"/>
        </w:rPr>
        <w:t xml:space="preserve">zostaną 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skierowane oficjalne pisma </w:t>
      </w:r>
      <w:r w:rsidR="00175938">
        <w:rPr>
          <w:rStyle w:val="Hipercze"/>
          <w:rFonts w:ascii="Calibri" w:hAnsi="Calibri" w:cs="Calibri"/>
          <w:color w:val="auto"/>
          <w:u w:val="none"/>
        </w:rPr>
        <w:t>w tej sprawie.</w:t>
      </w:r>
    </w:p>
    <w:p w14:paraId="62D92709" w14:textId="77777777" w:rsidR="00AA6F6E" w:rsidRDefault="00AA6F6E" w:rsidP="007E44BA">
      <w:pPr>
        <w:spacing w:after="120" w:line="276" w:lineRule="auto"/>
        <w:jc w:val="both"/>
      </w:pPr>
      <w:r w:rsidRPr="00551AC9">
        <w:t>Kart</w:t>
      </w:r>
      <w:r w:rsidR="0082099F">
        <w:t>a</w:t>
      </w:r>
      <w:r w:rsidRPr="00551AC9">
        <w:t xml:space="preserve"> oceny formaln</w:t>
      </w:r>
      <w:r w:rsidR="0082099F">
        <w:t>o-</w:t>
      </w:r>
      <w:r w:rsidRPr="00551AC9">
        <w:t>merytorycznej zawierając</w:t>
      </w:r>
      <w:r w:rsidR="0082099F">
        <w:t xml:space="preserve">a </w:t>
      </w:r>
      <w:r w:rsidRPr="00551AC9">
        <w:t xml:space="preserve">kryteria </w:t>
      </w:r>
      <w:r w:rsidR="00E46276">
        <w:t>wyboru projektów znajduj</w:t>
      </w:r>
      <w:r w:rsidR="00B53F1C">
        <w:t>e</w:t>
      </w:r>
      <w:r w:rsidR="00E46276">
        <w:t xml:space="preserve"> się w </w:t>
      </w:r>
      <w:r w:rsidRPr="00551AC9">
        <w:t>załączniku do ogłoszenia</w:t>
      </w:r>
      <w:r>
        <w:t>.</w:t>
      </w:r>
    </w:p>
    <w:p w14:paraId="3FBB7603" w14:textId="77777777" w:rsidR="007E44BA" w:rsidRDefault="007E44BA" w:rsidP="007E44BA">
      <w:pPr>
        <w:spacing w:after="120" w:line="276" w:lineRule="auto"/>
        <w:jc w:val="both"/>
        <w:rPr>
          <w:rStyle w:val="tlid-translation"/>
        </w:rPr>
      </w:pPr>
      <w:r>
        <w:rPr>
          <w:rStyle w:val="tlid-translation"/>
        </w:rPr>
        <w:t>Nie przewiduje się</w:t>
      </w:r>
      <w:r w:rsidRPr="005D1B02">
        <w:rPr>
          <w:rStyle w:val="tlid-translation"/>
        </w:rPr>
        <w:t xml:space="preserve"> procedury odwoławczej od oceny.</w:t>
      </w:r>
    </w:p>
    <w:p w14:paraId="15AB2097" w14:textId="77777777" w:rsidR="0006691F" w:rsidRPr="0006691F" w:rsidRDefault="0006691F" w:rsidP="0006691F">
      <w:pPr>
        <w:spacing w:after="120" w:line="276" w:lineRule="auto"/>
        <w:jc w:val="both"/>
        <w:rPr>
          <w:b/>
        </w:rPr>
      </w:pPr>
      <w:r w:rsidRPr="0006691F">
        <w:rPr>
          <w:b/>
        </w:rPr>
        <w:t>Zatwierdzenie wniosków o</w:t>
      </w:r>
      <w:r w:rsidR="00E079DD">
        <w:rPr>
          <w:b/>
        </w:rPr>
        <w:t xml:space="preserve"> dodatkowe środki</w:t>
      </w:r>
    </w:p>
    <w:p w14:paraId="610E0FFA" w14:textId="77777777" w:rsidR="0006691F" w:rsidRDefault="0006691F" w:rsidP="0006691F">
      <w:pPr>
        <w:spacing w:after="120" w:line="276" w:lineRule="auto"/>
        <w:jc w:val="both"/>
      </w:pPr>
      <w:r>
        <w:t xml:space="preserve">Po ocenie OP sporządza listę rankingową, w której wskazane są wnioski o dodatkowe środki uszeregowane malejąco wg przyznanej liczby punktów. Operator Programu przedstawia listę rankingową </w:t>
      </w:r>
      <w:r w:rsidR="006B7EE2">
        <w:t>wniosków</w:t>
      </w:r>
      <w:r>
        <w:t xml:space="preserve"> Komitetowi </w:t>
      </w:r>
      <w:r w:rsidR="00186454">
        <w:t>Współpracy (KW</w:t>
      </w:r>
      <w:r>
        <w:t xml:space="preserve">). KW składa się z członków głosujących – </w:t>
      </w:r>
      <w:r w:rsidR="008B45B4">
        <w:t xml:space="preserve">czterech </w:t>
      </w:r>
      <w:r>
        <w:t>przedstawicieli OP</w:t>
      </w:r>
      <w:r w:rsidR="008B45B4">
        <w:t>, czterech przedstawicieli Norweskich Partnerów Programowych (po dwóch z Norweskiego Ministerstwa Sprawiedliwości i Norweskiego Dyrektoriatu ds. Obrony Cywilnej) i Przewodniczącego Komitetu oraz członków niegłosujących.</w:t>
      </w:r>
    </w:p>
    <w:p w14:paraId="7387E2D4" w14:textId="50990C38" w:rsidR="0006691F" w:rsidRDefault="0006691F" w:rsidP="0006691F">
      <w:pPr>
        <w:spacing w:after="120" w:line="276" w:lineRule="auto"/>
        <w:jc w:val="both"/>
      </w:pPr>
      <w:r>
        <w:t xml:space="preserve">Ostateczna rekomendacja projektów do dofinansowania powinna zostać zaakceptowana przez Międzyresortowy Zespół ds. Europejskich Funduszy Spraw Wewnętrznych  w drodze uchwały. Ponadto uchwała jest gwarancją, że wnioski o dodatkowe środki znajdujące się na liście rankingowej są zgodne z wytycznymi wskazanymi w ogłoszeniu. </w:t>
      </w:r>
    </w:p>
    <w:p w14:paraId="3F15C644" w14:textId="1A76AD4B" w:rsidR="0006691F" w:rsidRDefault="0006691F" w:rsidP="0006691F">
      <w:pPr>
        <w:spacing w:after="120" w:line="276" w:lineRule="auto"/>
        <w:jc w:val="both"/>
      </w:pPr>
      <w:r>
        <w:lastRenderedPageBreak/>
        <w:t>Operator Programu weryfikuje czy proces wyboru wniosków o dodatkowe środki przebiegał zgodnie z</w:t>
      </w:r>
      <w:r w:rsidR="008B45B4">
        <w:t xml:space="preserve"> Regulacjami NMF 2014-2021 i Procedurą zagospodarowania oszczędności w Programie, oraz </w:t>
      </w:r>
      <w:r>
        <w:t>czy rekomendacje wydane</w:t>
      </w:r>
      <w:r w:rsidR="007B0F55">
        <w:t xml:space="preserve"> przez</w:t>
      </w:r>
      <w:r>
        <w:t xml:space="preserve"> Międzyresortowy Zespół ds. Europejskich Funduszy Spraw Wewnętrznych zostały wydane zgodnie z zasadami i celami Programu. Po dokonaniu takiej analizy Operator Programu decyduje ostatecznie o przyznaniu dodatkowych środków. Końcowe wyniki </w:t>
      </w:r>
      <w:r w:rsidR="00512264">
        <w:t xml:space="preserve">procedury </w:t>
      </w:r>
      <w:r>
        <w:t>są przekazywane przez Operatora Programu wszystkim wnioskodawcom, a także podawane do publicznej wiadomości na stronach internetowych OP/COPE MSWiA.</w:t>
      </w:r>
    </w:p>
    <w:p w14:paraId="4164043B" w14:textId="77777777" w:rsidR="0006691F" w:rsidRPr="004D4481" w:rsidRDefault="004D4481" w:rsidP="0006691F">
      <w:pPr>
        <w:spacing w:after="120" w:line="276" w:lineRule="auto"/>
        <w:jc w:val="both"/>
        <w:rPr>
          <w:b/>
        </w:rPr>
      </w:pPr>
      <w:r w:rsidRPr="004D4481">
        <w:rPr>
          <w:b/>
        </w:rPr>
        <w:t>Podpisanie umów/porozumień</w:t>
      </w:r>
    </w:p>
    <w:p w14:paraId="350329FE" w14:textId="77777777" w:rsidR="00E61582" w:rsidRDefault="0006691F" w:rsidP="0006691F">
      <w:pPr>
        <w:spacing w:after="120" w:line="276" w:lineRule="auto"/>
        <w:jc w:val="both"/>
      </w:pPr>
      <w:r>
        <w:t xml:space="preserve">Na podstawie wyników oceny wniosków o dodatkowe środki oraz decyzji Operatora Programu o przyznaniu dodatkowego dofinansowania ze środków Programu, jest podpisywany aneks do umowy/porozumienia </w:t>
      </w:r>
      <w:proofErr w:type="spellStart"/>
      <w:r>
        <w:t>ws</w:t>
      </w:r>
      <w:proofErr w:type="spellEnd"/>
      <w:r>
        <w:t xml:space="preserve">. </w:t>
      </w:r>
      <w:r w:rsidR="004D4481">
        <w:t xml:space="preserve">wybranego/wybranych </w:t>
      </w:r>
      <w:r>
        <w:t>projektu</w:t>
      </w:r>
      <w:r w:rsidR="004D4481">
        <w:t>/projektów</w:t>
      </w:r>
      <w:r>
        <w:t>.</w:t>
      </w:r>
    </w:p>
    <w:p w14:paraId="556ED7F4" w14:textId="77777777" w:rsidR="00FB0E9A" w:rsidRDefault="00FB0E9A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Załączniki:</w:t>
      </w:r>
    </w:p>
    <w:p w14:paraId="185F8DF3" w14:textId="77777777" w:rsidR="00D9211F" w:rsidRPr="00875CE0" w:rsidRDefault="00D9211F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1. </w:t>
      </w:r>
      <w:r w:rsidR="008B45B4">
        <w:rPr>
          <w:rStyle w:val="Pogrubienie"/>
          <w:rFonts w:asciiTheme="minorHAnsi" w:hAnsiTheme="minorHAnsi"/>
          <w:b w:val="0"/>
          <w:sz w:val="22"/>
          <w:szCs w:val="22"/>
        </w:rPr>
        <w:t>Formularz wniosku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B53F1C">
        <w:rPr>
          <w:rStyle w:val="Pogrubienie"/>
          <w:rFonts w:asciiTheme="minorHAnsi" w:hAnsiTheme="minorHAnsi"/>
          <w:b w:val="0"/>
          <w:sz w:val="22"/>
          <w:szCs w:val="22"/>
        </w:rPr>
        <w:t>o dodatkowe środki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24D562BE" w14:textId="77777777" w:rsidR="00FB0E9A" w:rsidRPr="00875CE0" w:rsidRDefault="003677DF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2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Wytyczne dla Beneficjentów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NMF 2014-2021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2939E718" w14:textId="77777777" w:rsidR="000D188E" w:rsidRPr="00875CE0" w:rsidRDefault="00B53F1C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3</w:t>
      </w:r>
      <w:r w:rsidR="000D188E" w:rsidRPr="00875CE0">
        <w:rPr>
          <w:rStyle w:val="Pogrubienie"/>
          <w:rFonts w:asciiTheme="minorHAnsi" w:hAnsiTheme="minorHAnsi"/>
          <w:b w:val="0"/>
          <w:sz w:val="22"/>
          <w:szCs w:val="22"/>
        </w:rPr>
        <w:t>. Karta oceny formaln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>o-merytorycznej.</w:t>
      </w:r>
    </w:p>
    <w:p w14:paraId="2D6355EB" w14:textId="77777777" w:rsidR="00C33B75" w:rsidRPr="00162DEE" w:rsidRDefault="00C33B75" w:rsidP="007E44BA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33B75">
        <w:rPr>
          <w:rStyle w:val="Pogrubienie"/>
          <w:rFonts w:asciiTheme="minorHAnsi" w:hAnsiTheme="minorHAnsi"/>
          <w:sz w:val="22"/>
          <w:szCs w:val="22"/>
        </w:rPr>
        <w:t>Dokum</w:t>
      </w:r>
      <w:r w:rsidRPr="00162DEE">
        <w:rPr>
          <w:rStyle w:val="Pogrubienie"/>
          <w:rFonts w:asciiTheme="minorHAnsi" w:hAnsiTheme="minorHAnsi"/>
          <w:sz w:val="22"/>
          <w:szCs w:val="22"/>
        </w:rPr>
        <w:t>enty programowe:</w:t>
      </w:r>
    </w:p>
    <w:p w14:paraId="56E3D5D0" w14:textId="77777777" w:rsidR="00C33B75" w:rsidRPr="00162DEE" w:rsidRDefault="00C33B75" w:rsidP="00B53F1C">
      <w:pPr>
        <w:numPr>
          <w:ilvl w:val="0"/>
          <w:numId w:val="12"/>
        </w:numPr>
        <w:tabs>
          <w:tab w:val="clear" w:pos="720"/>
        </w:tabs>
        <w:spacing w:after="120" w:line="276" w:lineRule="auto"/>
        <w:ind w:left="284" w:hanging="142"/>
        <w:jc w:val="both"/>
      </w:pPr>
      <w:r w:rsidRPr="00144875">
        <w:rPr>
          <w:rStyle w:val="Hipercze"/>
          <w:color w:val="auto"/>
          <w:u w:val="none"/>
        </w:rPr>
        <w:t xml:space="preserve">Regulacje </w:t>
      </w:r>
      <w:proofErr w:type="spellStart"/>
      <w:r w:rsidRPr="00144875">
        <w:rPr>
          <w:rStyle w:val="Hipercze"/>
          <w:color w:val="auto"/>
          <w:u w:val="none"/>
        </w:rPr>
        <w:t>ws</w:t>
      </w:r>
      <w:proofErr w:type="spellEnd"/>
      <w:r w:rsidRPr="00144875">
        <w:rPr>
          <w:rStyle w:val="Hipercze"/>
          <w:color w:val="auto"/>
          <w:u w:val="none"/>
        </w:rPr>
        <w:t>. wdrażania Norweskiego Mechanizmu Finansowego 20</w:t>
      </w:r>
      <w:r w:rsidR="00162DEE" w:rsidRPr="00144875">
        <w:rPr>
          <w:rStyle w:val="Hipercze"/>
          <w:color w:val="auto"/>
          <w:u w:val="none"/>
        </w:rPr>
        <w:t>14</w:t>
      </w:r>
      <w:r w:rsidRPr="00144875">
        <w:rPr>
          <w:rStyle w:val="Hipercze"/>
          <w:color w:val="auto"/>
          <w:u w:val="none"/>
        </w:rPr>
        <w:t>–20</w:t>
      </w:r>
      <w:r w:rsidR="00162DEE" w:rsidRPr="00144875">
        <w:rPr>
          <w:rStyle w:val="Hipercze"/>
          <w:color w:val="auto"/>
          <w:u w:val="none"/>
        </w:rPr>
        <w:t>21</w:t>
      </w:r>
      <w:r w:rsidR="00144875">
        <w:rPr>
          <w:rStyle w:val="Hipercze"/>
          <w:color w:val="auto"/>
          <w:u w:val="none"/>
        </w:rPr>
        <w:t>;</w:t>
      </w:r>
    </w:p>
    <w:p w14:paraId="7D8E644D" w14:textId="77777777" w:rsidR="00162DEE" w:rsidRPr="00144875" w:rsidRDefault="00162DEE" w:rsidP="00B53F1C">
      <w:pPr>
        <w:numPr>
          <w:ilvl w:val="0"/>
          <w:numId w:val="12"/>
        </w:numPr>
        <w:tabs>
          <w:tab w:val="clear" w:pos="720"/>
        </w:tabs>
        <w:spacing w:after="120" w:line="276" w:lineRule="auto"/>
        <w:ind w:left="284" w:hanging="142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 xml:space="preserve">Umowa </w:t>
      </w:r>
      <w:proofErr w:type="spellStart"/>
      <w:r w:rsidRPr="00144875">
        <w:rPr>
          <w:rStyle w:val="Hipercze"/>
          <w:color w:val="auto"/>
          <w:u w:val="none"/>
        </w:rPr>
        <w:t>ws</w:t>
      </w:r>
      <w:proofErr w:type="spellEnd"/>
      <w:r w:rsidRPr="00144875">
        <w:rPr>
          <w:rStyle w:val="Hipercze"/>
          <w:color w:val="auto"/>
          <w:u w:val="none"/>
        </w:rPr>
        <w:t>. Programu „Sprawy Wewnętrzne”</w:t>
      </w:r>
      <w:r w:rsidR="00144875">
        <w:rPr>
          <w:rStyle w:val="Hipercze"/>
          <w:color w:val="auto"/>
          <w:u w:val="none"/>
        </w:rPr>
        <w:t>;</w:t>
      </w:r>
    </w:p>
    <w:p w14:paraId="5AAAD2B6" w14:textId="77777777" w:rsidR="006A7819" w:rsidRPr="00162DEE" w:rsidRDefault="006A7819" w:rsidP="00B53F1C">
      <w:pPr>
        <w:numPr>
          <w:ilvl w:val="0"/>
          <w:numId w:val="12"/>
        </w:numPr>
        <w:spacing w:after="120" w:line="276" w:lineRule="auto"/>
        <w:ind w:left="284" w:hanging="142"/>
        <w:jc w:val="both"/>
        <w:rPr>
          <w:rStyle w:val="Hipercze"/>
          <w:color w:val="auto"/>
          <w:u w:val="none"/>
        </w:rPr>
      </w:pPr>
      <w:r w:rsidRPr="00162DEE">
        <w:rPr>
          <w:rStyle w:val="Hipercze"/>
          <w:color w:val="auto"/>
          <w:u w:val="none"/>
        </w:rPr>
        <w:t xml:space="preserve">Wytyczne w zakresie udzielania zamówień w ramach Mechanizmu Finansowego EOG </w:t>
      </w:r>
      <w:r w:rsidR="00A5012D">
        <w:rPr>
          <w:rStyle w:val="Hipercze"/>
          <w:color w:val="auto"/>
          <w:u w:val="none"/>
        </w:rPr>
        <w:br/>
      </w:r>
      <w:r w:rsidRPr="00162DEE">
        <w:rPr>
          <w:rStyle w:val="Hipercze"/>
          <w:color w:val="auto"/>
          <w:u w:val="none"/>
        </w:rPr>
        <w:t>2014-2021 oraz Norweskiego Mechanizmu Finansowego 2014-2021</w:t>
      </w:r>
      <w:r w:rsidR="00144875">
        <w:rPr>
          <w:rStyle w:val="Hipercze"/>
          <w:color w:val="auto"/>
          <w:u w:val="none"/>
        </w:rPr>
        <w:t>;</w:t>
      </w:r>
    </w:p>
    <w:p w14:paraId="666269F4" w14:textId="77777777" w:rsidR="00C33B75" w:rsidRDefault="00162DEE" w:rsidP="00B53F1C">
      <w:pPr>
        <w:numPr>
          <w:ilvl w:val="0"/>
          <w:numId w:val="12"/>
        </w:numPr>
        <w:tabs>
          <w:tab w:val="clear" w:pos="720"/>
        </w:tabs>
        <w:spacing w:after="120" w:line="276" w:lineRule="auto"/>
        <w:ind w:left="284" w:hanging="142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>Podręcznik</w:t>
      </w:r>
      <w:r>
        <w:rPr>
          <w:rStyle w:val="Hipercze"/>
          <w:color w:val="auto"/>
          <w:u w:val="none"/>
        </w:rPr>
        <w:t xml:space="preserve"> Komunikacji i Identyfikacji wizualnej dla funduszy EOG i funduszy norweskich 2014-</w:t>
      </w:r>
      <w:r w:rsidRPr="002D2DBF">
        <w:rPr>
          <w:rStyle w:val="Hipercze"/>
          <w:color w:val="auto"/>
          <w:u w:val="none"/>
        </w:rPr>
        <w:t>2021</w:t>
      </w:r>
      <w:r w:rsidR="00144875">
        <w:rPr>
          <w:rStyle w:val="Hipercze"/>
          <w:color w:val="auto"/>
          <w:u w:val="none"/>
        </w:rPr>
        <w:t>.</w:t>
      </w:r>
    </w:p>
    <w:sectPr w:rsidR="00C33B75" w:rsidSect="00421216">
      <w:headerReference w:type="default" r:id="rId8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E0A7" w16cex:dateUtc="2023-03-08T09:23:00Z"/>
  <w16cex:commentExtensible w16cex:durableId="27B2E0BE" w16cex:dateUtc="2023-03-08T09:23:00Z"/>
  <w16cex:commentExtensible w16cex:durableId="27B2E0DE" w16cex:dateUtc="2023-03-08T09:24:00Z"/>
  <w16cex:commentExtensible w16cex:durableId="27B2E1A5" w16cex:dateUtc="2023-03-08T09:27:00Z"/>
  <w16cex:commentExtensible w16cex:durableId="27B2E1FA" w16cex:dateUtc="2023-03-08T09:29:00Z"/>
  <w16cex:commentExtensible w16cex:durableId="27B2E20C" w16cex:dateUtc="2023-03-08T09:29:00Z"/>
  <w16cex:commentExtensible w16cex:durableId="27B2E21C" w16cex:dateUtc="2023-03-08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0658D1" w16cid:durableId="27A82E59"/>
  <w16cid:commentId w16cid:paraId="064DB8DB" w16cid:durableId="27B2E0A7"/>
  <w16cid:commentId w16cid:paraId="1366A880" w16cid:durableId="27A82E5A"/>
  <w16cid:commentId w16cid:paraId="4D11D7B3" w16cid:durableId="27B2E0BE"/>
  <w16cid:commentId w16cid:paraId="4E9FC8D9" w16cid:durableId="27A82E5B"/>
  <w16cid:commentId w16cid:paraId="394F30AD" w16cid:durableId="27B2E0DE"/>
  <w16cid:commentId w16cid:paraId="3DCA8AE7" w16cid:durableId="27A82E5C"/>
  <w16cid:commentId w16cid:paraId="6B4AAE4B" w16cid:durableId="27B2E1A5"/>
  <w16cid:commentId w16cid:paraId="465884EF" w16cid:durableId="27A82E5D"/>
  <w16cid:commentId w16cid:paraId="034C146E" w16cid:durableId="27A82E5E"/>
  <w16cid:commentId w16cid:paraId="421D1D14" w16cid:durableId="27A82E5F"/>
  <w16cid:commentId w16cid:paraId="0D5525CD" w16cid:durableId="27A82E60"/>
  <w16cid:commentId w16cid:paraId="775FB2FE" w16cid:durableId="27A82E61"/>
  <w16cid:commentId w16cid:paraId="05803A7B" w16cid:durableId="27A82E62"/>
  <w16cid:commentId w16cid:paraId="1B33215F" w16cid:durableId="27A82E63"/>
  <w16cid:commentId w16cid:paraId="50987161" w16cid:durableId="27A82E64"/>
  <w16cid:commentId w16cid:paraId="48901487" w16cid:durableId="27B2E1FA"/>
  <w16cid:commentId w16cid:paraId="01BF1913" w16cid:durableId="27A82E65"/>
  <w16cid:commentId w16cid:paraId="32B24223" w16cid:durableId="27B2E20C"/>
  <w16cid:commentId w16cid:paraId="220AFDCD" w16cid:durableId="27A82E66"/>
  <w16cid:commentId w16cid:paraId="3941B6FA" w16cid:durableId="27B2E2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E483C" w14:textId="77777777" w:rsidR="00512264" w:rsidRDefault="00512264" w:rsidP="00DD7C94">
      <w:pPr>
        <w:spacing w:after="0" w:line="240" w:lineRule="auto"/>
      </w:pPr>
      <w:r>
        <w:separator/>
      </w:r>
    </w:p>
  </w:endnote>
  <w:endnote w:type="continuationSeparator" w:id="0">
    <w:p w14:paraId="3E425F7D" w14:textId="77777777" w:rsidR="00512264" w:rsidRDefault="00512264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A2391" w14:textId="77777777" w:rsidR="00512264" w:rsidRDefault="00512264" w:rsidP="00DD7C94">
      <w:pPr>
        <w:spacing w:after="0" w:line="240" w:lineRule="auto"/>
      </w:pPr>
      <w:r>
        <w:separator/>
      </w:r>
    </w:p>
  </w:footnote>
  <w:footnote w:type="continuationSeparator" w:id="0">
    <w:p w14:paraId="35A30C78" w14:textId="77777777" w:rsidR="00512264" w:rsidRDefault="00512264" w:rsidP="00DD7C94">
      <w:pPr>
        <w:spacing w:after="0" w:line="240" w:lineRule="auto"/>
      </w:pPr>
      <w:r>
        <w:continuationSeparator/>
      </w:r>
    </w:p>
  </w:footnote>
  <w:footnote w:id="1">
    <w:p w14:paraId="29C0CAAE" w14:textId="77777777" w:rsidR="00512264" w:rsidRDefault="00512264" w:rsidP="006D39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Wydatek inwestycyjny – jako wydatek inwestycyjny </w:t>
      </w:r>
      <w:r w:rsidRPr="00225266">
        <w:t xml:space="preserve">należy rozumieć, wydatek poniesiony na zakup środka trwałego, którego wartość jednostkowa przekracza 10.000 zł. Co do zasady zakup usług (np. konferencyjnych, szkoleniowych, transportowych itp.), nawet o wartości jednostkowej powyżej 10.000 zł, nie jest </w:t>
      </w:r>
      <w:r>
        <w:t>traktowany jako wydatek</w:t>
      </w:r>
      <w:r w:rsidRPr="00225266">
        <w:t xml:space="preserve"> inwestycyjny.</w:t>
      </w:r>
    </w:p>
  </w:footnote>
  <w:footnote w:id="2">
    <w:p w14:paraId="642C3AD1" w14:textId="77777777" w:rsidR="00512264" w:rsidRDefault="00512264" w:rsidP="008D77E0">
      <w:pPr>
        <w:pStyle w:val="Tekstprzypisudolnego"/>
      </w:pPr>
      <w:r>
        <w:rPr>
          <w:rStyle w:val="Odwoanieprzypisudolnego"/>
        </w:rPr>
        <w:footnoteRef/>
      </w:r>
      <w:r>
        <w:t xml:space="preserve"> Nie dotyczy sytuacji gdy dokument rejestracyjny lub dokument zawierający informację o reprezentacji prawnej wnioskodawcy jest dostępny w rejestrach publicznych.</w:t>
      </w:r>
    </w:p>
  </w:footnote>
  <w:footnote w:id="3">
    <w:p w14:paraId="0FD95A51" w14:textId="77777777" w:rsidR="00512264" w:rsidRDefault="00512264">
      <w:pPr>
        <w:pStyle w:val="Tekstprzypisudolnego"/>
      </w:pPr>
      <w:r>
        <w:rPr>
          <w:rStyle w:val="Odwoanieprzypisudolnego"/>
        </w:rPr>
        <w:footnoteRef/>
      </w:r>
      <w:r>
        <w:t xml:space="preserve"> Nie dotyczy sytuacji gdy dokument rejestracyjny lub dokument zawierający informację o reprezentacji prawnej wnioskodawcy jest dostępny w rejestrach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37672" w14:textId="77777777" w:rsidR="00512264" w:rsidRDefault="005122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019AC4" wp14:editId="5E9B1C6E">
          <wp:simplePos x="0" y="0"/>
          <wp:positionH relativeFrom="column">
            <wp:posOffset>128905</wp:posOffset>
          </wp:positionH>
          <wp:positionV relativeFrom="paragraph">
            <wp:posOffset>163830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F9E8FE2" wp14:editId="0102CED6">
          <wp:simplePos x="0" y="0"/>
          <wp:positionH relativeFrom="column">
            <wp:posOffset>4157980</wp:posOffset>
          </wp:positionH>
          <wp:positionV relativeFrom="paragraph">
            <wp:posOffset>40005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3C5936C" wp14:editId="2DB59278">
          <wp:simplePos x="0" y="0"/>
          <wp:positionH relativeFrom="column">
            <wp:posOffset>1786255</wp:posOffset>
          </wp:positionH>
          <wp:positionV relativeFrom="paragraph">
            <wp:posOffset>410845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765"/>
    <w:multiLevelType w:val="hybridMultilevel"/>
    <w:tmpl w:val="2AB2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B05"/>
    <w:multiLevelType w:val="hybridMultilevel"/>
    <w:tmpl w:val="D35AA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0B4"/>
    <w:multiLevelType w:val="hybridMultilevel"/>
    <w:tmpl w:val="DD106C0E"/>
    <w:lvl w:ilvl="0" w:tplc="B526F7BA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05224"/>
    <w:multiLevelType w:val="hybridMultilevel"/>
    <w:tmpl w:val="DDBC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7"/>
  </w:num>
  <w:num w:numId="14">
    <w:abstractNumId w:val="4"/>
  </w:num>
  <w:num w:numId="15">
    <w:abstractNumId w:val="3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465F"/>
    <w:rsid w:val="00033C17"/>
    <w:rsid w:val="00054C5A"/>
    <w:rsid w:val="00057529"/>
    <w:rsid w:val="00060A29"/>
    <w:rsid w:val="00061E1F"/>
    <w:rsid w:val="0006691F"/>
    <w:rsid w:val="00067F2D"/>
    <w:rsid w:val="000707CB"/>
    <w:rsid w:val="00070A94"/>
    <w:rsid w:val="00075259"/>
    <w:rsid w:val="0008408D"/>
    <w:rsid w:val="00090DD1"/>
    <w:rsid w:val="000926F4"/>
    <w:rsid w:val="000A59B2"/>
    <w:rsid w:val="000B65BD"/>
    <w:rsid w:val="000D188E"/>
    <w:rsid w:val="000F4880"/>
    <w:rsid w:val="00106C38"/>
    <w:rsid w:val="0012020A"/>
    <w:rsid w:val="001258FD"/>
    <w:rsid w:val="00137A93"/>
    <w:rsid w:val="00144875"/>
    <w:rsid w:val="00162DEE"/>
    <w:rsid w:val="00175938"/>
    <w:rsid w:val="00186454"/>
    <w:rsid w:val="001A4410"/>
    <w:rsid w:val="001B2F85"/>
    <w:rsid w:val="001C060C"/>
    <w:rsid w:val="001C6381"/>
    <w:rsid w:val="001D2D68"/>
    <w:rsid w:val="001E24AD"/>
    <w:rsid w:val="001E3E48"/>
    <w:rsid w:val="0020356A"/>
    <w:rsid w:val="00222B79"/>
    <w:rsid w:val="00225266"/>
    <w:rsid w:val="00234A5E"/>
    <w:rsid w:val="0024469C"/>
    <w:rsid w:val="00253E9E"/>
    <w:rsid w:val="00254CAB"/>
    <w:rsid w:val="002749DE"/>
    <w:rsid w:val="00285398"/>
    <w:rsid w:val="002B6CF0"/>
    <w:rsid w:val="002C7375"/>
    <w:rsid w:val="002C75CC"/>
    <w:rsid w:val="002D2DBF"/>
    <w:rsid w:val="002D6468"/>
    <w:rsid w:val="002E00BE"/>
    <w:rsid w:val="002E44D8"/>
    <w:rsid w:val="002E4F79"/>
    <w:rsid w:val="002F69DD"/>
    <w:rsid w:val="002F7423"/>
    <w:rsid w:val="00301443"/>
    <w:rsid w:val="00302616"/>
    <w:rsid w:val="0033547E"/>
    <w:rsid w:val="00340DE7"/>
    <w:rsid w:val="00346275"/>
    <w:rsid w:val="00346D94"/>
    <w:rsid w:val="003677DF"/>
    <w:rsid w:val="003711FE"/>
    <w:rsid w:val="00375BA0"/>
    <w:rsid w:val="00392C07"/>
    <w:rsid w:val="00396F3B"/>
    <w:rsid w:val="003A535E"/>
    <w:rsid w:val="003B22E6"/>
    <w:rsid w:val="003C0980"/>
    <w:rsid w:val="003D748C"/>
    <w:rsid w:val="003F1EEC"/>
    <w:rsid w:val="0040045B"/>
    <w:rsid w:val="00405706"/>
    <w:rsid w:val="00407B67"/>
    <w:rsid w:val="00421216"/>
    <w:rsid w:val="00422AB5"/>
    <w:rsid w:val="00424B57"/>
    <w:rsid w:val="00434069"/>
    <w:rsid w:val="00451E11"/>
    <w:rsid w:val="00454466"/>
    <w:rsid w:val="00456BDC"/>
    <w:rsid w:val="00465DCB"/>
    <w:rsid w:val="00471A6F"/>
    <w:rsid w:val="00476EB2"/>
    <w:rsid w:val="00481816"/>
    <w:rsid w:val="0048703F"/>
    <w:rsid w:val="004C0ADB"/>
    <w:rsid w:val="004D183B"/>
    <w:rsid w:val="004D4481"/>
    <w:rsid w:val="004D48C6"/>
    <w:rsid w:val="004E174B"/>
    <w:rsid w:val="004E1BA1"/>
    <w:rsid w:val="004E310A"/>
    <w:rsid w:val="004E52A3"/>
    <w:rsid w:val="004F203A"/>
    <w:rsid w:val="00501157"/>
    <w:rsid w:val="00501262"/>
    <w:rsid w:val="005015AB"/>
    <w:rsid w:val="00503B50"/>
    <w:rsid w:val="00511D94"/>
    <w:rsid w:val="00512264"/>
    <w:rsid w:val="00514E42"/>
    <w:rsid w:val="0051686E"/>
    <w:rsid w:val="005213E4"/>
    <w:rsid w:val="00551AC9"/>
    <w:rsid w:val="00555F9F"/>
    <w:rsid w:val="0057386E"/>
    <w:rsid w:val="00586568"/>
    <w:rsid w:val="00597522"/>
    <w:rsid w:val="005B2CBB"/>
    <w:rsid w:val="005D1B02"/>
    <w:rsid w:val="005D3537"/>
    <w:rsid w:val="005D5330"/>
    <w:rsid w:val="005D755E"/>
    <w:rsid w:val="005E14FC"/>
    <w:rsid w:val="005E3FF3"/>
    <w:rsid w:val="005F636D"/>
    <w:rsid w:val="006179E2"/>
    <w:rsid w:val="006260A4"/>
    <w:rsid w:val="0063402E"/>
    <w:rsid w:val="0064513B"/>
    <w:rsid w:val="00650A5D"/>
    <w:rsid w:val="00662373"/>
    <w:rsid w:val="00663E46"/>
    <w:rsid w:val="00673C66"/>
    <w:rsid w:val="0067623F"/>
    <w:rsid w:val="006775AD"/>
    <w:rsid w:val="00677BA7"/>
    <w:rsid w:val="0069355E"/>
    <w:rsid w:val="00694481"/>
    <w:rsid w:val="00697459"/>
    <w:rsid w:val="00697972"/>
    <w:rsid w:val="006A19D9"/>
    <w:rsid w:val="006A7819"/>
    <w:rsid w:val="006B7EE2"/>
    <w:rsid w:val="006C33C6"/>
    <w:rsid w:val="006C7C0B"/>
    <w:rsid w:val="006D0C4F"/>
    <w:rsid w:val="006D3982"/>
    <w:rsid w:val="00714129"/>
    <w:rsid w:val="0071473D"/>
    <w:rsid w:val="00715165"/>
    <w:rsid w:val="00717F59"/>
    <w:rsid w:val="00737A2B"/>
    <w:rsid w:val="00740380"/>
    <w:rsid w:val="00747FB2"/>
    <w:rsid w:val="00750B08"/>
    <w:rsid w:val="00751432"/>
    <w:rsid w:val="00755F05"/>
    <w:rsid w:val="00786A9A"/>
    <w:rsid w:val="007950CA"/>
    <w:rsid w:val="007A69F9"/>
    <w:rsid w:val="007B0F55"/>
    <w:rsid w:val="007B2DE1"/>
    <w:rsid w:val="007B556A"/>
    <w:rsid w:val="007B56FF"/>
    <w:rsid w:val="007D087B"/>
    <w:rsid w:val="007E44BA"/>
    <w:rsid w:val="0082099F"/>
    <w:rsid w:val="008216E0"/>
    <w:rsid w:val="008249D8"/>
    <w:rsid w:val="00827436"/>
    <w:rsid w:val="008336FC"/>
    <w:rsid w:val="00836411"/>
    <w:rsid w:val="0084796A"/>
    <w:rsid w:val="00870F82"/>
    <w:rsid w:val="00871854"/>
    <w:rsid w:val="00875CE0"/>
    <w:rsid w:val="008B272B"/>
    <w:rsid w:val="008B45B4"/>
    <w:rsid w:val="008C28CB"/>
    <w:rsid w:val="008C5339"/>
    <w:rsid w:val="008C75A6"/>
    <w:rsid w:val="008D77E0"/>
    <w:rsid w:val="008E60B6"/>
    <w:rsid w:val="008F540F"/>
    <w:rsid w:val="009004CF"/>
    <w:rsid w:val="00924273"/>
    <w:rsid w:val="00924FF2"/>
    <w:rsid w:val="009254FD"/>
    <w:rsid w:val="00930772"/>
    <w:rsid w:val="0093097E"/>
    <w:rsid w:val="00933B88"/>
    <w:rsid w:val="00940946"/>
    <w:rsid w:val="0095138F"/>
    <w:rsid w:val="0095303D"/>
    <w:rsid w:val="009539A6"/>
    <w:rsid w:val="00960296"/>
    <w:rsid w:val="00986287"/>
    <w:rsid w:val="009A2B57"/>
    <w:rsid w:val="009C7513"/>
    <w:rsid w:val="009C77D1"/>
    <w:rsid w:val="009E64C9"/>
    <w:rsid w:val="009F07B2"/>
    <w:rsid w:val="009F256E"/>
    <w:rsid w:val="00A0022C"/>
    <w:rsid w:val="00A01363"/>
    <w:rsid w:val="00A15B58"/>
    <w:rsid w:val="00A21B68"/>
    <w:rsid w:val="00A40192"/>
    <w:rsid w:val="00A42951"/>
    <w:rsid w:val="00A5012D"/>
    <w:rsid w:val="00A5766F"/>
    <w:rsid w:val="00A70EFA"/>
    <w:rsid w:val="00AA6F6E"/>
    <w:rsid w:val="00AB54F2"/>
    <w:rsid w:val="00AB5845"/>
    <w:rsid w:val="00AB7FBD"/>
    <w:rsid w:val="00AC15AE"/>
    <w:rsid w:val="00AD4604"/>
    <w:rsid w:val="00AE0F41"/>
    <w:rsid w:val="00AE0F4D"/>
    <w:rsid w:val="00AE50FF"/>
    <w:rsid w:val="00AF53F3"/>
    <w:rsid w:val="00B2223B"/>
    <w:rsid w:val="00B24C06"/>
    <w:rsid w:val="00B4570D"/>
    <w:rsid w:val="00B53F1C"/>
    <w:rsid w:val="00B56A8E"/>
    <w:rsid w:val="00B65258"/>
    <w:rsid w:val="00B7743C"/>
    <w:rsid w:val="00B80A37"/>
    <w:rsid w:val="00B83B91"/>
    <w:rsid w:val="00B93F36"/>
    <w:rsid w:val="00B94137"/>
    <w:rsid w:val="00BB695B"/>
    <w:rsid w:val="00BD0F40"/>
    <w:rsid w:val="00BD27F5"/>
    <w:rsid w:val="00BD53D7"/>
    <w:rsid w:val="00BD6B70"/>
    <w:rsid w:val="00BE01EB"/>
    <w:rsid w:val="00BE0321"/>
    <w:rsid w:val="00BE7858"/>
    <w:rsid w:val="00C034A4"/>
    <w:rsid w:val="00C03BCE"/>
    <w:rsid w:val="00C12CDB"/>
    <w:rsid w:val="00C20C6D"/>
    <w:rsid w:val="00C31370"/>
    <w:rsid w:val="00C33B75"/>
    <w:rsid w:val="00C35ED9"/>
    <w:rsid w:val="00C73FE3"/>
    <w:rsid w:val="00C86A6A"/>
    <w:rsid w:val="00C96AB8"/>
    <w:rsid w:val="00CA7B93"/>
    <w:rsid w:val="00CC459C"/>
    <w:rsid w:val="00CD03FC"/>
    <w:rsid w:val="00CD28DA"/>
    <w:rsid w:val="00CF203A"/>
    <w:rsid w:val="00CF5A35"/>
    <w:rsid w:val="00D019AE"/>
    <w:rsid w:val="00D22638"/>
    <w:rsid w:val="00D275EB"/>
    <w:rsid w:val="00D27BD1"/>
    <w:rsid w:val="00D33374"/>
    <w:rsid w:val="00D35850"/>
    <w:rsid w:val="00D4325C"/>
    <w:rsid w:val="00D71804"/>
    <w:rsid w:val="00D803DB"/>
    <w:rsid w:val="00D82AB5"/>
    <w:rsid w:val="00D84460"/>
    <w:rsid w:val="00D87EE6"/>
    <w:rsid w:val="00D9211F"/>
    <w:rsid w:val="00DB24A1"/>
    <w:rsid w:val="00DC76AC"/>
    <w:rsid w:val="00DD1882"/>
    <w:rsid w:val="00DD3A53"/>
    <w:rsid w:val="00DD7C94"/>
    <w:rsid w:val="00DE471E"/>
    <w:rsid w:val="00DF0823"/>
    <w:rsid w:val="00DF7837"/>
    <w:rsid w:val="00E0388E"/>
    <w:rsid w:val="00E0601B"/>
    <w:rsid w:val="00E079DD"/>
    <w:rsid w:val="00E10A53"/>
    <w:rsid w:val="00E121F4"/>
    <w:rsid w:val="00E17300"/>
    <w:rsid w:val="00E20129"/>
    <w:rsid w:val="00E44757"/>
    <w:rsid w:val="00E46241"/>
    <w:rsid w:val="00E46276"/>
    <w:rsid w:val="00E53131"/>
    <w:rsid w:val="00E557D0"/>
    <w:rsid w:val="00E61582"/>
    <w:rsid w:val="00E66B2D"/>
    <w:rsid w:val="00E80454"/>
    <w:rsid w:val="00E837AA"/>
    <w:rsid w:val="00E87448"/>
    <w:rsid w:val="00E91522"/>
    <w:rsid w:val="00E93151"/>
    <w:rsid w:val="00EA10A2"/>
    <w:rsid w:val="00EB1AE5"/>
    <w:rsid w:val="00EC1BAD"/>
    <w:rsid w:val="00EC7D02"/>
    <w:rsid w:val="00EE3B85"/>
    <w:rsid w:val="00EF1441"/>
    <w:rsid w:val="00F07147"/>
    <w:rsid w:val="00F24015"/>
    <w:rsid w:val="00F354A0"/>
    <w:rsid w:val="00F402FB"/>
    <w:rsid w:val="00F52CCA"/>
    <w:rsid w:val="00F74D14"/>
    <w:rsid w:val="00F77371"/>
    <w:rsid w:val="00FA60E9"/>
    <w:rsid w:val="00FB0E9A"/>
    <w:rsid w:val="00FB75EA"/>
    <w:rsid w:val="00FC7EF7"/>
    <w:rsid w:val="00FE02F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CBEDAE"/>
  <w15:docId w15:val="{6C6DBF7A-CCB2-457A-9E79-58AA728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DE8F-86FE-40F3-86A3-1B1C8E44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Chmielnicka</dc:creator>
  <cp:lastModifiedBy>OP</cp:lastModifiedBy>
  <cp:revision>4</cp:revision>
  <cp:lastPrinted>2019-08-09T08:00:00Z</cp:lastPrinted>
  <dcterms:created xsi:type="dcterms:W3CDTF">2023-12-07T13:07:00Z</dcterms:created>
  <dcterms:modified xsi:type="dcterms:W3CDTF">2023-12-08T08:33:00Z</dcterms:modified>
</cp:coreProperties>
</file>