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2429A1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 w:rsidRPr="002429A1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2429A1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52DDEC67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za </w:t>
      </w:r>
      <w:r w:rsidR="00B7162D">
        <w:rPr>
          <w:rFonts w:ascii="Arial" w:hAnsi="Arial" w:cs="Arial"/>
          <w:b/>
          <w:color w:val="auto"/>
          <w:sz w:val="28"/>
          <w:szCs w:val="28"/>
        </w:rPr>
        <w:t>IV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>202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1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429A1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Default="00A618E2" w:rsidP="00A618E2"/>
    <w:p w14:paraId="2AC5BD16" w14:textId="77777777" w:rsidR="00A618E2" w:rsidRPr="00A618E2" w:rsidRDefault="00A618E2" w:rsidP="00A618E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403F1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6D4761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725708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F166615" w:rsidR="00403F17" w:rsidRPr="006822BC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D4761">
              <w:rPr>
                <w:rFonts w:ascii="Arial" w:hAnsi="Arial" w:cs="Arial"/>
                <w:sz w:val="20"/>
                <w:szCs w:val="20"/>
              </w:rPr>
              <w:t>Centralny Szpital Kliniczny MSWiA w Warszawie</w:t>
            </w:r>
          </w:p>
        </w:tc>
      </w:tr>
      <w:tr w:rsidR="00403F1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19292" w14:textId="31B13137" w:rsidR="00403F17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 xml:space="preserve"> szpitali z przychodniami, w tym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 wielospecjalistycz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nych i 3 specjalistyczne,</w:t>
            </w:r>
          </w:p>
          <w:p w14:paraId="1434FAF1" w14:textId="380C9845" w:rsidR="00403F17" w:rsidRPr="00AC7421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MSWiA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8BB3F6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D83B7F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13633A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768B09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4A59CF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6422D8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59982F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42DCD1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91E293A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5204DBD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3534A4B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55D1AC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05996B0" w14:textId="77777777" w:rsidR="00403F17" w:rsidRPr="00AC7421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7F6CAA9" w14:textId="77777777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F043B87" w14:textId="64750120" w:rsidR="00403F17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19AF00C" w14:textId="2F21A364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403F1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AC7421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857D85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Wysoka dostępność i jakość e-usług publicznych. </w:t>
            </w:r>
          </w:p>
        </w:tc>
      </w:tr>
      <w:tr w:rsidR="00403F17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8A332F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979A783" w:rsidR="00403F17" w:rsidRPr="00141A92" w:rsidRDefault="00403F17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</w:t>
            </w:r>
            <w:r>
              <w:rPr>
                <w:rFonts w:ascii="Arial" w:hAnsi="Arial" w:cs="Arial"/>
                <w:sz w:val="20"/>
                <w:szCs w:val="20"/>
              </w:rPr>
              <w:t>48</w:t>
            </w:r>
            <w:r w:rsidRPr="00AC7421">
              <w:rPr>
                <w:rFonts w:ascii="Arial" w:hAnsi="Arial" w:cs="Arial"/>
                <w:sz w:val="20"/>
                <w:szCs w:val="20"/>
              </w:rPr>
              <w:t>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403F17" w:rsidRDefault="00403F17" w:rsidP="00403F1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403F17" w:rsidRPr="008A332F" w:rsidRDefault="00403F17" w:rsidP="00403F1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A125AC" w14:textId="77777777" w:rsidR="003F6A7D" w:rsidRPr="00A618E2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18E2">
              <w:rPr>
                <w:rFonts w:ascii="Arial" w:hAnsi="Arial" w:cs="Arial"/>
                <w:color w:val="000000" w:themeColor="text1"/>
                <w:sz w:val="20"/>
                <w:szCs w:val="20"/>
              </w:rPr>
              <w:t>04.11.2019 – 29.</w:t>
            </w:r>
            <w:r w:rsidR="00952F05" w:rsidRPr="00A618E2">
              <w:rPr>
                <w:rFonts w:ascii="Arial" w:hAnsi="Arial" w:cs="Arial"/>
                <w:color w:val="000000" w:themeColor="text1"/>
                <w:sz w:val="20"/>
                <w:szCs w:val="20"/>
              </w:rPr>
              <w:t>05</w:t>
            </w:r>
            <w:r w:rsidRPr="00A618E2">
              <w:rPr>
                <w:rFonts w:ascii="Arial" w:hAnsi="Arial" w:cs="Arial"/>
                <w:color w:val="000000" w:themeColor="text1"/>
                <w:sz w:val="20"/>
                <w:szCs w:val="20"/>
              </w:rPr>
              <w:t>.2023</w:t>
            </w:r>
          </w:p>
          <w:p w14:paraId="55CE9679" w14:textId="7B57E961" w:rsidR="00403F17" w:rsidRPr="00A618E2" w:rsidRDefault="004876FC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618E2">
              <w:rPr>
                <w:rFonts w:ascii="Arial" w:hAnsi="Arial" w:cs="Arial"/>
                <w:color w:val="000000" w:themeColor="text1"/>
                <w:sz w:val="20"/>
                <w:szCs w:val="20"/>
              </w:rPr>
              <w:t>(Pierwotna data zakończenia projektu, sprzed zmiany: 29.01.2023 r.)</w:t>
            </w:r>
          </w:p>
        </w:tc>
      </w:tr>
    </w:tbl>
    <w:p w14:paraId="30071234" w14:textId="279FA2C4" w:rsidR="00CA516B" w:rsidRPr="00DC02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C0278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DC02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 xml:space="preserve">umożliwiają realizację Projektu, zatem nie wymagają one zmian. </w:t>
      </w:r>
    </w:p>
    <w:p w14:paraId="06A89517" w14:textId="44C4AC31" w:rsidR="00CE0D40" w:rsidRPr="00F94B05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W</w:t>
      </w:r>
      <w:r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>
        <w:rPr>
          <w:rFonts w:ascii="Arial" w:hAnsi="Arial" w:cs="Arial"/>
          <w:color w:val="auto"/>
          <w:sz w:val="20"/>
        </w:rPr>
        <w:t>:</w:t>
      </w:r>
    </w:p>
    <w:p w14:paraId="40568CFA" w14:textId="15DE92F4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10 maja 2018 r</w:t>
      </w:r>
      <w:r w:rsidR="00E833E5" w:rsidRPr="002429A1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5B8353C" w14:textId="77777777" w:rsidR="00534B6D" w:rsidRDefault="00534B6D" w:rsidP="000727A5"/>
    <w:p w14:paraId="0B9077F4" w14:textId="67ACCF74" w:rsidR="000727A5" w:rsidRPr="00534B6D" w:rsidRDefault="00534B6D" w:rsidP="000727A5">
      <w:pPr>
        <w:rPr>
          <w:b/>
        </w:rPr>
      </w:pPr>
      <w:r>
        <w:t xml:space="preserve">Wymagana zmiana przepisów prawa: </w:t>
      </w:r>
      <w:r w:rsidRPr="00534B6D">
        <w:rPr>
          <w:b/>
        </w:rPr>
        <w:t>nie dotyczy.</w:t>
      </w:r>
    </w:p>
    <w:p w14:paraId="147B986C" w14:textId="5A37E8CC" w:rsidR="003C7325" w:rsidRPr="009A36B8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A36B8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A36B8">
        <w:rPr>
          <w:rFonts w:ascii="Arial" w:hAnsi="Arial" w:cs="Arial"/>
          <w:b/>
          <w:color w:val="auto"/>
          <w:sz w:val="24"/>
          <w:szCs w:val="24"/>
        </w:rPr>
        <w:t>finansowy</w:t>
      </w:r>
      <w:r w:rsidR="008E7E58" w:rsidRPr="009A36B8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8E7E58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8E7E58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9A36B8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36B8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9A36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9A36B8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52694" w14:paraId="59735F91" w14:textId="77777777" w:rsidTr="00795AFA">
        <w:tc>
          <w:tcPr>
            <w:tcW w:w="2972" w:type="dxa"/>
          </w:tcPr>
          <w:p w14:paraId="027A8024" w14:textId="77777777" w:rsidR="002B31F8" w:rsidRPr="00C52694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6AFA0A34" w:rsidR="00907F6D" w:rsidRPr="00C52694" w:rsidRDefault="00C52694" w:rsidP="002B31F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60,47%</w:t>
            </w:r>
          </w:p>
        </w:tc>
        <w:tc>
          <w:tcPr>
            <w:tcW w:w="3260" w:type="dxa"/>
          </w:tcPr>
          <w:p w14:paraId="5032DE43" w14:textId="2777C976" w:rsidR="00907F6D" w:rsidRPr="00C52694" w:rsidRDefault="002B31F8" w:rsidP="005053F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1.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13,44%</w:t>
            </w:r>
          </w:p>
          <w:p w14:paraId="5C98BEE5" w14:textId="4EB2071C" w:rsidR="002B31F8" w:rsidRPr="00C52694" w:rsidRDefault="002B31F8" w:rsidP="005053F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6,76%</w:t>
            </w:r>
          </w:p>
          <w:p w14:paraId="4929DAC9" w14:textId="109EA02F" w:rsidR="002B31F8" w:rsidRPr="00C52694" w:rsidRDefault="002B31F8" w:rsidP="00141637">
            <w:pPr>
              <w:spacing w:before="120"/>
              <w:ind w:left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694"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C52694">
              <w:rPr>
                <w:rFonts w:ascii="Arial" w:hAnsi="Arial" w:cs="Arial"/>
                <w:color w:val="000000"/>
                <w:sz w:val="18"/>
                <w:szCs w:val="18"/>
              </w:rPr>
              <w:t>0,00005%</w:t>
            </w:r>
          </w:p>
        </w:tc>
        <w:tc>
          <w:tcPr>
            <w:tcW w:w="3402" w:type="dxa"/>
          </w:tcPr>
          <w:p w14:paraId="3D8C3A91" w14:textId="77777777" w:rsidR="00AC70C8" w:rsidRPr="00C52694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5BB31D3" w14:textId="3229ADE1" w:rsidR="00907F6D" w:rsidRPr="00C52694" w:rsidRDefault="002B4FC5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>94</w:t>
            </w:r>
            <w:r w:rsidR="00C52694" w:rsidRPr="00C52694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C5269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0E8A340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418"/>
        <w:gridCol w:w="1984"/>
      </w:tblGrid>
      <w:tr w:rsidR="004350B8" w:rsidRPr="002B50C0" w14:paraId="55961592" w14:textId="77777777" w:rsidTr="00BD32D2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13248FAD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5278BE0B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D9E0E9" w14:textId="63940D9F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CE0D40" w:rsidRPr="00863289" w14:paraId="2587565F" w14:textId="77777777" w:rsidTr="00BD32D2">
        <w:tc>
          <w:tcPr>
            <w:tcW w:w="3402" w:type="dxa"/>
            <w:vAlign w:val="center"/>
          </w:tcPr>
          <w:p w14:paraId="3BE3C628" w14:textId="5CDF72F5" w:rsidR="00CE0D40" w:rsidRPr="00863289" w:rsidRDefault="00CE0D40" w:rsidP="00895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Przeprowadzona i </w:t>
            </w:r>
            <w:r w:rsidR="00895922">
              <w:rPr>
                <w:rFonts w:ascii="Arial" w:hAnsi="Arial" w:cs="Arial"/>
                <w:sz w:val="18"/>
                <w:szCs w:val="18"/>
              </w:rPr>
              <w:t>zatwierdzona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Lidera </w:t>
            </w:r>
            <w:r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18474E99" w:rsidR="00CE0D40" w:rsidRPr="00E43928" w:rsidRDefault="00472F67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E0D40">
              <w:rPr>
                <w:rFonts w:ascii="Arial" w:hAnsi="Arial" w:cs="Arial"/>
                <w:sz w:val="18"/>
                <w:szCs w:val="18"/>
              </w:rPr>
              <w:t>-</w:t>
            </w:r>
            <w:r w:rsidR="00CE0D4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vAlign w:val="center"/>
          </w:tcPr>
          <w:p w14:paraId="371AEF52" w14:textId="6A2CAD7F" w:rsidR="00CE0D40" w:rsidRPr="00E43928" w:rsidRDefault="00676ECB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1984" w:type="dxa"/>
            <w:vAlign w:val="center"/>
          </w:tcPr>
          <w:p w14:paraId="1F5BF309" w14:textId="41CA1C9C" w:rsidR="00CE0D40" w:rsidRPr="009F41C3" w:rsidRDefault="00676ECB" w:rsidP="00676ECB">
            <w:pPr>
              <w:rPr>
                <w:rFonts w:ascii="Arial" w:hAnsi="Arial" w:cs="Arial"/>
                <w:sz w:val="18"/>
                <w:szCs w:val="18"/>
              </w:rPr>
            </w:pPr>
            <w:r w:rsidRPr="0087076A">
              <w:rPr>
                <w:rFonts w:ascii="Arial" w:hAnsi="Arial" w:cs="Arial"/>
                <w:sz w:val="18"/>
                <w:szCs w:val="18"/>
              </w:rPr>
              <w:t>R</w:t>
            </w:r>
            <w:r w:rsidR="00BD32D2" w:rsidRPr="0087076A">
              <w:rPr>
                <w:rFonts w:ascii="Arial" w:hAnsi="Arial" w:cs="Arial"/>
                <w:sz w:val="18"/>
                <w:szCs w:val="18"/>
              </w:rPr>
              <w:t xml:space="preserve">ealizacja kamienia nastąpiła </w:t>
            </w:r>
            <w:r w:rsidR="00893CEB" w:rsidRPr="0087076A">
              <w:rPr>
                <w:rFonts w:ascii="Arial" w:hAnsi="Arial" w:cs="Arial"/>
                <w:sz w:val="18"/>
                <w:szCs w:val="18"/>
              </w:rPr>
              <w:t>przed terminem krytycznym w</w:t>
            </w:r>
            <w:r w:rsidRPr="0087076A">
              <w:rPr>
                <w:rFonts w:ascii="Arial" w:hAnsi="Arial" w:cs="Arial"/>
                <w:sz w:val="18"/>
                <w:szCs w:val="18"/>
              </w:rPr>
              <w:t> </w:t>
            </w:r>
            <w:r w:rsidR="00893CEB" w:rsidRPr="005A241E">
              <w:rPr>
                <w:rFonts w:ascii="Arial" w:hAnsi="Arial" w:cs="Arial"/>
                <w:sz w:val="18"/>
                <w:szCs w:val="18"/>
              </w:rPr>
              <w:t>dniu 29-01-2021</w:t>
            </w:r>
            <w:r w:rsidR="0087076A" w:rsidRPr="005A241E">
              <w:rPr>
                <w:rFonts w:ascii="Arial" w:hAnsi="Arial" w:cs="Arial"/>
                <w:sz w:val="18"/>
                <w:szCs w:val="18"/>
              </w:rPr>
              <w:t xml:space="preserve"> nie podano powodów opóźnienia</w:t>
            </w:r>
          </w:p>
        </w:tc>
      </w:tr>
      <w:tr w:rsidR="00CE0D40" w:rsidRPr="00863289" w14:paraId="5631D3C4" w14:textId="77777777" w:rsidTr="00BD32D2">
        <w:tc>
          <w:tcPr>
            <w:tcW w:w="3402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1B0D6E" w14:textId="496A0766" w:rsidR="00CE0D40" w:rsidRPr="00871183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03570">
              <w:rPr>
                <w:rFonts w:ascii="Arial" w:hAnsi="Arial" w:cs="Arial"/>
                <w:sz w:val="18"/>
                <w:szCs w:val="18"/>
              </w:rPr>
              <w:t>5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5DDEF88C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DF1F431" w14:textId="77777777" w:rsidR="00CE0D40" w:rsidRPr="00D761D4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3D736166" w14:textId="77777777" w:rsidTr="00BD32D2">
        <w:tc>
          <w:tcPr>
            <w:tcW w:w="3402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46AFD26C" w:rsidR="00CE0D40" w:rsidRPr="00D761D4" w:rsidRDefault="002B20D0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20D0">
              <w:rPr>
                <w:rFonts w:ascii="Arial" w:hAnsi="Arial" w:cs="Arial"/>
                <w:sz w:val="18"/>
                <w:szCs w:val="18"/>
              </w:rPr>
              <w:t>0</w:t>
            </w:r>
            <w:r w:rsidR="00003570">
              <w:rPr>
                <w:rFonts w:ascii="Arial" w:hAnsi="Arial" w:cs="Arial"/>
                <w:sz w:val="18"/>
                <w:szCs w:val="18"/>
              </w:rPr>
              <w:t>7</w:t>
            </w:r>
            <w:r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CC3AD5D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BD32D2">
        <w:tc>
          <w:tcPr>
            <w:tcW w:w="3402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CE0D40" w:rsidRDefault="00534B6D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16</w:t>
            </w:r>
            <w:r w:rsidR="00CE0D40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7E0619">
              <w:rPr>
                <w:rFonts w:ascii="Arial" w:hAnsi="Arial" w:cs="Arial"/>
                <w:sz w:val="18"/>
                <w:szCs w:val="18"/>
              </w:rPr>
              <w:t>ystemów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CE0D40"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4A6139D5" w:rsidR="00CE0D40" w:rsidRPr="00D761D4" w:rsidRDefault="00BB671E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015E2">
              <w:rPr>
                <w:rFonts w:ascii="Arial" w:hAnsi="Arial" w:cs="Arial"/>
                <w:sz w:val="18"/>
                <w:szCs w:val="18"/>
              </w:rPr>
              <w:t>8</w:t>
            </w:r>
            <w:r w:rsidR="00494674" w:rsidRPr="0049467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2588E06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BD32D2">
        <w:tc>
          <w:tcPr>
            <w:tcW w:w="3402" w:type="dxa"/>
            <w:vAlign w:val="center"/>
          </w:tcPr>
          <w:p w14:paraId="2C52416B" w14:textId="19ADC960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Wdrożona usługa </w:t>
            </w:r>
            <w:r w:rsidR="00472F67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CE0D40" w:rsidRPr="00E43928" w:rsidRDefault="00CE0D40" w:rsidP="00534B6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4CFC7A0D" w:rsidR="00CE0D40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2B20D0" w:rsidRPr="002B20D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A7BB8F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BD32D2">
        <w:tc>
          <w:tcPr>
            <w:tcW w:w="3402" w:type="dxa"/>
            <w:vAlign w:val="center"/>
          </w:tcPr>
          <w:p w14:paraId="06279B6D" w14:textId="727EA188" w:rsidR="00E11099" w:rsidRPr="00863289" w:rsidRDefault="00E11099" w:rsidP="00583B1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pozytoria </w:t>
            </w:r>
            <w:r w:rsidRPr="00863289">
              <w:rPr>
                <w:rFonts w:ascii="Arial" w:hAnsi="Arial" w:cs="Arial"/>
                <w:sz w:val="18"/>
                <w:szCs w:val="18"/>
              </w:rPr>
              <w:t>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54A018E2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DBB6894" w14:textId="147DFCC9" w:rsidR="00E11099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9A7DED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BD32D2">
        <w:tc>
          <w:tcPr>
            <w:tcW w:w="3402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163CC430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D27A8">
              <w:rPr>
                <w:rFonts w:ascii="Arial" w:hAnsi="Arial" w:cs="Arial"/>
                <w:sz w:val="18"/>
                <w:szCs w:val="18"/>
              </w:rPr>
              <w:t>9</w:t>
            </w:r>
            <w:r w:rsidRPr="00871183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0FAC238E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BD32D2">
        <w:tc>
          <w:tcPr>
            <w:tcW w:w="3402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7515CA62" w:rsidR="00E11099" w:rsidRPr="00D761D4" w:rsidRDefault="00871183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1183">
              <w:rPr>
                <w:rFonts w:ascii="Arial" w:hAnsi="Arial" w:cs="Arial"/>
                <w:sz w:val="18"/>
                <w:szCs w:val="18"/>
              </w:rPr>
              <w:t>0</w:t>
            </w:r>
            <w:r w:rsidR="000D27A8">
              <w:rPr>
                <w:rFonts w:ascii="Arial" w:hAnsi="Arial" w:cs="Arial"/>
                <w:sz w:val="18"/>
                <w:szCs w:val="18"/>
              </w:rPr>
              <w:t>1</w:t>
            </w:r>
            <w:r w:rsidRPr="0087118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18" w:type="dxa"/>
            <w:vAlign w:val="center"/>
          </w:tcPr>
          <w:p w14:paraId="1E190A42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1AB58FF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527E10B2" w14:textId="77777777" w:rsidTr="00BD32D2">
        <w:tc>
          <w:tcPr>
            <w:tcW w:w="3402" w:type="dxa"/>
            <w:vAlign w:val="center"/>
          </w:tcPr>
          <w:p w14:paraId="4A0770EC" w14:textId="5A58656E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Uruchomiona produkcyjnie </w:t>
            </w:r>
            <w:r w:rsidR="00583B1C">
              <w:rPr>
                <w:rFonts w:ascii="Arial" w:hAnsi="Arial" w:cs="Arial"/>
                <w:sz w:val="18"/>
                <w:szCs w:val="18"/>
              </w:rPr>
              <w:t>e-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0328423B" w:rsidR="00E11099" w:rsidRPr="00D761D4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871183" w:rsidRPr="00871183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8155D0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69DE599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7A573CFC" w14:textId="77777777" w:rsidTr="00BD32D2">
        <w:tc>
          <w:tcPr>
            <w:tcW w:w="3402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Uruchomiona produkcyjnie funkcjonalność rejestru EDM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24C9DADB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50F768" w14:textId="2ABDD3B3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6F30266C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BD32D2">
        <w:tc>
          <w:tcPr>
            <w:tcW w:w="3402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91EBAB" w14:textId="4614CB02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000ABB84" w14:textId="77777777" w:rsidR="00E11099" w:rsidRPr="00A10B0E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6C879DD" w14:textId="77777777" w:rsidR="00E11099" w:rsidRPr="00A10B0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B0E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6589918F" w14:textId="77777777" w:rsidTr="00BD32D2">
        <w:tc>
          <w:tcPr>
            <w:tcW w:w="3402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11099" w:rsidRPr="00E43928" w:rsidRDefault="00183812" w:rsidP="002429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 – 2 usługi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E11099">
              <w:rPr>
                <w:rFonts w:ascii="Arial" w:hAnsi="Arial" w:cs="Arial"/>
                <w:sz w:val="18"/>
                <w:szCs w:val="18"/>
              </w:rPr>
              <w:t>KPI 3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>
              <w:rPr>
                <w:rFonts w:ascii="Arial" w:hAnsi="Arial" w:cs="Arial"/>
                <w:sz w:val="18"/>
                <w:szCs w:val="18"/>
              </w:rPr>
              <w:br/>
              <w:t>KPI 5 –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70</w:t>
            </w:r>
            <w:r>
              <w:rPr>
                <w:rFonts w:ascii="Arial" w:hAnsi="Arial" w:cs="Arial"/>
                <w:sz w:val="18"/>
                <w:szCs w:val="18"/>
              </w:rPr>
              <w:t>0TB</w:t>
            </w:r>
          </w:p>
        </w:tc>
        <w:tc>
          <w:tcPr>
            <w:tcW w:w="1417" w:type="dxa"/>
            <w:vAlign w:val="center"/>
          </w:tcPr>
          <w:p w14:paraId="0D020A9F" w14:textId="2F13D7C0" w:rsidR="00E11099" w:rsidRPr="003E7B68" w:rsidRDefault="000D27A8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3E7B68" w:rsidRPr="003E7B68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225E2079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2202F509" w:rsidR="00141A92" w:rsidRPr="00141A92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2B50C0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77333DD8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AB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C1AB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141A92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863289" w14:paraId="044A4672" w14:textId="77777777" w:rsidTr="00386009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276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593A8BB3" w:rsidR="001E2802" w:rsidRPr="00C229F6" w:rsidRDefault="007B1322" w:rsidP="00D95213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9521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D9521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D95213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386009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491AD56A" w:rsidR="00D95213" w:rsidRPr="00A618E2" w:rsidRDefault="00D95213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409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386009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5D94FB3A" w:rsidR="00E11099" w:rsidRPr="00A618E2" w:rsidRDefault="007B1322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E11099" w:rsidRPr="00A618E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386009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292F9C95" w:rsidR="00D95213" w:rsidRPr="00A618E2" w:rsidRDefault="00D95213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08-2022</w:t>
            </w:r>
          </w:p>
        </w:tc>
        <w:tc>
          <w:tcPr>
            <w:tcW w:w="2409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386009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8B71220" w:rsidR="00D95213" w:rsidRPr="00A618E2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409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386009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5F2FEEA9" w:rsidR="00D95213" w:rsidRPr="00A618E2" w:rsidRDefault="00D95213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409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386009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25E24031" w:rsidR="00D95213" w:rsidRPr="00A618E2" w:rsidRDefault="00D95213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08-2022</w:t>
            </w:r>
          </w:p>
        </w:tc>
        <w:tc>
          <w:tcPr>
            <w:tcW w:w="2409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386009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73C5662C" w:rsidR="00D95213" w:rsidRPr="00A618E2" w:rsidRDefault="00D95213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highlight w:val="yellow"/>
                <w:lang w:eastAsia="pl-PL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08-2022</w:t>
            </w:r>
          </w:p>
        </w:tc>
        <w:tc>
          <w:tcPr>
            <w:tcW w:w="2409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6234A024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477A8D77" w:rsidR="00E11099" w:rsidRPr="00DE71D3" w:rsidRDefault="002B4FC5" w:rsidP="007B1322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792F452E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37C503B6" w:rsidR="00E11099" w:rsidRPr="00DE71D3" w:rsidRDefault="002B4FC5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10E955E1" w:rsidR="00E11099" w:rsidRPr="00C229F6" w:rsidRDefault="002B4FC5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77777777" w:rsidR="00E11099" w:rsidRPr="00C229F6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2B50C0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2429A1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7586D905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obsługę procesów zdalnej rejestracji do poradni lekarskich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ab/>
            </w:r>
          </w:p>
          <w:p w14:paraId="5F76B614" w14:textId="71432E99" w:rsidR="00596D1E" w:rsidRPr="00A618E2" w:rsidRDefault="00596D1E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618E2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054D6C3E" w:rsidR="00741DB1" w:rsidRPr="003A5DE3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E71D3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</w:t>
            </w:r>
            <w:r w:rsidRPr="00DE71D3">
              <w:rPr>
                <w:rFonts w:ascii="Arial" w:hAnsi="Arial" w:cs="Arial"/>
                <w:sz w:val="18"/>
                <w:szCs w:val="18"/>
              </w:rPr>
              <w:lastRenderedPageBreak/>
              <w:t xml:space="preserve">w zakresie wymiany EDM oraz autentykacji i autoryzacji użytkownika, co umożliwia wysoki poziom </w:t>
            </w:r>
            <w:r w:rsidR="00386009" w:rsidRPr="00DE71D3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DE71D3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AC8CEEF" w14:textId="638C24B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916F3A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916F3A">
        <w:tc>
          <w:tcPr>
            <w:tcW w:w="3261" w:type="dxa"/>
            <w:vAlign w:val="center"/>
          </w:tcPr>
          <w:p w14:paraId="0E6DEA8B" w14:textId="757D742F" w:rsidR="00E11099" w:rsidRPr="00656DA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Brak doświadczenia i odpowiednich zasobów ludzkich po stronie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Lidera/Beneficjenta </w:t>
            </w:r>
            <w:r w:rsidRPr="00656DAE">
              <w:rPr>
                <w:rFonts w:ascii="Arial" w:hAnsi="Arial" w:cs="Arial"/>
                <w:sz w:val="18"/>
                <w:szCs w:val="18"/>
              </w:rPr>
              <w:t>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3DF2BE35" w:rsidR="00E11099" w:rsidRPr="00656DAE" w:rsidRDefault="002B4FC5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36FC4FE" w14:textId="088DA5E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6E089714" w:rsidR="00E11099" w:rsidRPr="00A55BA3" w:rsidRDefault="002B4FC5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</w:tc>
      </w:tr>
      <w:tr w:rsidR="00E11099" w:rsidRPr="00863289" w14:paraId="77ABC657" w14:textId="77777777" w:rsidTr="00916F3A">
        <w:tc>
          <w:tcPr>
            <w:tcW w:w="3261" w:type="dxa"/>
            <w:vAlign w:val="center"/>
          </w:tcPr>
          <w:p w14:paraId="2893DA36" w14:textId="186FAFE3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67E62767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544ED453" w:rsidR="00E11099" w:rsidRPr="00656DAE" w:rsidRDefault="002B4FC5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Nastąpiła zmiana 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>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 xml:space="preserve">, prawdopodobieństwo wystąpienia ryzyka zmieniło się z średniego na wysokie. </w:t>
            </w:r>
          </w:p>
        </w:tc>
      </w:tr>
      <w:tr w:rsidR="00E11099" w:rsidRPr="00863289" w14:paraId="3E72995C" w14:textId="77777777" w:rsidTr="00916F3A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4412C638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7C50AFBB" w14:textId="4F520577" w:rsidR="00E11099" w:rsidRPr="00A77561" w:rsidRDefault="002B4FC5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Brak zmian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C410F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5A71115B" w14:textId="77777777" w:rsidTr="00916F3A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5E399B1E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4FC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57128AE5" w:rsidR="00E11099" w:rsidRPr="00656DAE" w:rsidRDefault="002B4FC5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Nastąpiła zmiana 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>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</w:tc>
      </w:tr>
      <w:tr w:rsidR="00E11099" w:rsidRPr="00863289" w14:paraId="13B1A2F5" w14:textId="77777777" w:rsidTr="00916F3A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1B27821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52048E39" w:rsidR="00E11099" w:rsidRPr="00566E2F" w:rsidRDefault="002B4FC5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E11099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prawdopodobieństwo wystąpienia ryzyka zmieniło się z średniego na wysokie.</w:t>
            </w:r>
          </w:p>
        </w:tc>
      </w:tr>
      <w:tr w:rsidR="00E11099" w:rsidRPr="00863289" w14:paraId="44D7184B" w14:textId="77777777" w:rsidTr="00916F3A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656A5CE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4681C01E" w:rsidR="00E11099" w:rsidRPr="00AC0603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9472AD0" w14:textId="77777777" w:rsidTr="00916F3A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6EA0FDD4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FA83497" w14:textId="36FABE25" w:rsidR="00E11099" w:rsidRPr="00656DAE" w:rsidRDefault="002B4FC5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47E5B33A" w:rsidR="00E11099" w:rsidRPr="00CD73E0" w:rsidRDefault="002B4FC5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="009C117D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średniej na dużą, a prawdopodobieństwo wystąpienia ryzyka z niskiego na wysokie.</w:t>
            </w:r>
          </w:p>
        </w:tc>
      </w:tr>
      <w:tr w:rsidR="00E11099" w:rsidRPr="00863289" w14:paraId="3622E3A1" w14:textId="77777777" w:rsidTr="00916F3A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0726E130" w:rsidR="00E11099" w:rsidRPr="00656DAE" w:rsidRDefault="002B4FC5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B4FC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304864A" w14:textId="231ED68A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26C1242F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Wyłonienie podmiotu gwarantującego realizację wsparcia na poziomie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adekwatnym w wymogów zawartych w SIWZ oraz zapewniających realizację celów projektu i dostawę produktów z</w:t>
            </w:r>
            <w:r w:rsidR="00AC0D20">
              <w:rPr>
                <w:rFonts w:ascii="Arial" w:hAnsi="Arial" w:cs="Arial"/>
                <w:sz w:val="18"/>
                <w:szCs w:val="18"/>
              </w:rPr>
              <w:t>godnie ze Studium Wykonalności.</w:t>
            </w:r>
          </w:p>
          <w:p w14:paraId="4F670F02" w14:textId="4C5CA828" w:rsidR="00AC0D20" w:rsidRDefault="00AC0D2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0D20">
              <w:rPr>
                <w:rFonts w:ascii="Arial" w:hAnsi="Arial" w:cs="Arial"/>
                <w:b/>
                <w:sz w:val="18"/>
                <w:szCs w:val="18"/>
              </w:rPr>
              <w:t>Osiągnięto spodziewany efekt: ryzyko (zagrożenie) nie zmaterializowało się.</w:t>
            </w:r>
          </w:p>
          <w:p w14:paraId="19ABE0F9" w14:textId="6DDC882E" w:rsidR="002B4FC5" w:rsidRPr="00AC0D20" w:rsidRDefault="002B4FC5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Nastąpiła zmiana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7F6233">
              <w:rPr>
                <w:rFonts w:ascii="Arial" w:hAnsi="Arial" w:cs="Arial"/>
                <w:b/>
                <w:sz w:val="18"/>
                <w:szCs w:val="18"/>
              </w:rPr>
              <w:t>, siła oddziaływania na ryzyko zmieniła się z dużej na średnią.</w:t>
            </w:r>
          </w:p>
          <w:p w14:paraId="2309482E" w14:textId="7FE1B47C" w:rsidR="00E11099" w:rsidRPr="00566E2F" w:rsidRDefault="00E11099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11099" w:rsidRPr="00863289" w14:paraId="0950F0B6" w14:textId="77777777" w:rsidTr="00916F3A">
        <w:tc>
          <w:tcPr>
            <w:tcW w:w="3261" w:type="dxa"/>
            <w:vAlign w:val="center"/>
          </w:tcPr>
          <w:p w14:paraId="738365EF" w14:textId="3FB78E7A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1B7A5D45" w:rsidR="00E11099" w:rsidRPr="00656DAE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6CDB9C3" w14:textId="77777777" w:rsidTr="00916F3A">
        <w:tc>
          <w:tcPr>
            <w:tcW w:w="3261" w:type="dxa"/>
            <w:vAlign w:val="center"/>
          </w:tcPr>
          <w:p w14:paraId="012F3ECD" w14:textId="42CFF3DE" w:rsidR="00E11099" w:rsidRPr="00656DAE" w:rsidRDefault="00E11099" w:rsidP="006873F1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Rozwiązanie </w:t>
            </w:r>
            <w:r w:rsidR="006873F1">
              <w:rPr>
                <w:rFonts w:ascii="Arial" w:hAnsi="Arial" w:cs="Arial"/>
                <w:sz w:val="18"/>
                <w:szCs w:val="18"/>
              </w:rPr>
              <w:t>umowy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6581B48C" w:rsidR="00E11099" w:rsidRPr="00656DAE" w:rsidRDefault="006873F1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</w:tcPr>
          <w:p w14:paraId="423C8074" w14:textId="62EE837C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 Wykonywanie wszystkich zaleceń związanych z monitoringiem projektu przez CPPC wykonywanym przez POPC Wsparcie COI.</w:t>
            </w:r>
          </w:p>
          <w:p w14:paraId="2618BD7B" w14:textId="3E24B883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Utrzymanie w mocy 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Umowy </w:t>
            </w:r>
            <w:r>
              <w:rPr>
                <w:rFonts w:ascii="Arial" w:hAnsi="Arial" w:cs="Arial"/>
                <w:sz w:val="18"/>
                <w:szCs w:val="18"/>
              </w:rPr>
              <w:t>o Dofinansowaniu.</w:t>
            </w:r>
          </w:p>
          <w:p w14:paraId="1E29DB45" w14:textId="29F7B5D6" w:rsidR="00E11099" w:rsidRPr="00C229F6" w:rsidRDefault="00C410F0" w:rsidP="006873F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48EEA1D" w14:textId="77777777" w:rsidTr="00916F3A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FC5F7BA" w:rsidR="00E11099" w:rsidRPr="00656DAE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20A77E64" w14:textId="77777777" w:rsidTr="00916F3A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07248FA6" w14:textId="4BA85DF5" w:rsidR="00E11099" w:rsidRPr="00B03D6C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4F6A4C6D" w14:textId="77777777" w:rsidTr="00916F3A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6D1D7D5A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SWZ muszą uwzględniać i podkreślać aspekt integracji i zgodności rozwiązań używanych z wdrażanymi w Projekcie e-usługami. Położenie dużego nacisku na etap testowania rozwiązań.</w:t>
            </w:r>
          </w:p>
          <w:p w14:paraId="56A156A3" w14:textId="483324F4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SWZ oraz realizacja celów projektu zgodnie ze Studium Wykonalności. </w:t>
            </w:r>
          </w:p>
          <w:p w14:paraId="0685A07B" w14:textId="6DE72AF5" w:rsidR="00E11099" w:rsidRPr="00E77B38" w:rsidRDefault="00C410F0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8F8AC1A" w14:textId="77777777" w:rsidTr="00916F3A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26CAA3B2" w:rsidR="00E11099" w:rsidRPr="0091568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325E0CA" w14:textId="77777777" w:rsidTr="00916F3A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0174FF30" w:rsidR="00E11099" w:rsidRPr="00E325D7" w:rsidRDefault="00C410F0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5E446A7" w14:textId="77777777" w:rsidTr="00916F3A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2B4CCE96" w:rsidR="00E11099" w:rsidRPr="008835B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7B83A737" w14:textId="77777777" w:rsidTr="00916F3A">
        <w:tc>
          <w:tcPr>
            <w:tcW w:w="3261" w:type="dxa"/>
            <w:vAlign w:val="center"/>
          </w:tcPr>
          <w:p w14:paraId="03714370" w14:textId="2DB1C8E3" w:rsidR="00E11099" w:rsidRPr="008835B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shd w:val="clear" w:color="auto" w:fill="auto"/>
          </w:tcPr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1B05A6E6" w:rsidR="00E11099" w:rsidRPr="008835BE" w:rsidRDefault="00C410F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E11099" w:rsidRPr="00863289" w14:paraId="1E6ED724" w14:textId="77777777" w:rsidTr="00916F3A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4C1C73DC" w:rsidR="00E11099" w:rsidRPr="008835BE" w:rsidRDefault="00DC0278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E8A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3B8F770C" w:rsidR="00E11099" w:rsidRPr="008835BE" w:rsidRDefault="00C410F0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C0278" w:rsidRPr="00863289" w14:paraId="7F86EC00" w14:textId="77777777" w:rsidTr="00916F3A">
        <w:tc>
          <w:tcPr>
            <w:tcW w:w="3261" w:type="dxa"/>
          </w:tcPr>
          <w:p w14:paraId="633327A1" w14:textId="6582BD7A" w:rsidR="00DC0278" w:rsidRPr="008835BE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>
              <w:rPr>
                <w:rFonts w:ascii="Arial" w:hAnsi="Arial" w:cs="Arial"/>
                <w:sz w:val="18"/>
                <w:szCs w:val="18"/>
              </w:rPr>
              <w:t xml:space="preserve"> decyzji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sprawie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zmianie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i zmian w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armonogramie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lastRenderedPageBreak/>
              <w:t>związanych z ustawowym przesunięciem końca realizacji Projektu o 90 dni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tj. z 31-10-2022 do 29-01-2023.</w:t>
            </w:r>
          </w:p>
        </w:tc>
        <w:tc>
          <w:tcPr>
            <w:tcW w:w="992" w:type="dxa"/>
          </w:tcPr>
          <w:p w14:paraId="3C8443AC" w14:textId="1477D044" w:rsidR="00DC0278" w:rsidRPr="00724656" w:rsidRDefault="00895922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6" w:type="dxa"/>
          </w:tcPr>
          <w:p w14:paraId="392504D0" w14:textId="259B0432" w:rsidR="00DC0278" w:rsidRPr="00724656" w:rsidRDefault="00751E8A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2DE2785D" w14:textId="271673CB" w:rsidR="00DC0278" w:rsidRPr="008835BE" w:rsidRDefault="00751E8A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Redukcja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Przygotowanie wniosku z dobrym uzasadnieniem. Uzyskan</w:t>
            </w:r>
            <w:r w:rsidR="00AB5588"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z w:val="18"/>
                <w:szCs w:val="18"/>
              </w:rPr>
              <w:t>zgod</w:t>
            </w:r>
            <w:r w:rsidR="00AB558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KRMC na zmianę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MSWiA. Monitorowanie procesu decyzyjnego po stronie CPPC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720A93A" w14:textId="77777777" w:rsidR="00DC0278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Spodziewane efekty: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CSK MSWiA już zgromadzono 90% ról projektowych, poza Kierownikiem Projektu usytuowanym zawsze przy Liderze – MSWiA. Przejście Kierownika projektu do nowego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 w:rsidR="00751E8A"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 usprawni zarządzanie w szczególności z uwagi </w:t>
            </w:r>
            <w:r w:rsidR="00073A81">
              <w:rPr>
                <w:rFonts w:ascii="Arial" w:hAnsi="Arial" w:cs="Arial"/>
                <w:sz w:val="18"/>
                <w:szCs w:val="18"/>
              </w:rPr>
              <w:t>usunięcie barier formalnych (inny pracodawca) i organizacyjnych (inne miejsce pracy) np. w procesach tworzenia i organizacji pracy zespołów projektowych.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Dostosowanie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armonogramu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do opóźnień spowodowanych pandemią </w:t>
            </w:r>
            <w:r w:rsidR="00EC71E8">
              <w:rPr>
                <w:rFonts w:ascii="Arial" w:hAnsi="Arial" w:cs="Arial"/>
                <w:sz w:val="18"/>
                <w:szCs w:val="18"/>
              </w:rPr>
              <w:t>(</w:t>
            </w:r>
            <w:r w:rsidR="003D4428">
              <w:rPr>
                <w:rFonts w:ascii="Arial" w:hAnsi="Arial" w:cs="Arial"/>
                <w:sz w:val="18"/>
                <w:szCs w:val="18"/>
              </w:rPr>
              <w:t>przedłużono jedynie okres reali</w:t>
            </w:r>
            <w:r w:rsidR="00EC71E8">
              <w:rPr>
                <w:rFonts w:ascii="Arial" w:hAnsi="Arial" w:cs="Arial"/>
                <w:sz w:val="18"/>
                <w:szCs w:val="18"/>
              </w:rPr>
              <w:t>zacji analizy przedwdrożeniowej, a czas realizacji pozostałych zadań po tej analizie pozostawiono bez zmian) by uniknąć formalnego wykazywa</w:t>
            </w:r>
            <w:r w:rsidR="009C117D">
              <w:rPr>
                <w:rFonts w:ascii="Arial" w:hAnsi="Arial" w:cs="Arial"/>
                <w:sz w:val="18"/>
                <w:szCs w:val="18"/>
              </w:rPr>
              <w:t>nia opóźnienia bez faktycznego.</w:t>
            </w:r>
          </w:p>
          <w:p w14:paraId="2BFC0CE1" w14:textId="154D7EE6" w:rsidR="009C117D" w:rsidRPr="00751E8A" w:rsidRDefault="00C410F0" w:rsidP="00EC71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39645C" w:rsidRPr="00863289" w14:paraId="04404468" w14:textId="77777777" w:rsidTr="00916F3A">
        <w:tc>
          <w:tcPr>
            <w:tcW w:w="3261" w:type="dxa"/>
          </w:tcPr>
          <w:p w14:paraId="2CDD3D73" w14:textId="6D106A44" w:rsidR="00895922" w:rsidRPr="00A10B0E" w:rsidRDefault="00895922" w:rsidP="00895922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A10B0E">
              <w:rPr>
                <w:rFonts w:ascii="Arial" w:hAnsi="Arial" w:cs="Arial"/>
                <w:iCs/>
                <w:sz w:val="18"/>
                <w:szCs w:val="20"/>
              </w:rPr>
              <w:lastRenderedPageBreak/>
              <w:t xml:space="preserve">W związku z brakiem realizacji kamienia milowego: Przeprowadzona i zatwierdzona przez Lidera analiza przedwdrożeniowa dla Projektu. 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w planowanym terminie 31-12-2020 (zagadnienie) 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zidentyfikowano ryzyko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 (zagrożenie)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:</w:t>
            </w:r>
          </w:p>
          <w:p w14:paraId="4D8012BC" w14:textId="7ED81DBD" w:rsidR="00B90F4F" w:rsidRPr="008835BE" w:rsidRDefault="00895922" w:rsidP="00372D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Przedłużenie realizacji analizy przedwdrożeniowej przez wewnętrzny zespół projektowy Lidera Projektu poza </w:t>
            </w:r>
            <w:r w:rsidR="00B90F4F">
              <w:rPr>
                <w:rFonts w:ascii="Arial" w:hAnsi="Arial" w:cs="Arial"/>
                <w:sz w:val="18"/>
                <w:szCs w:val="18"/>
              </w:rPr>
              <w:t>datę punktu krytycznego 31-01-2021, tj. w pierwszym przedziale tolerancji.</w:t>
            </w:r>
          </w:p>
        </w:tc>
        <w:tc>
          <w:tcPr>
            <w:tcW w:w="992" w:type="dxa"/>
          </w:tcPr>
          <w:p w14:paraId="455B8C9D" w14:textId="088CBBE5" w:rsidR="0039645C" w:rsidRPr="008835BE" w:rsidRDefault="00895922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642E4677" w14:textId="621704FA" w:rsidR="0039645C" w:rsidRPr="008835BE" w:rsidRDefault="00B90F4F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4FA57A47" w14:textId="1ED55C9E" w:rsidR="0039645C" w:rsidRDefault="0039645C" w:rsidP="0039645C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Redukcja:</w:t>
            </w:r>
            <w:r>
              <w:rPr>
                <w:rFonts w:ascii="Arial" w:hAnsi="Arial" w:cs="Arial"/>
                <w:sz w:val="18"/>
                <w:szCs w:val="18"/>
              </w:rPr>
              <w:t xml:space="preserve"> skoncentrowanie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i intensyfikacja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wszystkich merytorycznych 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zespołu projektowego na realizacji zadań związanych 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zakończeniem zaawansowanej w realizacji </w:t>
            </w:r>
            <w:r>
              <w:rPr>
                <w:rFonts w:ascii="Arial" w:hAnsi="Arial" w:cs="Arial"/>
                <w:sz w:val="18"/>
                <w:szCs w:val="18"/>
              </w:rPr>
              <w:t>analizy przedwdrożeniowej.</w:t>
            </w:r>
          </w:p>
          <w:p w14:paraId="6D8467E8" w14:textId="77777777" w:rsidR="0039645C" w:rsidRDefault="0039645C" w:rsidP="00B90F4F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maksymalne skrócenie przekroczenia terminu </w:t>
            </w:r>
            <w:r w:rsidR="00B90F4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siągnięcia kamienia milowego</w:t>
            </w:r>
            <w:r w:rsidR="00B90F4F">
              <w:rPr>
                <w:rFonts w:ascii="Arial" w:hAnsi="Arial" w:cs="Arial"/>
                <w:sz w:val="18"/>
                <w:szCs w:val="18"/>
              </w:rPr>
              <w:t>: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0F4F">
              <w:rPr>
                <w:rFonts w:ascii="Arial" w:hAnsi="Arial" w:cs="Arial"/>
                <w:sz w:val="18"/>
                <w:szCs w:val="18"/>
              </w:rPr>
              <w:t>Przeprowadzona i zatwierdzona przez Lidera analiza przedwdrożeniowa.</w:t>
            </w:r>
          </w:p>
          <w:p w14:paraId="1850EE3D" w14:textId="5909F5C0" w:rsidR="00916F3A" w:rsidRDefault="00C410F0" w:rsidP="00372D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60FDD0CD" w14:textId="4D7839DF" w:rsidR="00916F3A" w:rsidRPr="00751E8A" w:rsidRDefault="00916F3A" w:rsidP="00372DA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6F3A" w14:paraId="73B34373" w14:textId="77777777" w:rsidTr="00916F3A">
        <w:trPr>
          <w:trHeight w:val="444"/>
        </w:trPr>
        <w:tc>
          <w:tcPr>
            <w:tcW w:w="3261" w:type="dxa"/>
            <w:hideMark/>
          </w:tcPr>
          <w:p w14:paraId="33606848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cen robót budowlanych wpływający na możliwość wykonania modernizacji serwerowni </w:t>
            </w:r>
          </w:p>
        </w:tc>
        <w:tc>
          <w:tcPr>
            <w:tcW w:w="992" w:type="dxa"/>
            <w:hideMark/>
          </w:tcPr>
          <w:p w14:paraId="148D7357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276" w:type="dxa"/>
            <w:hideMark/>
          </w:tcPr>
          <w:p w14:paraId="118E9AA3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6CF2460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zakresu prac budowlanych i ewentualne zmniejszenie zakresu prac.</w:t>
            </w:r>
          </w:p>
        </w:tc>
      </w:tr>
      <w:tr w:rsidR="00916F3A" w14:paraId="719E202F" w14:textId="77777777" w:rsidTr="00916F3A">
        <w:trPr>
          <w:trHeight w:val="444"/>
        </w:trPr>
        <w:tc>
          <w:tcPr>
            <w:tcW w:w="3261" w:type="dxa"/>
            <w:hideMark/>
          </w:tcPr>
          <w:p w14:paraId="3F2F850B" w14:textId="77777777" w:rsidR="00916F3A" w:rsidRDefault="00916F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Wzrost cen sprzętu informatycznego</w:t>
            </w:r>
          </w:p>
        </w:tc>
        <w:tc>
          <w:tcPr>
            <w:tcW w:w="992" w:type="dxa"/>
            <w:hideMark/>
          </w:tcPr>
          <w:p w14:paraId="1D0FD0FD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276" w:type="dxa"/>
            <w:hideMark/>
          </w:tcPr>
          <w:p w14:paraId="02D13329" w14:textId="77777777" w:rsidR="00916F3A" w:rsidRDefault="00916F3A">
            <w:pPr>
              <w:pStyle w:val="Legenda"/>
              <w:spacing w:line="252" w:lineRule="auto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 w:val="18"/>
                <w:szCs w:val="18"/>
              </w:rPr>
              <w:t>Wysokie</w:t>
            </w:r>
          </w:p>
        </w:tc>
        <w:tc>
          <w:tcPr>
            <w:tcW w:w="4110" w:type="dxa"/>
            <w:hideMark/>
          </w:tcPr>
          <w:p w14:paraId="2EA456AE" w14:textId="77777777" w:rsidR="00916F3A" w:rsidRDefault="00916F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Redukowanie: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Weryfikacja potrzeb i przetargi z opcją dokupienia sprzętu gdy wystarczy środków.</w:t>
            </w:r>
          </w:p>
        </w:tc>
      </w:tr>
    </w:tbl>
    <w:p w14:paraId="7BB64F32" w14:textId="3A6DDD94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1780992B" w:rsidR="00AC70C8" w:rsidRPr="00A55BA3" w:rsidRDefault="00EF35D7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="00AC70C8"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3F01DD6C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8B4F90">
              <w:rPr>
                <w:rFonts w:ascii="Arial" w:hAnsi="Arial" w:cs="Arial"/>
                <w:b w:val="0"/>
                <w:sz w:val="18"/>
                <w:szCs w:val="18"/>
              </w:rPr>
              <w:t>: Kampania Informacyjno-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35E1C345" w:rsidR="00AC70C8" w:rsidRPr="009155FF" w:rsidRDefault="00C410F0" w:rsidP="00AC70C8">
            <w:pPr>
              <w:spacing w:after="0"/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58014E7A" w:rsidR="00AC70C8" w:rsidRPr="00A95D96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54E55BC2" w:rsidR="00AC70C8" w:rsidRPr="00CD73E0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134EA7B9" w:rsidR="00AC70C8" w:rsidRPr="0047678A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4BEA663F" w:rsidR="00AC70C8" w:rsidRPr="00E77B38" w:rsidRDefault="00C410F0" w:rsidP="00AC70C8">
            <w:pPr>
              <w:spacing w:after="0"/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03846A06" w:rsidR="00AC70C8" w:rsidRPr="00322FFA" w:rsidRDefault="00C410F0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</w:t>
            </w: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>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 xml:space="preserve">zasadach realizacji programów w </w:t>
            </w:r>
            <w:r w:rsidRPr="00322FFA">
              <w:rPr>
                <w:rFonts w:ascii="Arial" w:hAnsi="Arial" w:cs="Arial"/>
                <w:sz w:val="18"/>
              </w:rPr>
              <w:lastRenderedPageBreak/>
              <w:t>zakresie polityki spójności finansowanych w perspektywie finansowej 2014–2020</w:t>
            </w:r>
          </w:p>
          <w:p w14:paraId="5D9B19AF" w14:textId="77777777" w:rsidR="00966D6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  <w:r w:rsidR="00966D6A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D17D780" w14:textId="0CE96605" w:rsidR="00AC70C8" w:rsidRPr="00322FFA" w:rsidRDefault="00C410F0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713EA3EC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0DA4F915" w14:textId="7CAA1FC2" w:rsidR="00966D6A" w:rsidRPr="00322FFA" w:rsidRDefault="00C410F0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Brak zmian</w:t>
            </w: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</w:tbl>
    <w:p w14:paraId="33071B39" w14:textId="4909B593" w:rsidR="00805178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1F1FBE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1F1FBE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372DA5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2" w:name="_Hlk18274129"/>
    </w:p>
    <w:bookmarkEnd w:id="2"/>
    <w:p w14:paraId="7E72671B" w14:textId="1910D674" w:rsidR="00A10B0E" w:rsidRPr="00EC71E8" w:rsidRDefault="00A10B0E" w:rsidP="00A10B0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Dariusz Dagiel</w:t>
      </w:r>
    </w:p>
    <w:p w14:paraId="05EA7F2F" w14:textId="3497E731" w:rsidR="00A10B0E" w:rsidRPr="00EC71E8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Kierownik Projektu</w:t>
      </w:r>
      <w:r w:rsidR="006D4761">
        <w:rPr>
          <w:rFonts w:ascii="Arial" w:hAnsi="Arial" w:cs="Arial"/>
          <w:sz w:val="18"/>
        </w:rPr>
        <w:t>.</w:t>
      </w:r>
    </w:p>
    <w:p w14:paraId="101DD1AB" w14:textId="60D8FF52" w:rsidR="00A10B0E" w:rsidRPr="00EC71E8" w:rsidRDefault="00A10B0E" w:rsidP="00A10B0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Główny Specjalista, Centrum Projektów e-Zdrowie,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6B0B83B" w14:textId="7FED706F" w:rsidR="002429A1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8" w:history="1">
        <w:r w:rsidR="002C71E5" w:rsidRPr="00063472">
          <w:rPr>
            <w:rStyle w:val="Hipercze"/>
            <w:rFonts w:ascii="Arial" w:hAnsi="Arial" w:cs="Arial"/>
            <w:sz w:val="18"/>
          </w:rPr>
          <w:t>dariusz.dagiel@cskmswia.gov.pl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 w:rsidR="002429A1">
        <w:rPr>
          <w:rFonts w:ascii="Arial" w:hAnsi="Arial" w:cs="Arial"/>
          <w:i/>
          <w:sz w:val="18"/>
        </w:rPr>
        <w:t>Te</w:t>
      </w:r>
      <w:r w:rsidR="002429A1" w:rsidRPr="00EC71E8">
        <w:rPr>
          <w:rFonts w:ascii="Arial" w:hAnsi="Arial" w:cs="Arial"/>
          <w:i/>
          <w:sz w:val="18"/>
        </w:rPr>
        <w:t>lefon</w:t>
      </w:r>
      <w:r w:rsidR="002429A1" w:rsidRPr="00EC71E8">
        <w:rPr>
          <w:rFonts w:ascii="Arial" w:hAnsi="Arial" w:cs="Arial"/>
          <w:sz w:val="18"/>
        </w:rPr>
        <w:t>: +48</w:t>
      </w:r>
      <w:r w:rsidR="002429A1">
        <w:rPr>
          <w:rFonts w:ascii="Arial" w:hAnsi="Arial" w:cs="Arial"/>
          <w:sz w:val="18"/>
        </w:rPr>
        <w:t> 509 001</w:t>
      </w:r>
      <w:r w:rsidR="00A712EE">
        <w:rPr>
          <w:rFonts w:ascii="Arial" w:hAnsi="Arial" w:cs="Arial"/>
          <w:sz w:val="18"/>
        </w:rPr>
        <w:t> </w:t>
      </w:r>
      <w:r w:rsidR="002429A1">
        <w:rPr>
          <w:rFonts w:ascii="Arial" w:hAnsi="Arial" w:cs="Arial"/>
          <w:sz w:val="18"/>
        </w:rPr>
        <w:t>600.</w:t>
      </w:r>
    </w:p>
    <w:p w14:paraId="603A647B" w14:textId="7CF39CC6" w:rsidR="00A712EE" w:rsidRPr="00EC71E8" w:rsidRDefault="00A712EE" w:rsidP="00A712E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Krzysztof Płaciszewski</w:t>
      </w:r>
    </w:p>
    <w:p w14:paraId="3B2D9CD3" w14:textId="46D02903" w:rsidR="00A712EE" w:rsidRPr="00EC71E8" w:rsidRDefault="00A712EE" w:rsidP="00A712E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Sekretarz Komitetu Sterującego Projektu</w:t>
      </w:r>
      <w:r w:rsidR="00996EC4">
        <w:rPr>
          <w:rFonts w:ascii="Arial" w:hAnsi="Arial" w:cs="Arial"/>
          <w:sz w:val="18"/>
        </w:rPr>
        <w:t xml:space="preserve"> / Nadzór Projektu</w:t>
      </w:r>
      <w:r>
        <w:rPr>
          <w:rFonts w:ascii="Arial" w:hAnsi="Arial" w:cs="Arial"/>
          <w:sz w:val="18"/>
        </w:rPr>
        <w:t>,</w:t>
      </w:r>
    </w:p>
    <w:p w14:paraId="5FE611D5" w14:textId="61B466CF" w:rsidR="00A712EE" w:rsidRPr="00EC71E8" w:rsidRDefault="00A712EE" w:rsidP="00A712E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Zastępca Dyrektora CSK MSWiA ds. Teleinformatycznych i Inżynierii Medycznej,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0EC9C71" w14:textId="2456171B" w:rsidR="00A712EE" w:rsidRDefault="00A712E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9" w:history="1">
        <w:r w:rsidR="008B4F90" w:rsidRPr="005C6ACC">
          <w:rPr>
            <w:rStyle w:val="Hipercze"/>
            <w:rFonts w:ascii="Arial" w:hAnsi="Arial" w:cs="Arial"/>
            <w:sz w:val="18"/>
          </w:rPr>
          <w:t>krzysztof.placiszewski@cskmswia.gov.pl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8"/>
        </w:rPr>
        <w:t>Te</w:t>
      </w:r>
      <w:r w:rsidRPr="00EC71E8">
        <w:rPr>
          <w:rFonts w:ascii="Arial" w:hAnsi="Arial" w:cs="Arial"/>
          <w:i/>
          <w:sz w:val="18"/>
        </w:rPr>
        <w:t>lefon</w:t>
      </w:r>
      <w:r w:rsidRPr="00EC71E8">
        <w:rPr>
          <w:rFonts w:ascii="Arial" w:hAnsi="Arial" w:cs="Arial"/>
          <w:sz w:val="18"/>
        </w:rPr>
        <w:t>: +48</w:t>
      </w:r>
      <w:r>
        <w:rPr>
          <w:rFonts w:ascii="Arial" w:hAnsi="Arial" w:cs="Arial"/>
          <w:sz w:val="18"/>
        </w:rPr>
        <w:t> 785 023 929.</w:t>
      </w:r>
    </w:p>
    <w:sectPr w:rsidR="00A712EE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21E0A" w14:textId="77777777" w:rsidR="009A0BFD" w:rsidRDefault="009A0BFD" w:rsidP="00BB2420">
      <w:pPr>
        <w:spacing w:after="0" w:line="240" w:lineRule="auto"/>
      </w:pPr>
      <w:r>
        <w:separator/>
      </w:r>
    </w:p>
  </w:endnote>
  <w:endnote w:type="continuationSeparator" w:id="0">
    <w:p w14:paraId="7BEB1D18" w14:textId="77777777" w:rsidR="009A0BFD" w:rsidRDefault="009A0BF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411576" w:rsidR="00003570" w:rsidRDefault="0000357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74E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003570" w:rsidRDefault="000035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814E7" w14:textId="77777777" w:rsidR="009A0BFD" w:rsidRDefault="009A0BFD" w:rsidP="00BB2420">
      <w:pPr>
        <w:spacing w:after="0" w:line="240" w:lineRule="auto"/>
      </w:pPr>
      <w:r>
        <w:separator/>
      </w:r>
    </w:p>
  </w:footnote>
  <w:footnote w:type="continuationSeparator" w:id="0">
    <w:p w14:paraId="5C31CCE2" w14:textId="77777777" w:rsidR="009A0BFD" w:rsidRDefault="009A0BF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03570" w:rsidRDefault="000035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70"/>
    <w:rsid w:val="00003CB0"/>
    <w:rsid w:val="00006E59"/>
    <w:rsid w:val="00013954"/>
    <w:rsid w:val="00031C44"/>
    <w:rsid w:val="000348EC"/>
    <w:rsid w:val="00043DD9"/>
    <w:rsid w:val="00044D68"/>
    <w:rsid w:val="00047D9D"/>
    <w:rsid w:val="00057B6E"/>
    <w:rsid w:val="0006403E"/>
    <w:rsid w:val="000674E0"/>
    <w:rsid w:val="00070663"/>
    <w:rsid w:val="00071880"/>
    <w:rsid w:val="000727A5"/>
    <w:rsid w:val="00073A81"/>
    <w:rsid w:val="00084E5B"/>
    <w:rsid w:val="00087231"/>
    <w:rsid w:val="00093207"/>
    <w:rsid w:val="00095944"/>
    <w:rsid w:val="000A1DFB"/>
    <w:rsid w:val="000A2F32"/>
    <w:rsid w:val="000A3938"/>
    <w:rsid w:val="000B059E"/>
    <w:rsid w:val="000B3E49"/>
    <w:rsid w:val="000D27A8"/>
    <w:rsid w:val="000E0060"/>
    <w:rsid w:val="000E1828"/>
    <w:rsid w:val="000E4BF8"/>
    <w:rsid w:val="000F20A9"/>
    <w:rsid w:val="000F307B"/>
    <w:rsid w:val="000F30B9"/>
    <w:rsid w:val="0011693F"/>
    <w:rsid w:val="00122388"/>
    <w:rsid w:val="00123E0D"/>
    <w:rsid w:val="00124C3D"/>
    <w:rsid w:val="001309CA"/>
    <w:rsid w:val="00141637"/>
    <w:rsid w:val="00141A92"/>
    <w:rsid w:val="001441D4"/>
    <w:rsid w:val="00145E84"/>
    <w:rsid w:val="0015102C"/>
    <w:rsid w:val="00153381"/>
    <w:rsid w:val="00172813"/>
    <w:rsid w:val="00176FBB"/>
    <w:rsid w:val="00181E97"/>
    <w:rsid w:val="00182A08"/>
    <w:rsid w:val="00183812"/>
    <w:rsid w:val="001A2EF2"/>
    <w:rsid w:val="001C2D74"/>
    <w:rsid w:val="001C7FAC"/>
    <w:rsid w:val="001E084C"/>
    <w:rsid w:val="001E0908"/>
    <w:rsid w:val="001E0CAC"/>
    <w:rsid w:val="001E16A3"/>
    <w:rsid w:val="001E1DEA"/>
    <w:rsid w:val="001E2802"/>
    <w:rsid w:val="001E7199"/>
    <w:rsid w:val="001F1FBE"/>
    <w:rsid w:val="001F24A0"/>
    <w:rsid w:val="001F67EC"/>
    <w:rsid w:val="0020330A"/>
    <w:rsid w:val="00233E11"/>
    <w:rsid w:val="00237279"/>
    <w:rsid w:val="00240D69"/>
    <w:rsid w:val="00241B5E"/>
    <w:rsid w:val="002429A1"/>
    <w:rsid w:val="00252087"/>
    <w:rsid w:val="00263392"/>
    <w:rsid w:val="00265194"/>
    <w:rsid w:val="00276C00"/>
    <w:rsid w:val="002825F1"/>
    <w:rsid w:val="00293351"/>
    <w:rsid w:val="00294349"/>
    <w:rsid w:val="002A3C02"/>
    <w:rsid w:val="002A4F55"/>
    <w:rsid w:val="002A5452"/>
    <w:rsid w:val="002B20D0"/>
    <w:rsid w:val="002B31F8"/>
    <w:rsid w:val="002B46A0"/>
    <w:rsid w:val="002B4889"/>
    <w:rsid w:val="002B4FC5"/>
    <w:rsid w:val="002B50C0"/>
    <w:rsid w:val="002B6F21"/>
    <w:rsid w:val="002C71E5"/>
    <w:rsid w:val="002D3D4A"/>
    <w:rsid w:val="002D7ADA"/>
    <w:rsid w:val="002E2FAF"/>
    <w:rsid w:val="002E4340"/>
    <w:rsid w:val="002F29A3"/>
    <w:rsid w:val="003010F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2DA5"/>
    <w:rsid w:val="003801D4"/>
    <w:rsid w:val="00386009"/>
    <w:rsid w:val="00392919"/>
    <w:rsid w:val="0039645C"/>
    <w:rsid w:val="003A1093"/>
    <w:rsid w:val="003A4115"/>
    <w:rsid w:val="003B5B7A"/>
    <w:rsid w:val="003C7325"/>
    <w:rsid w:val="003D41FF"/>
    <w:rsid w:val="003D4428"/>
    <w:rsid w:val="003D7DD0"/>
    <w:rsid w:val="003E3144"/>
    <w:rsid w:val="003E345B"/>
    <w:rsid w:val="003E4DB2"/>
    <w:rsid w:val="003E6DE2"/>
    <w:rsid w:val="003E7B68"/>
    <w:rsid w:val="003F6A7D"/>
    <w:rsid w:val="00403F17"/>
    <w:rsid w:val="00405EA4"/>
    <w:rsid w:val="0041034F"/>
    <w:rsid w:val="004118A3"/>
    <w:rsid w:val="00417033"/>
    <w:rsid w:val="00423A26"/>
    <w:rsid w:val="00425046"/>
    <w:rsid w:val="00431BDD"/>
    <w:rsid w:val="004347E7"/>
    <w:rsid w:val="004350B8"/>
    <w:rsid w:val="00444AAB"/>
    <w:rsid w:val="00450089"/>
    <w:rsid w:val="00460416"/>
    <w:rsid w:val="004729D1"/>
    <w:rsid w:val="00472F67"/>
    <w:rsid w:val="00482632"/>
    <w:rsid w:val="004876FC"/>
    <w:rsid w:val="00494674"/>
    <w:rsid w:val="004C1D48"/>
    <w:rsid w:val="004D3439"/>
    <w:rsid w:val="004D65CA"/>
    <w:rsid w:val="004F6E89"/>
    <w:rsid w:val="00504B06"/>
    <w:rsid w:val="005053F8"/>
    <w:rsid w:val="005076A1"/>
    <w:rsid w:val="00513213"/>
    <w:rsid w:val="00517F12"/>
    <w:rsid w:val="0052102C"/>
    <w:rsid w:val="005212C8"/>
    <w:rsid w:val="00524E6C"/>
    <w:rsid w:val="005332D6"/>
    <w:rsid w:val="00534B6D"/>
    <w:rsid w:val="00544DFE"/>
    <w:rsid w:val="005548F2"/>
    <w:rsid w:val="00565145"/>
    <w:rsid w:val="0057275A"/>
    <w:rsid w:val="005734CE"/>
    <w:rsid w:val="0057559C"/>
    <w:rsid w:val="00583B1C"/>
    <w:rsid w:val="005840AB"/>
    <w:rsid w:val="00586664"/>
    <w:rsid w:val="00593290"/>
    <w:rsid w:val="00596D1E"/>
    <w:rsid w:val="005A0E33"/>
    <w:rsid w:val="005A12F7"/>
    <w:rsid w:val="005A1B30"/>
    <w:rsid w:val="005A241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35DD"/>
    <w:rsid w:val="005E6ABD"/>
    <w:rsid w:val="005F41FA"/>
    <w:rsid w:val="00600AE4"/>
    <w:rsid w:val="006054AA"/>
    <w:rsid w:val="00611961"/>
    <w:rsid w:val="0062054D"/>
    <w:rsid w:val="006334BF"/>
    <w:rsid w:val="00635A54"/>
    <w:rsid w:val="00661A62"/>
    <w:rsid w:val="0066336B"/>
    <w:rsid w:val="006731D9"/>
    <w:rsid w:val="00676ECB"/>
    <w:rsid w:val="006822BC"/>
    <w:rsid w:val="006873F1"/>
    <w:rsid w:val="006948D3"/>
    <w:rsid w:val="006A60AA"/>
    <w:rsid w:val="006B034F"/>
    <w:rsid w:val="006B5117"/>
    <w:rsid w:val="006C1AB6"/>
    <w:rsid w:val="006C78AE"/>
    <w:rsid w:val="006D18CD"/>
    <w:rsid w:val="006D4761"/>
    <w:rsid w:val="006E0CFA"/>
    <w:rsid w:val="006E56A3"/>
    <w:rsid w:val="006E6205"/>
    <w:rsid w:val="00701800"/>
    <w:rsid w:val="00724656"/>
    <w:rsid w:val="00725708"/>
    <w:rsid w:val="00740A47"/>
    <w:rsid w:val="00741DB1"/>
    <w:rsid w:val="00746ABD"/>
    <w:rsid w:val="00751E8A"/>
    <w:rsid w:val="0077418F"/>
    <w:rsid w:val="00775C44"/>
    <w:rsid w:val="00776802"/>
    <w:rsid w:val="007815C1"/>
    <w:rsid w:val="007924CE"/>
    <w:rsid w:val="00795AFA"/>
    <w:rsid w:val="007A4742"/>
    <w:rsid w:val="007B0251"/>
    <w:rsid w:val="007B1322"/>
    <w:rsid w:val="007B52A5"/>
    <w:rsid w:val="007C2F7E"/>
    <w:rsid w:val="007C6235"/>
    <w:rsid w:val="007C70D1"/>
    <w:rsid w:val="007D1990"/>
    <w:rsid w:val="007D2C34"/>
    <w:rsid w:val="007D38BD"/>
    <w:rsid w:val="007D3F21"/>
    <w:rsid w:val="007E0619"/>
    <w:rsid w:val="007E341A"/>
    <w:rsid w:val="007F0CBE"/>
    <w:rsid w:val="007F126F"/>
    <w:rsid w:val="007F6233"/>
    <w:rsid w:val="00803FBE"/>
    <w:rsid w:val="00805178"/>
    <w:rsid w:val="00806134"/>
    <w:rsid w:val="00820862"/>
    <w:rsid w:val="00830B70"/>
    <w:rsid w:val="00840749"/>
    <w:rsid w:val="00846AA0"/>
    <w:rsid w:val="00857D85"/>
    <w:rsid w:val="0087076A"/>
    <w:rsid w:val="00871183"/>
    <w:rsid w:val="0087452F"/>
    <w:rsid w:val="00875528"/>
    <w:rsid w:val="00884686"/>
    <w:rsid w:val="00893CEB"/>
    <w:rsid w:val="00895922"/>
    <w:rsid w:val="008A332F"/>
    <w:rsid w:val="008A52F6"/>
    <w:rsid w:val="008B4F90"/>
    <w:rsid w:val="008C4BCD"/>
    <w:rsid w:val="008C6721"/>
    <w:rsid w:val="008D3826"/>
    <w:rsid w:val="008E7E58"/>
    <w:rsid w:val="008F2D9B"/>
    <w:rsid w:val="008F67EE"/>
    <w:rsid w:val="00907F6D"/>
    <w:rsid w:val="00911190"/>
    <w:rsid w:val="0091332C"/>
    <w:rsid w:val="00916F3A"/>
    <w:rsid w:val="009256F2"/>
    <w:rsid w:val="00933BEC"/>
    <w:rsid w:val="009347B8"/>
    <w:rsid w:val="00936729"/>
    <w:rsid w:val="00944858"/>
    <w:rsid w:val="0095183B"/>
    <w:rsid w:val="00952126"/>
    <w:rsid w:val="00952617"/>
    <w:rsid w:val="00952F05"/>
    <w:rsid w:val="009663A6"/>
    <w:rsid w:val="00966D6A"/>
    <w:rsid w:val="00971A40"/>
    <w:rsid w:val="00973587"/>
    <w:rsid w:val="00976434"/>
    <w:rsid w:val="00992EA3"/>
    <w:rsid w:val="009967CA"/>
    <w:rsid w:val="00996EC4"/>
    <w:rsid w:val="009A0BFD"/>
    <w:rsid w:val="009A17FF"/>
    <w:rsid w:val="009A36B8"/>
    <w:rsid w:val="009B4423"/>
    <w:rsid w:val="009C117D"/>
    <w:rsid w:val="009C3AC3"/>
    <w:rsid w:val="009C6140"/>
    <w:rsid w:val="009D2FA4"/>
    <w:rsid w:val="009D7D8A"/>
    <w:rsid w:val="009E4C67"/>
    <w:rsid w:val="009F09BF"/>
    <w:rsid w:val="009F1DC8"/>
    <w:rsid w:val="009F437E"/>
    <w:rsid w:val="00A015E2"/>
    <w:rsid w:val="00A044D4"/>
    <w:rsid w:val="00A0767B"/>
    <w:rsid w:val="00A10B0E"/>
    <w:rsid w:val="00A11788"/>
    <w:rsid w:val="00A30847"/>
    <w:rsid w:val="00A330A3"/>
    <w:rsid w:val="00A36994"/>
    <w:rsid w:val="00A36AE2"/>
    <w:rsid w:val="00A43E49"/>
    <w:rsid w:val="00A44EA2"/>
    <w:rsid w:val="00A56D63"/>
    <w:rsid w:val="00A618E2"/>
    <w:rsid w:val="00A67685"/>
    <w:rsid w:val="00A712EE"/>
    <w:rsid w:val="00A728AE"/>
    <w:rsid w:val="00A804AE"/>
    <w:rsid w:val="00A86449"/>
    <w:rsid w:val="00A8723C"/>
    <w:rsid w:val="00A87C1C"/>
    <w:rsid w:val="00A92887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E1643"/>
    <w:rsid w:val="00AE3A6C"/>
    <w:rsid w:val="00AF09B8"/>
    <w:rsid w:val="00AF562F"/>
    <w:rsid w:val="00AF567D"/>
    <w:rsid w:val="00B14D2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162D"/>
    <w:rsid w:val="00B74859"/>
    <w:rsid w:val="00B87D3D"/>
    <w:rsid w:val="00B90F4F"/>
    <w:rsid w:val="00B91243"/>
    <w:rsid w:val="00BA0CBA"/>
    <w:rsid w:val="00BA1422"/>
    <w:rsid w:val="00BA481C"/>
    <w:rsid w:val="00BB059E"/>
    <w:rsid w:val="00BB18FD"/>
    <w:rsid w:val="00BB2420"/>
    <w:rsid w:val="00BB49AC"/>
    <w:rsid w:val="00BB5ACE"/>
    <w:rsid w:val="00BB671E"/>
    <w:rsid w:val="00BC1BD2"/>
    <w:rsid w:val="00BC6BE4"/>
    <w:rsid w:val="00BD32D2"/>
    <w:rsid w:val="00BE47CD"/>
    <w:rsid w:val="00BE5BF9"/>
    <w:rsid w:val="00C106E2"/>
    <w:rsid w:val="00C1106C"/>
    <w:rsid w:val="00C229F6"/>
    <w:rsid w:val="00C26361"/>
    <w:rsid w:val="00C302F1"/>
    <w:rsid w:val="00C3575F"/>
    <w:rsid w:val="00C410F0"/>
    <w:rsid w:val="00C42AEA"/>
    <w:rsid w:val="00C52694"/>
    <w:rsid w:val="00C56398"/>
    <w:rsid w:val="00C57985"/>
    <w:rsid w:val="00C60062"/>
    <w:rsid w:val="00C6751B"/>
    <w:rsid w:val="00C93C22"/>
    <w:rsid w:val="00C96F16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044B0"/>
    <w:rsid w:val="00D22C21"/>
    <w:rsid w:val="00D25CFE"/>
    <w:rsid w:val="00D4607F"/>
    <w:rsid w:val="00D57025"/>
    <w:rsid w:val="00D57765"/>
    <w:rsid w:val="00D657BC"/>
    <w:rsid w:val="00D761D4"/>
    <w:rsid w:val="00D77F50"/>
    <w:rsid w:val="00D859F4"/>
    <w:rsid w:val="00D85A52"/>
    <w:rsid w:val="00D86FEC"/>
    <w:rsid w:val="00D95213"/>
    <w:rsid w:val="00DA34DF"/>
    <w:rsid w:val="00DB30B1"/>
    <w:rsid w:val="00DB69FD"/>
    <w:rsid w:val="00DC0278"/>
    <w:rsid w:val="00DC0A8A"/>
    <w:rsid w:val="00DC1705"/>
    <w:rsid w:val="00DC39A9"/>
    <w:rsid w:val="00DC4C79"/>
    <w:rsid w:val="00DE6249"/>
    <w:rsid w:val="00DE71D3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2CA6"/>
    <w:rsid w:val="00E55EB0"/>
    <w:rsid w:val="00E57BB7"/>
    <w:rsid w:val="00E61CB0"/>
    <w:rsid w:val="00E71256"/>
    <w:rsid w:val="00E71BCF"/>
    <w:rsid w:val="00E777A2"/>
    <w:rsid w:val="00E81D7C"/>
    <w:rsid w:val="00E833E5"/>
    <w:rsid w:val="00E83FA4"/>
    <w:rsid w:val="00E86020"/>
    <w:rsid w:val="00EA0B4F"/>
    <w:rsid w:val="00EA6C4A"/>
    <w:rsid w:val="00EB00AB"/>
    <w:rsid w:val="00EC2AFC"/>
    <w:rsid w:val="00EC71E8"/>
    <w:rsid w:val="00EF32D3"/>
    <w:rsid w:val="00EF35D7"/>
    <w:rsid w:val="00F138F7"/>
    <w:rsid w:val="00F2008A"/>
    <w:rsid w:val="00F21D9E"/>
    <w:rsid w:val="00F25348"/>
    <w:rsid w:val="00F26A03"/>
    <w:rsid w:val="00F45506"/>
    <w:rsid w:val="00F60062"/>
    <w:rsid w:val="00F613CC"/>
    <w:rsid w:val="00F63701"/>
    <w:rsid w:val="00F76777"/>
    <w:rsid w:val="00F76F2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riusz.dagiel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E5008-4EAE-44A0-AEEE-8D33E431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4321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2022-03-07T07:48:00Z</dcterms:created>
  <dcterms:modified xsi:type="dcterms:W3CDTF">2022-03-07T07:48:00Z</dcterms:modified>
</cp:coreProperties>
</file>