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6CD7" w14:textId="3A0B1C5E" w:rsidR="00140CA8" w:rsidRPr="00F13E54" w:rsidRDefault="00140CA8" w:rsidP="001844E5">
      <w:pPr>
        <w:pStyle w:val="Default"/>
        <w:tabs>
          <w:tab w:val="left" w:pos="6885"/>
        </w:tabs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F13E54">
        <w:rPr>
          <w:rFonts w:ascii="Georgia" w:hAnsi="Georgia"/>
          <w:b/>
          <w:sz w:val="22"/>
          <w:szCs w:val="22"/>
        </w:rPr>
        <w:t xml:space="preserve">Wytyczne dotyczące przepływów finansowych i uruchamiania środków w ramach Schematu 1A Priorytetu 1 Programu Wieloletniego </w:t>
      </w:r>
      <w:r w:rsidR="008B5EAD" w:rsidRPr="00F13E54">
        <w:rPr>
          <w:rFonts w:ascii="Georgia" w:hAnsi="Georgia"/>
          <w:b/>
          <w:sz w:val="22"/>
          <w:szCs w:val="22"/>
        </w:rPr>
        <w:t>„Niepodległa” na lata 2017-2022</w:t>
      </w:r>
    </w:p>
    <w:p w14:paraId="36D55A8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31FEF8EF" w14:textId="0E1CE4A5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Celem niniejszych Wytycznych jest określenie procedur związanych z realizacją projektów instytucji podległych i nadzorowanych przez Ministra Kultury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>,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D</w:t>
      </w:r>
      <w:r w:rsidR="008B5EAD" w:rsidRPr="00F13E54">
        <w:rPr>
          <w:rFonts w:ascii="Georgia" w:hAnsi="Georgia"/>
          <w:bCs/>
          <w:color w:val="auto"/>
          <w:sz w:val="22"/>
          <w:szCs w:val="22"/>
        </w:rPr>
        <w:t>ziedzictwa Narodowego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 xml:space="preserve"> i Sportu </w:t>
      </w:r>
      <w:r w:rsidR="008B5EAD" w:rsidRPr="00F13E54">
        <w:rPr>
          <w:rFonts w:ascii="Georgia" w:hAnsi="Georgia"/>
          <w:bCs/>
          <w:color w:val="auto"/>
          <w:sz w:val="22"/>
          <w:szCs w:val="22"/>
        </w:rPr>
        <w:t>w ramach S</w:t>
      </w:r>
      <w:r w:rsidRPr="00F13E54">
        <w:rPr>
          <w:rFonts w:ascii="Georgia" w:hAnsi="Georgia"/>
          <w:bCs/>
          <w:color w:val="auto"/>
          <w:sz w:val="22"/>
          <w:szCs w:val="22"/>
        </w:rPr>
        <w:t>chematu 1A Priorytetu 1 Programu i ustalenie kompetencji poszczególnych komórek organizacyjnych Ministerstwa.</w:t>
      </w:r>
    </w:p>
    <w:p w14:paraId="1DA0C763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3C0DDD48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Wytyczne opisują procedury naboru projektów, zawierania umowy z beneficjentami, dokonywania zmian w projekcie oraz sprawozdawczości na potrzeby Programu.</w:t>
      </w:r>
    </w:p>
    <w:p w14:paraId="7AEEF57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3C4B95B2" w14:textId="147FFAA3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Wytyczne wchodzą w życie z dniem podpisania przez Pełnomocnika Rządu do spraw obchodów Stulecia Odzyskania Niepodległości Rzeczypospolitej P</w:t>
      </w:r>
      <w:r w:rsidR="00E520BB" w:rsidRPr="00F13E54">
        <w:rPr>
          <w:rFonts w:ascii="Georgia" w:hAnsi="Georgia"/>
          <w:bCs/>
          <w:color w:val="auto"/>
          <w:sz w:val="22"/>
          <w:szCs w:val="22"/>
        </w:rPr>
        <w:t>olskiej.</w:t>
      </w:r>
    </w:p>
    <w:p w14:paraId="3ABAA1CF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24DE5B5E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0163DE7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 xml:space="preserve">I. NABÓR PROJEKTÓW </w:t>
      </w:r>
    </w:p>
    <w:p w14:paraId="6F5A79B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7CFC05F8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Zgodnie z zapisami Programu nabór dodatkowych projektów w kolejnych latach realizacji Programu organizowany jest w ramach środków dostępnych w Programie.  </w:t>
      </w:r>
    </w:p>
    <w:p w14:paraId="6B7DF227" w14:textId="7D97B1D0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Uprawnionymi wnioskodawcami są instytucje 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 xml:space="preserve">kultury </w:t>
      </w:r>
      <w:r w:rsidRPr="00F13E54">
        <w:rPr>
          <w:rFonts w:ascii="Georgia" w:hAnsi="Georgia"/>
          <w:bCs/>
          <w:color w:val="auto"/>
          <w:sz w:val="22"/>
          <w:szCs w:val="22"/>
        </w:rPr>
        <w:t>podległe i nadzorowane przez Ministra Kultury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 xml:space="preserve">, </w:t>
      </w:r>
      <w:r w:rsidRPr="00F13E54">
        <w:rPr>
          <w:rFonts w:ascii="Georgia" w:hAnsi="Georgia"/>
          <w:bCs/>
          <w:color w:val="auto"/>
          <w:sz w:val="22"/>
          <w:szCs w:val="22"/>
        </w:rPr>
        <w:t>Dziedzictwa Narodowego</w:t>
      </w:r>
      <w:r w:rsidR="00255EC6" w:rsidRPr="00F13E54">
        <w:rPr>
          <w:rFonts w:ascii="Georgia" w:hAnsi="Georgia"/>
          <w:bCs/>
          <w:color w:val="auto"/>
          <w:sz w:val="22"/>
          <w:szCs w:val="22"/>
        </w:rPr>
        <w:t xml:space="preserve"> i Sportu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, z uwzględnieniem instytucji współprowadzonych. Uprawnionymi wnioskodawcami nie są </w:t>
      </w:r>
      <w:r w:rsidR="008B5EAD" w:rsidRPr="00F13E54">
        <w:rPr>
          <w:rFonts w:ascii="Georgia" w:hAnsi="Georgia"/>
          <w:bCs/>
          <w:color w:val="auto"/>
          <w:sz w:val="22"/>
          <w:szCs w:val="22"/>
        </w:rPr>
        <w:t xml:space="preserve">organizacje pozarządowe, szkoły i uczelnie artystyczne oraz 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spółki Skarbu Państwa, w których prawa z akcji lub udziałów wykonuje Minister </w:t>
      </w:r>
      <w:proofErr w:type="spellStart"/>
      <w:r w:rsidRPr="00F13E54">
        <w:rPr>
          <w:rFonts w:ascii="Georgia" w:hAnsi="Georgia"/>
          <w:bCs/>
          <w:color w:val="auto"/>
          <w:sz w:val="22"/>
          <w:szCs w:val="22"/>
        </w:rPr>
        <w:t>KDN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>iS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>.</w:t>
      </w:r>
    </w:p>
    <w:p w14:paraId="59BFB422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A6E60D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Założenia finansowe</w:t>
      </w:r>
    </w:p>
    <w:p w14:paraId="6785951B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0AB622D3" w14:textId="77777777" w:rsidR="00140CA8" w:rsidRPr="00F13E54" w:rsidRDefault="00140CA8" w:rsidP="00666BF1">
      <w:pPr>
        <w:pStyle w:val="Default"/>
        <w:numPr>
          <w:ilvl w:val="0"/>
          <w:numId w:val="7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Z możliwości realizacji wyłączone są: </w:t>
      </w:r>
    </w:p>
    <w:p w14:paraId="0862AF5B" w14:textId="1A0EBF06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zadania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dofinansowane w ramach innych </w:t>
      </w:r>
      <w:r w:rsidR="00255EC6" w:rsidRPr="00F13E54">
        <w:rPr>
          <w:rFonts w:ascii="Georgia" w:hAnsi="Georgia" w:cs="Calibri"/>
          <w:color w:val="000000" w:themeColor="text1"/>
          <w:sz w:val="22"/>
          <w:szCs w:val="22"/>
        </w:rPr>
        <w:t>P</w:t>
      </w:r>
      <w:r w:rsidRPr="00F13E54">
        <w:rPr>
          <w:rFonts w:ascii="Georgia" w:hAnsi="Georgia" w:cs="Calibri"/>
          <w:color w:val="000000" w:themeColor="text1"/>
          <w:sz w:val="22"/>
          <w:szCs w:val="22"/>
        </w:rPr>
        <w:t>riorytetów Programu, innych programów, w tym Programów Ministra oraz programów własnych instytucji podległych i współprowadzonych;</w:t>
      </w:r>
    </w:p>
    <w:p w14:paraId="4CEDDA19" w14:textId="77777777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zadania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przewidujące wydatki inwestycyjne, budowy, modernizacje, w tym budowa upamiętnień: pomników</w:t>
      </w:r>
      <w:r w:rsidR="008B5EAD" w:rsidRPr="00F13E54">
        <w:rPr>
          <w:rFonts w:ascii="Georgia" w:hAnsi="Georgia" w:cs="Calibri"/>
          <w:color w:val="000000" w:themeColor="text1"/>
          <w:sz w:val="22"/>
          <w:szCs w:val="22"/>
        </w:rPr>
        <w:t>,</w:t>
      </w:r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tablic, projekty konserwatorskie i inwentaryzacyjne;  </w:t>
      </w:r>
    </w:p>
    <w:p w14:paraId="5BD4D915" w14:textId="7B27892F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zadania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przewidujące zakupy środków trwałych, w tym sprzętu i wyposażenia (zgodnie z zapisem w punkcie 8</w:t>
      </w:r>
      <w:r w:rsidR="00251B8F" w:rsidRPr="00F13E54">
        <w:rPr>
          <w:rFonts w:ascii="Georgia" w:hAnsi="Georgia" w:cs="Calibri"/>
          <w:color w:val="000000" w:themeColor="text1"/>
          <w:sz w:val="22"/>
          <w:szCs w:val="22"/>
        </w:rPr>
        <w:t>.</w:t>
      </w:r>
      <w:r w:rsidR="00D65D62" w:rsidRPr="00F13E54">
        <w:rPr>
          <w:rFonts w:ascii="Georgia" w:hAnsi="Georgia" w:cs="Calibri"/>
          <w:color w:val="000000" w:themeColor="text1"/>
          <w:sz w:val="22"/>
          <w:szCs w:val="22"/>
        </w:rPr>
        <w:t>2</w:t>
      </w:r>
      <w:r w:rsidRPr="00F13E54">
        <w:rPr>
          <w:rFonts w:ascii="Georgia" w:hAnsi="Georgia" w:cs="Calibri"/>
          <w:color w:val="000000" w:themeColor="text1"/>
          <w:sz w:val="22"/>
          <w:szCs w:val="22"/>
        </w:rPr>
        <w:t>);</w:t>
      </w:r>
    </w:p>
    <w:p w14:paraId="0F98D8F8" w14:textId="77777777" w:rsidR="00140CA8" w:rsidRPr="00F13E54" w:rsidRDefault="00140CA8" w:rsidP="00666BF1">
      <w:pPr>
        <w:pStyle w:val="Akapitzlist"/>
        <w:numPr>
          <w:ilvl w:val="0"/>
          <w:numId w:val="1"/>
        </w:numPr>
        <w:spacing w:line="276" w:lineRule="auto"/>
        <w:jc w:val="both"/>
        <w:outlineLvl w:val="0"/>
        <w:rPr>
          <w:rFonts w:ascii="Georgia" w:hAnsi="Georgia" w:cs="Calibri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 w:cs="Calibri"/>
          <w:color w:val="000000" w:themeColor="text1"/>
          <w:sz w:val="22"/>
          <w:szCs w:val="22"/>
        </w:rPr>
        <w:t>uroczystości</w:t>
      </w:r>
      <w:proofErr w:type="gramEnd"/>
      <w:r w:rsidRPr="00F13E54">
        <w:rPr>
          <w:rFonts w:ascii="Georgia" w:hAnsi="Georgia" w:cs="Calibri"/>
          <w:color w:val="000000" w:themeColor="text1"/>
          <w:sz w:val="22"/>
          <w:szCs w:val="22"/>
        </w:rPr>
        <w:t xml:space="preserve"> oficjalne;</w:t>
      </w:r>
    </w:p>
    <w:p w14:paraId="75C84981" w14:textId="77777777" w:rsidR="00140CA8" w:rsidRPr="00F13E54" w:rsidRDefault="00140CA8" w:rsidP="00666BF1">
      <w:pPr>
        <w:pStyle w:val="Default"/>
        <w:numPr>
          <w:ilvl w:val="0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F13E54">
        <w:rPr>
          <w:rFonts w:ascii="Georgia" w:hAnsi="Georgia"/>
          <w:bCs/>
          <w:color w:val="000000" w:themeColor="text1"/>
          <w:sz w:val="22"/>
          <w:szCs w:val="22"/>
        </w:rPr>
        <w:t>Możliwe jest dofinansowanie projektu z dodatkowej dotacji celowej Ministra – poza Programem - pod warunkiem zachowania wyłączności identyfikacji wizualnej Programu.</w:t>
      </w:r>
    </w:p>
    <w:p w14:paraId="1FB8C889" w14:textId="77777777" w:rsidR="00140CA8" w:rsidRPr="00F13E54" w:rsidRDefault="00140CA8" w:rsidP="00666BF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 w:themeColor="text1"/>
          <w:sz w:val="22"/>
          <w:szCs w:val="22"/>
        </w:rPr>
        <w:t>Wszystkie przychody powstałe w trakcie realizacji zadania muszą być przeznaczone na koszty związane z realizacją zadania.</w:t>
      </w:r>
    </w:p>
    <w:p w14:paraId="0EF1EE30" w14:textId="77777777" w:rsidR="00140CA8" w:rsidRPr="00F13E54" w:rsidRDefault="00140CA8" w:rsidP="00666BF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 w:themeColor="text1"/>
          <w:sz w:val="22"/>
          <w:szCs w:val="22"/>
        </w:rPr>
        <w:t>W przypadku pojawienia się przychodów, po zakończeniu okresu realizacji zadania należy je przeznaczyć na działalność statutową instytucji.</w:t>
      </w:r>
    </w:p>
    <w:p w14:paraId="724B66AD" w14:textId="5D0EAAAD" w:rsidR="00140CA8" w:rsidRPr="00F13E54" w:rsidRDefault="00140CA8" w:rsidP="00D65D62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 w:themeColor="text1"/>
          <w:sz w:val="22"/>
          <w:szCs w:val="22"/>
        </w:rPr>
        <w:t>Rozliczenie przychodów, o których mowa w pkt 3 i 4 powinno mieć formę pisemnego oświadczenia potwierdzonego przez osobę uprawnioną do reprezentowania beneficjenta</w:t>
      </w:r>
      <w:r w:rsidRPr="00F13E54">
        <w:rPr>
          <w:rFonts w:ascii="Georgia" w:hAnsi="Georgia" w:cs="Arial"/>
          <w:strike/>
          <w:color w:val="000000" w:themeColor="text1"/>
          <w:sz w:val="22"/>
          <w:szCs w:val="22"/>
        </w:rPr>
        <w:t>,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 dołączonego do Sprawozdania </w:t>
      </w:r>
      <w:r w:rsidR="00D65D62" w:rsidRPr="00F13E54">
        <w:rPr>
          <w:rFonts w:ascii="Georgia" w:hAnsi="Georgia" w:cs="Arial"/>
          <w:color w:val="000000" w:themeColor="text1"/>
          <w:sz w:val="22"/>
          <w:szCs w:val="22"/>
        </w:rPr>
        <w:t xml:space="preserve">rocznego 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lub przesłanego </w:t>
      </w:r>
      <w:r w:rsidR="00F3053E" w:rsidRPr="00F13E54">
        <w:rPr>
          <w:rFonts w:ascii="Georgia" w:hAnsi="Georgia" w:cs="Arial"/>
          <w:color w:val="000000" w:themeColor="text1"/>
          <w:sz w:val="22"/>
          <w:szCs w:val="22"/>
        </w:rPr>
        <w:t>oddzielnie</w:t>
      </w:r>
      <w:r w:rsidR="005F2B73" w:rsidRPr="00F13E54">
        <w:rPr>
          <w:rFonts w:ascii="Georgia" w:hAnsi="Georgia" w:cs="Arial"/>
          <w:color w:val="000000" w:themeColor="text1"/>
          <w:sz w:val="22"/>
          <w:szCs w:val="22"/>
        </w:rPr>
        <w:t xml:space="preserve"> za pośrednictwem platformy </w:t>
      </w:r>
      <w:proofErr w:type="spellStart"/>
      <w:r w:rsidR="005F2B73" w:rsidRPr="00F13E54">
        <w:rPr>
          <w:rFonts w:ascii="Georgia" w:hAnsi="Georgia" w:cs="Arial"/>
          <w:color w:val="000000" w:themeColor="text1"/>
          <w:sz w:val="22"/>
          <w:szCs w:val="22"/>
        </w:rPr>
        <w:t>ePUAP</w:t>
      </w:r>
      <w:proofErr w:type="spellEnd"/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, zawierającego informację o </w:t>
      </w:r>
      <w:r w:rsidR="00D65D62" w:rsidRPr="00F13E54">
        <w:rPr>
          <w:rFonts w:ascii="Georgia" w:hAnsi="Georgia" w:cs="Arial"/>
          <w:color w:val="000000" w:themeColor="text1"/>
          <w:sz w:val="22"/>
          <w:szCs w:val="22"/>
        </w:rPr>
        <w:t>ich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 wysokości i przeznaczeniu. </w:t>
      </w:r>
      <w:r w:rsidR="00D65D62" w:rsidRPr="00F13E54">
        <w:rPr>
          <w:rFonts w:ascii="Georgia" w:hAnsi="Georgia" w:cs="Arial"/>
          <w:color w:val="000000" w:themeColor="text1"/>
          <w:sz w:val="22"/>
          <w:szCs w:val="22"/>
        </w:rPr>
        <w:t>W przypadku braku możliwości dołączenia oświadczenia do Sprawozdania rocznego, należy dołączyć je najpóźniej w ciągu 6 miesięcy od momentu zakończenia realizacji zadania.</w:t>
      </w:r>
    </w:p>
    <w:p w14:paraId="51AEE060" w14:textId="77777777" w:rsidR="00140CA8" w:rsidRPr="00F13E54" w:rsidRDefault="00140CA8" w:rsidP="00666BF1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Georgia" w:hAnsi="Georgia" w:cs="Arial"/>
          <w:sz w:val="22"/>
          <w:szCs w:val="22"/>
        </w:rPr>
      </w:pPr>
      <w:r w:rsidRPr="00F13E54">
        <w:rPr>
          <w:rFonts w:ascii="Georgia" w:hAnsi="Georgia"/>
          <w:color w:val="000000"/>
          <w:kern w:val="1"/>
          <w:sz w:val="22"/>
          <w:szCs w:val="22"/>
          <w:lang w:eastAsia="ar-SA"/>
        </w:rPr>
        <w:lastRenderedPageBreak/>
        <w:t>Wszystkie wydatki związane z realizacją zadania muszą być poniesione w okresie kwalifikowalności wydatków, tj. w trakcie realizacji zadania. Wszystkie</w:t>
      </w:r>
      <w:r w:rsidRPr="00F13E54">
        <w:rPr>
          <w:rFonts w:ascii="Georgia" w:hAnsi="Georgia" w:cs="Arial"/>
          <w:sz w:val="22"/>
          <w:szCs w:val="22"/>
        </w:rPr>
        <w:t xml:space="preserve"> środki muszą zostać ujęte w ewidencji księgowej wnioskodawcy.</w:t>
      </w:r>
    </w:p>
    <w:p w14:paraId="3CE2A183" w14:textId="77777777" w:rsidR="00140CA8" w:rsidRPr="00F13E54" w:rsidRDefault="00140CA8" w:rsidP="00666B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Georgia" w:hAnsi="Georgia"/>
          <w:b/>
          <w:smallCaps/>
          <w:sz w:val="22"/>
          <w:szCs w:val="22"/>
        </w:rPr>
      </w:pPr>
      <w:r w:rsidRPr="00F13E54">
        <w:rPr>
          <w:rFonts w:ascii="Georgia" w:hAnsi="Georgia" w:cs="Calibri"/>
          <w:sz w:val="22"/>
          <w:szCs w:val="22"/>
        </w:rPr>
        <w:t xml:space="preserve">W kosztorysie zadania nie może być uwzględniony podatek od towarów i usług (VAT) w wysokości, w której podatnikowi przysługuje prawo do jego odzyskania lub rozliczenia </w:t>
      </w:r>
      <w:r w:rsidRPr="00F13E54">
        <w:rPr>
          <w:rFonts w:ascii="Georgia" w:hAnsi="Georgia" w:cs="Calibri"/>
          <w:sz w:val="22"/>
          <w:szCs w:val="22"/>
        </w:rPr>
        <w:br/>
        <w:t>w deklaracjach składanych do Urzędu Skarbowego (kosztorys netto).</w:t>
      </w:r>
    </w:p>
    <w:p w14:paraId="5D5AE1E0" w14:textId="77777777" w:rsidR="00140CA8" w:rsidRPr="00F13E54" w:rsidRDefault="00140CA8" w:rsidP="00666BF1">
      <w:pPr>
        <w:pStyle w:val="Default"/>
        <w:numPr>
          <w:ilvl w:val="0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F13E54">
        <w:rPr>
          <w:rFonts w:ascii="Georgia" w:hAnsi="Georgia"/>
          <w:bCs/>
          <w:color w:val="000000" w:themeColor="text1"/>
          <w:sz w:val="22"/>
          <w:szCs w:val="22"/>
        </w:rPr>
        <w:t>W ramach projektów nie można finansować:</w:t>
      </w:r>
    </w:p>
    <w:p w14:paraId="02982C90" w14:textId="22A85AF4" w:rsidR="008B5EAD" w:rsidRPr="00F13E54" w:rsidRDefault="00140CA8" w:rsidP="008B5EAD">
      <w:pPr>
        <w:pStyle w:val="Default"/>
        <w:numPr>
          <w:ilvl w:val="1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bCs/>
          <w:color w:val="000000" w:themeColor="text1"/>
          <w:sz w:val="22"/>
          <w:szCs w:val="22"/>
        </w:rPr>
        <w:t>płac</w:t>
      </w:r>
      <w:proofErr w:type="gramEnd"/>
      <w:r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pracowników etatowych wnioskodawcy</w:t>
      </w:r>
      <w:r w:rsidR="00FD61A7"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(dopuszcza się podpisanie z pracownikiem etatowym umowy o dzieło/umowy zlecenie pod warunkiem, że wyko</w:t>
      </w:r>
      <w:r w:rsidR="00F62B88"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nywane w jej ramach zadania nie są ujęte </w:t>
      </w:r>
      <w:r w:rsidR="00FD61A7" w:rsidRPr="00F13E54">
        <w:rPr>
          <w:rFonts w:ascii="Georgia" w:hAnsi="Georgia"/>
          <w:bCs/>
          <w:color w:val="000000" w:themeColor="text1"/>
          <w:sz w:val="22"/>
          <w:szCs w:val="22"/>
        </w:rPr>
        <w:t>w zakresie obowiązków pracownika, a ich realizacja przebiega</w:t>
      </w:r>
      <w:r w:rsidR="00F62B88"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poza godzinami pracy etatowej)</w:t>
      </w:r>
      <w:r w:rsidR="005F2B73" w:rsidRPr="00F13E54">
        <w:rPr>
          <w:rFonts w:ascii="Georgia" w:hAnsi="Georgia"/>
          <w:bCs/>
          <w:color w:val="000000" w:themeColor="text1"/>
          <w:sz w:val="22"/>
          <w:szCs w:val="22"/>
        </w:rPr>
        <w:t>;</w:t>
      </w:r>
      <w:r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 </w:t>
      </w:r>
    </w:p>
    <w:p w14:paraId="22F25027" w14:textId="3C2F0E28" w:rsidR="00140CA8" w:rsidRPr="00F13E54" w:rsidRDefault="00140CA8" w:rsidP="008B5EAD">
      <w:pPr>
        <w:pStyle w:val="Default"/>
        <w:numPr>
          <w:ilvl w:val="1"/>
          <w:numId w:val="6"/>
        </w:numPr>
        <w:spacing w:line="276" w:lineRule="auto"/>
        <w:jc w:val="both"/>
        <w:rPr>
          <w:rFonts w:ascii="Georgia" w:hAnsi="Georgia"/>
          <w:bCs/>
          <w:color w:val="000000" w:themeColor="text1"/>
          <w:sz w:val="22"/>
          <w:szCs w:val="22"/>
        </w:rPr>
      </w:pPr>
      <w:r w:rsidRPr="00F13E54">
        <w:rPr>
          <w:rFonts w:ascii="Georgia" w:hAnsi="Georgia"/>
          <w:bCs/>
          <w:color w:val="000000" w:themeColor="text1"/>
          <w:sz w:val="22"/>
          <w:szCs w:val="22"/>
        </w:rPr>
        <w:t xml:space="preserve">zakupu środków trwałych </w:t>
      </w:r>
      <w:r w:rsidRPr="00F13E54">
        <w:rPr>
          <w:rFonts w:ascii="Georgia" w:hAnsi="Georgia"/>
          <w:sz w:val="22"/>
          <w:szCs w:val="22"/>
        </w:rPr>
        <w:t xml:space="preserve">o wartości powyżej 10 000 zł, to jest kwoty uprawniającej do dokonania jednorazowo odpisu amortyzacyjnego, określonej w art. 16f ust. 3 ustawy z dnia 15 lutego 1992 r. o podatku dochodowym od osób prawnych, </w:t>
      </w:r>
      <w:proofErr w:type="gramStart"/>
      <w:r w:rsidRPr="00F13E54">
        <w:rPr>
          <w:rFonts w:ascii="Georgia" w:hAnsi="Georgia"/>
          <w:sz w:val="22"/>
          <w:szCs w:val="22"/>
        </w:rPr>
        <w:t>kwalifikowanych jako</w:t>
      </w:r>
      <w:proofErr w:type="gramEnd"/>
      <w:r w:rsidRPr="00F13E54">
        <w:rPr>
          <w:rFonts w:ascii="Georgia" w:hAnsi="Georgia"/>
          <w:sz w:val="22"/>
          <w:szCs w:val="22"/>
        </w:rPr>
        <w:t xml:space="preserve"> wydatki inwestycyjne, stosownie do zapisów Rozporządzenia Rady Ministrów w sprawie szczegółowego sposobu i trybu finansowania inwestycji z budżetu państwa (Dz.U. </w:t>
      </w:r>
      <w:proofErr w:type="gramStart"/>
      <w:r w:rsidRPr="00F13E54">
        <w:rPr>
          <w:rFonts w:ascii="Georgia" w:hAnsi="Georgia"/>
          <w:sz w:val="22"/>
          <w:szCs w:val="22"/>
        </w:rPr>
        <w:t>nr</w:t>
      </w:r>
      <w:proofErr w:type="gramEnd"/>
      <w:r w:rsidRPr="00F13E54">
        <w:rPr>
          <w:rFonts w:ascii="Georgia" w:hAnsi="Georgia"/>
          <w:sz w:val="22"/>
          <w:szCs w:val="22"/>
        </w:rPr>
        <w:t xml:space="preserve"> 238 z dn. </w:t>
      </w:r>
      <w:r w:rsidR="00D52FA2" w:rsidRPr="00F13E54">
        <w:rPr>
          <w:rFonts w:ascii="Georgia" w:hAnsi="Georgia"/>
          <w:sz w:val="22"/>
          <w:szCs w:val="22"/>
        </w:rPr>
        <w:t>2</w:t>
      </w:r>
      <w:r w:rsidRPr="00F13E54">
        <w:rPr>
          <w:rFonts w:ascii="Georgia" w:hAnsi="Georgia"/>
          <w:sz w:val="22"/>
          <w:szCs w:val="22"/>
        </w:rPr>
        <w:t xml:space="preserve"> grudnia 2010 r., poz. 1579) oraz zgodnie z polityką rachunkowości danej instytucji.</w:t>
      </w:r>
    </w:p>
    <w:p w14:paraId="44F9B8B8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3B303F70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Procedura naboru</w:t>
      </w:r>
    </w:p>
    <w:p w14:paraId="44FE884D" w14:textId="77777777" w:rsidR="00140CA8" w:rsidRPr="00F13E54" w:rsidRDefault="00140CA8" w:rsidP="00666BF1">
      <w:pPr>
        <w:pStyle w:val="Default"/>
        <w:spacing w:line="276" w:lineRule="auto"/>
        <w:ind w:left="360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73BFB8ED" w14:textId="7101FA42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color w:val="auto"/>
          <w:sz w:val="22"/>
          <w:szCs w:val="22"/>
        </w:rPr>
      </w:pPr>
      <w:r w:rsidRPr="00F13E54">
        <w:rPr>
          <w:rFonts w:ascii="Georgia" w:hAnsi="Georgia"/>
          <w:color w:val="auto"/>
          <w:sz w:val="22"/>
          <w:szCs w:val="22"/>
        </w:rPr>
        <w:t>Informacja o uruchomieniu naboru wraz z dokumentacją jest przekazywana przez Koordynatora (to jest Departament Dziedzictwa Kulturowego) za pośrednictwem właściwych departamentów merytorycznych do wszystkich instytucji podległych i nadzorowanych przez Ministra Kultury</w:t>
      </w:r>
      <w:r w:rsidR="00255EC6" w:rsidRPr="00F13E54">
        <w:rPr>
          <w:rFonts w:ascii="Georgia" w:hAnsi="Georgia"/>
          <w:color w:val="auto"/>
          <w:sz w:val="22"/>
          <w:szCs w:val="22"/>
        </w:rPr>
        <w:t xml:space="preserve">, </w:t>
      </w:r>
      <w:r w:rsidRPr="00F13E54">
        <w:rPr>
          <w:rFonts w:ascii="Georgia" w:hAnsi="Georgia"/>
          <w:color w:val="auto"/>
          <w:sz w:val="22"/>
          <w:szCs w:val="22"/>
        </w:rPr>
        <w:t>Dziedzictwa Narodowego</w:t>
      </w:r>
      <w:r w:rsidR="00255EC6" w:rsidRPr="00F13E54">
        <w:rPr>
          <w:rFonts w:ascii="Georgia" w:hAnsi="Georgia"/>
          <w:color w:val="auto"/>
          <w:sz w:val="22"/>
          <w:szCs w:val="22"/>
        </w:rPr>
        <w:t xml:space="preserve"> i Sportu</w:t>
      </w:r>
      <w:r w:rsidRPr="00F13E54">
        <w:rPr>
          <w:rFonts w:ascii="Georgia" w:hAnsi="Georgia"/>
          <w:color w:val="auto"/>
          <w:sz w:val="22"/>
          <w:szCs w:val="22"/>
        </w:rPr>
        <w:t>.</w:t>
      </w:r>
    </w:p>
    <w:p w14:paraId="1D265CD4" w14:textId="583EF56E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Zadaniem Koordynatora jest zebranie i ocena wniosków. Koordynator może kierować się opinią Zespołu opiniodawczo-doradczego do spraw realizacji Programu Wieloletniego „Niepodległa” na lata 2017-2022, powołanego Zarządzeniem M</w:t>
      </w:r>
      <w:r w:rsidR="00D52FA2" w:rsidRPr="00F13E54">
        <w:rPr>
          <w:rFonts w:ascii="Georgia" w:hAnsi="Georgia"/>
          <w:bCs/>
          <w:color w:val="auto"/>
          <w:sz w:val="22"/>
          <w:szCs w:val="22"/>
        </w:rPr>
        <w:t xml:space="preserve">inistra </w:t>
      </w:r>
      <w:proofErr w:type="spellStart"/>
      <w:r w:rsidRPr="00F13E54">
        <w:rPr>
          <w:rFonts w:ascii="Georgia" w:hAnsi="Georgia"/>
          <w:bCs/>
          <w:color w:val="auto"/>
          <w:sz w:val="22"/>
          <w:szCs w:val="22"/>
        </w:rPr>
        <w:t>K</w:t>
      </w:r>
      <w:r w:rsidR="00D52FA2" w:rsidRPr="00F13E54">
        <w:rPr>
          <w:rFonts w:ascii="Georgia" w:hAnsi="Georgia"/>
          <w:bCs/>
          <w:color w:val="auto"/>
          <w:sz w:val="22"/>
          <w:szCs w:val="22"/>
        </w:rPr>
        <w:t>i</w:t>
      </w:r>
      <w:r w:rsidRPr="00F13E54">
        <w:rPr>
          <w:rFonts w:ascii="Georgia" w:hAnsi="Georgia"/>
          <w:bCs/>
          <w:color w:val="auto"/>
          <w:sz w:val="22"/>
          <w:szCs w:val="22"/>
        </w:rPr>
        <w:t>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 xml:space="preserve"> z dnia 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 xml:space="preserve">16 sierpnia 2017 r. (Dz. Urz. </w:t>
      </w:r>
      <w:proofErr w:type="spellStart"/>
      <w:r w:rsidR="00F62B88" w:rsidRPr="00F13E54">
        <w:rPr>
          <w:rFonts w:ascii="Georgia" w:hAnsi="Georgia"/>
          <w:bCs/>
          <w:color w:val="auto"/>
          <w:sz w:val="22"/>
          <w:szCs w:val="22"/>
        </w:rPr>
        <w:t>MKi</w:t>
      </w:r>
      <w:r w:rsidRPr="00F13E54">
        <w:rPr>
          <w:rFonts w:ascii="Georgia" w:hAnsi="Georgia"/>
          <w:bCs/>
          <w:color w:val="auto"/>
          <w:sz w:val="22"/>
          <w:szCs w:val="22"/>
        </w:rPr>
        <w:t>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>, poz. 56) oraz właściwych departamentów merytorycznych.</w:t>
      </w:r>
    </w:p>
    <w:p w14:paraId="63C3E6E3" w14:textId="77777777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color w:val="auto"/>
          <w:sz w:val="22"/>
          <w:szCs w:val="22"/>
        </w:rPr>
      </w:pPr>
      <w:r w:rsidRPr="00F13E54">
        <w:rPr>
          <w:rFonts w:ascii="Georgia" w:hAnsi="Georgia"/>
          <w:color w:val="auto"/>
          <w:sz w:val="22"/>
          <w:szCs w:val="22"/>
        </w:rPr>
        <w:t>Pełnomocnik podejmuje ostateczną decyzję o wyborze projektów do realizacji.</w:t>
      </w:r>
    </w:p>
    <w:p w14:paraId="6D7D834E" w14:textId="4B71B8B4" w:rsidR="00140CA8" w:rsidRPr="00F13E54" w:rsidRDefault="00140CA8" w:rsidP="00666BF1">
      <w:pPr>
        <w:pStyle w:val="Default"/>
        <w:numPr>
          <w:ilvl w:val="0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color w:val="auto"/>
          <w:sz w:val="22"/>
          <w:szCs w:val="22"/>
        </w:rPr>
        <w:t xml:space="preserve">Koordynator przekazuje informację o projektach wybranych do realizacji </w:t>
      </w:r>
      <w:r w:rsidR="00A35A9B" w:rsidRPr="00F13E54">
        <w:rPr>
          <w:rFonts w:ascii="Georgia" w:hAnsi="Georgia"/>
          <w:color w:val="auto"/>
          <w:sz w:val="22"/>
          <w:szCs w:val="22"/>
        </w:rPr>
        <w:t xml:space="preserve">beneficjentom, a także </w:t>
      </w:r>
      <w:r w:rsidRPr="00F13E54">
        <w:rPr>
          <w:rFonts w:ascii="Georgia" w:hAnsi="Georgia"/>
          <w:color w:val="auto"/>
          <w:sz w:val="22"/>
          <w:szCs w:val="22"/>
        </w:rPr>
        <w:t>do Departamentu Finansowego</w:t>
      </w:r>
      <w:r w:rsidR="005F2B73" w:rsidRPr="00F13E54">
        <w:rPr>
          <w:rFonts w:ascii="Georgia" w:hAnsi="Georgia"/>
          <w:color w:val="auto"/>
          <w:sz w:val="22"/>
          <w:szCs w:val="22"/>
        </w:rPr>
        <w:t xml:space="preserve"> </w:t>
      </w:r>
      <w:proofErr w:type="spellStart"/>
      <w:r w:rsidR="005F2B73" w:rsidRPr="00F13E54">
        <w:rPr>
          <w:rFonts w:ascii="Georgia" w:hAnsi="Georgia"/>
          <w:color w:val="auto"/>
          <w:sz w:val="22"/>
          <w:szCs w:val="22"/>
        </w:rPr>
        <w:t>MKDN</w:t>
      </w:r>
      <w:r w:rsidR="00F62B88" w:rsidRPr="00F13E54">
        <w:rPr>
          <w:rFonts w:ascii="Georgia" w:hAnsi="Georgia"/>
          <w:color w:val="auto"/>
          <w:sz w:val="22"/>
          <w:szCs w:val="22"/>
        </w:rPr>
        <w:t>iS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>.</w:t>
      </w:r>
    </w:p>
    <w:p w14:paraId="0323364F" w14:textId="77777777" w:rsidR="00140CA8" w:rsidRPr="00F13E54" w:rsidRDefault="00140CA8" w:rsidP="00666BF1">
      <w:pPr>
        <w:spacing w:after="0"/>
        <w:jc w:val="both"/>
        <w:rPr>
          <w:rFonts w:ascii="Georgia" w:hAnsi="Georgia"/>
        </w:rPr>
      </w:pPr>
    </w:p>
    <w:p w14:paraId="78E7289F" w14:textId="77777777" w:rsidR="00140CA8" w:rsidRPr="00F13E54" w:rsidRDefault="00140CA8" w:rsidP="00666BF1">
      <w:pPr>
        <w:spacing w:after="0"/>
        <w:jc w:val="both"/>
        <w:rPr>
          <w:rFonts w:ascii="Georgia" w:hAnsi="Georgia"/>
        </w:rPr>
      </w:pPr>
    </w:p>
    <w:p w14:paraId="570E573F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II. ZAWARCIE UMOWY</w:t>
      </w:r>
    </w:p>
    <w:p w14:paraId="5C35E3A0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1A6A65DE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Umowa zawierana w ramach Schematu 1A ma charakter szczególnej umowy o dotację celową, </w:t>
      </w:r>
      <w:r w:rsidRPr="00F13E54">
        <w:rPr>
          <w:rFonts w:ascii="Georgia" w:hAnsi="Georgia"/>
          <w:bCs/>
          <w:color w:val="auto"/>
          <w:sz w:val="22"/>
          <w:szCs w:val="22"/>
        </w:rPr>
        <w:br/>
        <w:t>w przypadku projektów Polskiego Instytutu Sztuki Filmowej i Instytutu Solidarności i Męstwa im. Witolda Pileckiego – umowy na realizację zadań w ramach zwiększonej dotacji podmiotowej, a w przypadku archiwów państwowych – umowy na realizację zadań w ramach zwiększonego planu wydatków.</w:t>
      </w:r>
    </w:p>
    <w:p w14:paraId="7ED2A8F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4B86F795" w14:textId="77777777" w:rsidR="00584A81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Departament Finansowy przygotowuje wzór umowy na dotacj</w:t>
      </w:r>
      <w:r w:rsidR="005F2B73" w:rsidRPr="00F13E54">
        <w:rPr>
          <w:rFonts w:ascii="Georgia" w:hAnsi="Georgia"/>
          <w:bCs/>
          <w:color w:val="auto"/>
          <w:sz w:val="22"/>
          <w:szCs w:val="22"/>
        </w:rPr>
        <w:t>ę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celow</w:t>
      </w:r>
      <w:r w:rsidR="005F2B73" w:rsidRPr="00F13E54">
        <w:rPr>
          <w:rFonts w:ascii="Georgia" w:hAnsi="Georgia"/>
          <w:bCs/>
          <w:color w:val="auto"/>
          <w:sz w:val="22"/>
          <w:szCs w:val="22"/>
        </w:rPr>
        <w:t>ą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pomiędzy Ministrem a beneficjentem Programu i przekazuje go </w:t>
      </w:r>
      <w:r w:rsidR="00584A81" w:rsidRPr="00F13E54">
        <w:rPr>
          <w:rFonts w:ascii="Georgia" w:hAnsi="Georgia"/>
          <w:bCs/>
          <w:color w:val="auto"/>
          <w:sz w:val="22"/>
          <w:szCs w:val="22"/>
        </w:rPr>
        <w:t>beneficjentowi do wypełnienia.</w:t>
      </w:r>
    </w:p>
    <w:p w14:paraId="14AE96F9" w14:textId="3E404F91" w:rsidR="00584A81" w:rsidRPr="00F13E54" w:rsidRDefault="00584A81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Beneficjent odsyła do Departamentu Finansowego wypełniony projekt umowy.</w:t>
      </w:r>
    </w:p>
    <w:p w14:paraId="72A9428D" w14:textId="0978DD08" w:rsidR="00140CA8" w:rsidRPr="00F13E54" w:rsidRDefault="00584A81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Departament Finansowy przekazuje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 xml:space="preserve"> </w:t>
      </w:r>
      <w:r w:rsidRPr="00F13E54">
        <w:rPr>
          <w:rFonts w:ascii="Georgia" w:hAnsi="Georgia"/>
          <w:bCs/>
          <w:color w:val="auto"/>
          <w:sz w:val="22"/>
          <w:szCs w:val="22"/>
        </w:rPr>
        <w:t>projekt umowy do akceptacji Koordynatora Programu w systemie EZD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>.</w:t>
      </w:r>
    </w:p>
    <w:p w14:paraId="626B2337" w14:textId="0878B01D" w:rsidR="00140CA8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Koordynator konsultuje wzór umowy i wer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 xml:space="preserve">yfikuje zgodność zapisów umowy </w:t>
      </w:r>
      <w:r w:rsidRPr="00F13E54">
        <w:rPr>
          <w:rFonts w:ascii="Georgia" w:hAnsi="Georgia"/>
          <w:bCs/>
          <w:color w:val="auto"/>
          <w:sz w:val="22"/>
          <w:szCs w:val="22"/>
        </w:rPr>
        <w:t>z projektem zatwierdzonym do realizacji.</w:t>
      </w:r>
    </w:p>
    <w:p w14:paraId="4332E8E5" w14:textId="32188FD7" w:rsidR="00140CA8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lastRenderedPageBreak/>
        <w:t>Po akceptacji zapisów umowy przez Koordynatora</w:t>
      </w:r>
      <w:r w:rsidR="00F62B88" w:rsidRPr="00F13E54">
        <w:rPr>
          <w:rFonts w:ascii="Georgia" w:hAnsi="Georgia"/>
          <w:bCs/>
          <w:color w:val="auto"/>
          <w:sz w:val="22"/>
          <w:szCs w:val="22"/>
        </w:rPr>
        <w:t>,</w:t>
      </w:r>
      <w:r w:rsidRPr="00F13E54">
        <w:rPr>
          <w:rFonts w:ascii="Georgia" w:hAnsi="Georgia"/>
          <w:bCs/>
          <w:color w:val="auto"/>
          <w:sz w:val="22"/>
          <w:szCs w:val="22"/>
        </w:rPr>
        <w:t xml:space="preserve"> Departament Finansowy przeprowadza procedurę podpisania umowy z beneficjentem.</w:t>
      </w:r>
    </w:p>
    <w:p w14:paraId="131D72F5" w14:textId="77777777" w:rsidR="00140CA8" w:rsidRPr="00F13E54" w:rsidRDefault="00140CA8" w:rsidP="00666BF1">
      <w:pPr>
        <w:pStyle w:val="Default"/>
        <w:numPr>
          <w:ilvl w:val="3"/>
          <w:numId w:val="12"/>
        </w:numPr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Departament Finansowy przekazuje niezwłocznie po podpisaniu oryginał umowy do Koordynatora.</w:t>
      </w:r>
    </w:p>
    <w:p w14:paraId="6BCFEBB4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2925C44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III. ZMIANY W PROJEKCIE</w:t>
      </w:r>
    </w:p>
    <w:p w14:paraId="63EA6A8D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330698DC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Zgodnie z zapisami Programu „lista projektów i ich wartości, a także wskazanie realizatorów </w:t>
      </w:r>
      <w:r w:rsidRPr="00F13E54">
        <w:rPr>
          <w:rFonts w:ascii="Georgia" w:hAnsi="Georgia"/>
          <w:bCs/>
          <w:color w:val="auto"/>
          <w:sz w:val="22"/>
          <w:szCs w:val="22"/>
        </w:rPr>
        <w:br/>
        <w:t xml:space="preserve">i podmiotów współpracujących, oraz podział wydatków pomiędzy priorytetami w ramach wydatków cz. 24 - </w:t>
      </w:r>
      <w:proofErr w:type="spellStart"/>
      <w:r w:rsidRPr="00F13E54">
        <w:rPr>
          <w:rFonts w:ascii="Georgia" w:hAnsi="Georgia"/>
          <w:bCs/>
          <w:color w:val="auto"/>
          <w:sz w:val="22"/>
          <w:szCs w:val="22"/>
        </w:rPr>
        <w:t>KiODN</w:t>
      </w:r>
      <w:proofErr w:type="spellEnd"/>
      <w:r w:rsidRPr="00F13E54">
        <w:rPr>
          <w:rFonts w:ascii="Georgia" w:hAnsi="Georgia"/>
          <w:bCs/>
          <w:color w:val="auto"/>
          <w:sz w:val="22"/>
          <w:szCs w:val="22"/>
        </w:rPr>
        <w:t xml:space="preserve"> – za zgodą Pełnomocnika – mogą ulec zmianie bez konieczności aktualizacji Programu Wieloletniego”.</w:t>
      </w:r>
    </w:p>
    <w:p w14:paraId="1F231082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1F3D03E0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>Dopuszczone zostają dwa rodzaje zmian w projekcie:</w:t>
      </w:r>
    </w:p>
    <w:p w14:paraId="02CA6825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A09F6A9" w14:textId="211FA2F6" w:rsidR="00140CA8" w:rsidRPr="00F13E54" w:rsidRDefault="00140CA8" w:rsidP="00666BF1">
      <w:pPr>
        <w:pStyle w:val="Akapitzlist"/>
        <w:numPr>
          <w:ilvl w:val="3"/>
          <w:numId w:val="9"/>
        </w:numPr>
        <w:spacing w:line="276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W trakcie realizacji zadania beneficjent może dokonać wydatków (płatności) w kwotach różniących się z poszczególnymi pozycjami, w tym również w zakresie płatnych ze środków finansowych PW „Niepodległa” bez konieczności sporządzenia aneksu do umowy pod warunkiem, że zmiany nie przekroczą 25% w stosunku do każdej pozycji kosztorysowej (dotyczy zarówno zmniejszenia, jak i zwiększenia zaplanowanej kwoty) pod warunkiem, że zmiany nie spowodują zwiększenia ogólnej kwoty dotacji.</w:t>
      </w:r>
      <w:r w:rsidRPr="00F13E54">
        <w:rPr>
          <w:rFonts w:ascii="Georgia" w:hAnsi="Georgia" w:cs="Arial"/>
          <w:color w:val="000000" w:themeColor="text1"/>
          <w:sz w:val="22"/>
          <w:szCs w:val="22"/>
        </w:rPr>
        <w:t xml:space="preserve"> </w:t>
      </w:r>
      <w:r w:rsidRPr="00F13E54">
        <w:rPr>
          <w:rFonts w:ascii="Georgia" w:hAnsi="Georgia" w:cs="Arial"/>
          <w:color w:val="000000"/>
          <w:sz w:val="22"/>
          <w:szCs w:val="22"/>
        </w:rPr>
        <w:t>Wyjaśnienie zmian, o których mowa w pkt. 1 wystarczy umieścić w przeznaczonej do tego rubryce formularza Sprawozdania.</w:t>
      </w:r>
    </w:p>
    <w:p w14:paraId="5B48731C" w14:textId="77777777" w:rsidR="00140CA8" w:rsidRPr="00F13E54" w:rsidRDefault="00140CA8" w:rsidP="00666BF1">
      <w:pPr>
        <w:pStyle w:val="Akapitzlist"/>
        <w:numPr>
          <w:ilvl w:val="3"/>
          <w:numId w:val="9"/>
        </w:numPr>
        <w:spacing w:line="276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Zgody Pełnomocnika i pisemnego aneksu do umowy wymagają:</w:t>
      </w:r>
    </w:p>
    <w:p w14:paraId="0574CF1E" w14:textId="77777777" w:rsidR="00140CA8" w:rsidRPr="00F13E54" w:rsidRDefault="00140CA8" w:rsidP="00666BF1">
      <w:pPr>
        <w:pStyle w:val="Akapitzlist"/>
        <w:numPr>
          <w:ilvl w:val="2"/>
          <w:numId w:val="2"/>
        </w:numPr>
        <w:tabs>
          <w:tab w:val="left" w:pos="5040"/>
        </w:tabs>
        <w:spacing w:line="276" w:lineRule="auto"/>
        <w:ind w:left="714" w:hanging="357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zmiany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zakresu rzeczowego i finansowego zadania, nazwy zadania </w:t>
      </w:r>
      <w:r w:rsidR="00666BF1" w:rsidRPr="00F13E54">
        <w:rPr>
          <w:rFonts w:ascii="Georgia" w:hAnsi="Georgia" w:cs="Arial"/>
          <w:color w:val="000000"/>
          <w:sz w:val="22"/>
          <w:szCs w:val="22"/>
        </w:rPr>
        <w:t>oraz terminu realizacji zadania;</w:t>
      </w:r>
    </w:p>
    <w:p w14:paraId="6D3A727C" w14:textId="77777777" w:rsidR="00666BF1" w:rsidRPr="00F13E54" w:rsidRDefault="00140CA8" w:rsidP="00666BF1">
      <w:pPr>
        <w:pStyle w:val="Akapitzlist"/>
        <w:numPr>
          <w:ilvl w:val="2"/>
          <w:numId w:val="2"/>
        </w:numPr>
        <w:tabs>
          <w:tab w:val="left" w:pos="5040"/>
        </w:tabs>
        <w:spacing w:line="276" w:lineRule="auto"/>
        <w:ind w:left="714" w:hanging="357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zmiany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realizatora</w:t>
      </w:r>
      <w:r w:rsidR="00666BF1" w:rsidRPr="00F13E54">
        <w:rPr>
          <w:rFonts w:ascii="Georgia" w:hAnsi="Georgia" w:cs="Arial"/>
          <w:color w:val="000000"/>
          <w:sz w:val="22"/>
          <w:szCs w:val="22"/>
        </w:rPr>
        <w:t xml:space="preserve"> i podmiotów współpracujących;</w:t>
      </w:r>
    </w:p>
    <w:p w14:paraId="7646EEE9" w14:textId="77777777" w:rsidR="00140CA8" w:rsidRPr="00F13E54" w:rsidRDefault="00140CA8" w:rsidP="00666BF1">
      <w:pPr>
        <w:pStyle w:val="Akapitzlist"/>
        <w:numPr>
          <w:ilvl w:val="2"/>
          <w:numId w:val="2"/>
        </w:numPr>
        <w:tabs>
          <w:tab w:val="left" w:pos="5040"/>
        </w:tabs>
        <w:spacing w:line="276" w:lineRule="auto"/>
        <w:ind w:left="714" w:hanging="357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zmiany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procentowego udziału środków finansowych z Programu w stosunku do całkowit</w:t>
      </w:r>
      <w:r w:rsidR="00666BF1" w:rsidRPr="00F13E54">
        <w:rPr>
          <w:rFonts w:ascii="Georgia" w:hAnsi="Georgia" w:cs="Arial"/>
          <w:color w:val="000000"/>
          <w:sz w:val="22"/>
          <w:szCs w:val="22"/>
        </w:rPr>
        <w:t>ego kosztu zadania w danym roku.</w:t>
      </w:r>
    </w:p>
    <w:p w14:paraId="1A486831" w14:textId="77777777" w:rsidR="00140CA8" w:rsidRPr="00F13E54" w:rsidRDefault="00140CA8" w:rsidP="00666BF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 w:cs="Arial"/>
          <w:color w:val="000000" w:themeColor="text1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Zgody Koordynatora i pisemnego aneksu do umowy wymagają: </w:t>
      </w:r>
    </w:p>
    <w:p w14:paraId="66D1E9E7" w14:textId="14FCBFAE" w:rsidR="005F2B73" w:rsidRPr="00F13E54" w:rsidRDefault="00A66D7C" w:rsidP="00A66D7C">
      <w:pPr>
        <w:pStyle w:val="Akapitzlist"/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zmniejszenie lub zwiększenie oraz przesunięcie wydatków pomiędzy poszczególnymi pozycjami </w:t>
      </w: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 xml:space="preserve">kosztorysu </w:t>
      </w:r>
      <w:r w:rsidR="005F2B73" w:rsidRPr="00F13E54">
        <w:rPr>
          <w:rFonts w:ascii="Georgia" w:hAnsi="Georgia" w:cs="Arial"/>
          <w:color w:val="000000"/>
          <w:sz w:val="22"/>
          <w:szCs w:val="22"/>
        </w:rPr>
        <w:t xml:space="preserve">, </w:t>
      </w:r>
      <w:proofErr w:type="gramEnd"/>
      <w:r w:rsidR="005F2B73" w:rsidRPr="00F13E54">
        <w:rPr>
          <w:rFonts w:ascii="Georgia" w:hAnsi="Georgia" w:cs="Arial"/>
          <w:color w:val="000000"/>
          <w:sz w:val="22"/>
          <w:szCs w:val="22"/>
        </w:rPr>
        <w:t>płatnymi ze środków finansowych PW „Niepodległa” powyżej 25% w stosunku do każdej pozycji kosztorysowej</w:t>
      </w:r>
      <w:r w:rsidRPr="00F13E54">
        <w:rPr>
          <w:rFonts w:ascii="Georgia" w:hAnsi="Georgia" w:cs="Arial"/>
          <w:color w:val="000000"/>
          <w:sz w:val="22"/>
          <w:szCs w:val="22"/>
        </w:rPr>
        <w:t>;</w:t>
      </w:r>
      <w:r w:rsidR="005F2B73" w:rsidRPr="00F13E54">
        <w:rPr>
          <w:rFonts w:ascii="Georgia" w:hAnsi="Georgia" w:cs="Arial"/>
          <w:color w:val="000000"/>
          <w:sz w:val="22"/>
          <w:szCs w:val="22"/>
        </w:rPr>
        <w:t xml:space="preserve"> </w:t>
      </w:r>
    </w:p>
    <w:p w14:paraId="58144AB8" w14:textId="77777777" w:rsidR="00776274" w:rsidRDefault="00A66D7C" w:rsidP="00776274">
      <w:pPr>
        <w:pStyle w:val="Akapitzlist"/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wprowadzenie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nowych lub usunięcie starych pozycji koszt</w:t>
      </w:r>
      <w:r w:rsidR="00776274">
        <w:rPr>
          <w:rFonts w:ascii="Georgia" w:hAnsi="Georgia" w:cs="Arial"/>
          <w:color w:val="000000"/>
          <w:sz w:val="22"/>
          <w:szCs w:val="22"/>
        </w:rPr>
        <w:t>orysu określonych w § 1 ust. 7;</w:t>
      </w:r>
    </w:p>
    <w:p w14:paraId="1598C59A" w14:textId="1D835880" w:rsidR="005F2B73" w:rsidRPr="00776274" w:rsidRDefault="005F2B73" w:rsidP="00776274">
      <w:pPr>
        <w:pStyle w:val="Akapitzlist"/>
        <w:numPr>
          <w:ilvl w:val="0"/>
          <w:numId w:val="8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proofErr w:type="gramStart"/>
      <w:r w:rsidRPr="00776274">
        <w:rPr>
          <w:rFonts w:ascii="Georgia" w:hAnsi="Georgia" w:cs="Arial"/>
          <w:color w:val="000000"/>
          <w:sz w:val="22"/>
          <w:szCs w:val="22"/>
        </w:rPr>
        <w:t>przesunięcia</w:t>
      </w:r>
      <w:proofErr w:type="gramEnd"/>
      <w:r w:rsidRPr="00776274">
        <w:rPr>
          <w:rFonts w:ascii="Georgia" w:hAnsi="Georgia" w:cs="Arial"/>
          <w:color w:val="000000"/>
          <w:sz w:val="22"/>
          <w:szCs w:val="22"/>
        </w:rPr>
        <w:t xml:space="preserve"> pomiędzy paragrafami klasyfikacji budżetowej;</w:t>
      </w:r>
    </w:p>
    <w:p w14:paraId="20E17139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Wniosek o wprow</w:t>
      </w:r>
      <w:bookmarkStart w:id="0" w:name="_GoBack"/>
      <w:bookmarkEnd w:id="0"/>
      <w:r w:rsidRPr="00F13E54">
        <w:rPr>
          <w:rFonts w:ascii="Georgia" w:hAnsi="Georgia" w:cs="Arial"/>
          <w:color w:val="000000"/>
          <w:sz w:val="22"/>
          <w:szCs w:val="22"/>
        </w:rPr>
        <w:t xml:space="preserve">adzenie zmian w umowie wraz z uzasadnieniem beneficjent przedkłada </w:t>
      </w:r>
      <w:proofErr w:type="gramStart"/>
      <w:r w:rsidRPr="00F13E54">
        <w:rPr>
          <w:rFonts w:ascii="Georgia" w:hAnsi="Georgia" w:cs="Arial"/>
          <w:color w:val="000000"/>
          <w:sz w:val="22"/>
          <w:szCs w:val="22"/>
        </w:rPr>
        <w:t>do  Koordynatora</w:t>
      </w:r>
      <w:proofErr w:type="gramEnd"/>
      <w:r w:rsidRPr="00F13E54">
        <w:rPr>
          <w:rFonts w:ascii="Georgia" w:hAnsi="Georgia" w:cs="Arial"/>
          <w:color w:val="000000"/>
          <w:sz w:val="22"/>
          <w:szCs w:val="22"/>
        </w:rPr>
        <w:t xml:space="preserve"> nie później niż 20 dni przed terminem zakończenia zadania.</w:t>
      </w:r>
    </w:p>
    <w:p w14:paraId="03C16E1A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Koordynator dokonuje oceny zaproponowanych zmian. W uzasadnionych przypadkach konsultuje się z właściwym departamentem merytorycznym.  </w:t>
      </w:r>
    </w:p>
    <w:p w14:paraId="2EA99F7B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Pełnomocnik na wniosek Koordynatora podejmuje decyzję dotyczącą zaproponowanych zmian w zakresie pkt 2. Koordynator przekazuje ją do Departamentu Finansowego.</w:t>
      </w:r>
    </w:p>
    <w:p w14:paraId="3C5808D3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 xml:space="preserve">Koordynator podejmuje decyzję w zakresie zmian, o których mowa w pkt. 3 </w:t>
      </w:r>
      <w:r w:rsidRPr="00F13E54">
        <w:rPr>
          <w:rFonts w:ascii="Georgia" w:hAnsi="Georgia" w:cs="Arial"/>
          <w:color w:val="000000"/>
          <w:sz w:val="22"/>
          <w:szCs w:val="22"/>
        </w:rPr>
        <w:br/>
        <w:t>i przekazuje ją do Departamentu Finansowego.</w:t>
      </w:r>
    </w:p>
    <w:p w14:paraId="18576A03" w14:textId="7979BCC7" w:rsidR="00140CA8" w:rsidRPr="00F13E54" w:rsidRDefault="00140CA8" w:rsidP="001A5BB9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Na podstawie decyzji Pełnomocnika i/lub Koordynatora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 xml:space="preserve"> Departament Finansowy koordynuje przygotowanie</w:t>
      </w:r>
      <w:r w:rsidRPr="00F13E5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 xml:space="preserve">i wypełnienie przez beneficjenta </w:t>
      </w:r>
      <w:r w:rsidRPr="00F13E54">
        <w:rPr>
          <w:rFonts w:ascii="Georgia" w:hAnsi="Georgia" w:cs="Arial"/>
          <w:color w:val="000000"/>
          <w:sz w:val="22"/>
          <w:szCs w:val="22"/>
        </w:rPr>
        <w:t>projekt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>u</w:t>
      </w:r>
      <w:r w:rsidRPr="00F13E54">
        <w:rPr>
          <w:rFonts w:ascii="Georgia" w:hAnsi="Georgia" w:cs="Arial"/>
          <w:color w:val="000000"/>
          <w:sz w:val="22"/>
          <w:szCs w:val="22"/>
        </w:rPr>
        <w:t xml:space="preserve"> aneksu do umowy, który </w:t>
      </w:r>
      <w:r w:rsidR="001A5BB9" w:rsidRPr="00F13E54">
        <w:rPr>
          <w:rFonts w:ascii="Georgia" w:hAnsi="Georgia" w:cs="Arial"/>
          <w:color w:val="000000"/>
          <w:sz w:val="22"/>
          <w:szCs w:val="22"/>
        </w:rPr>
        <w:t xml:space="preserve">następnie </w:t>
      </w:r>
      <w:r w:rsidRPr="00F13E54">
        <w:rPr>
          <w:rFonts w:ascii="Georgia" w:hAnsi="Georgia" w:cs="Arial"/>
          <w:color w:val="000000"/>
          <w:sz w:val="22"/>
          <w:szCs w:val="22"/>
        </w:rPr>
        <w:t>przekazuje w systemie EZD do ostatecznej akceptacji Koordynatora.</w:t>
      </w:r>
    </w:p>
    <w:p w14:paraId="6C8AA305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Po zaakceptowaniu treści aneksu Departament Finansowy przeprowadza procedurę jego podpisania</w:t>
      </w:r>
      <w:r w:rsidR="00A66D7C" w:rsidRPr="00F13E54">
        <w:rPr>
          <w:rFonts w:ascii="Georgia" w:hAnsi="Georgia" w:cs="Arial"/>
          <w:color w:val="000000"/>
          <w:sz w:val="22"/>
          <w:szCs w:val="22"/>
        </w:rPr>
        <w:t xml:space="preserve"> z beneficjentem</w:t>
      </w:r>
      <w:r w:rsidRPr="00F13E54">
        <w:rPr>
          <w:rFonts w:ascii="Georgia" w:hAnsi="Georgia" w:cs="Arial"/>
          <w:color w:val="000000"/>
          <w:sz w:val="22"/>
          <w:szCs w:val="22"/>
        </w:rPr>
        <w:t>.</w:t>
      </w:r>
    </w:p>
    <w:p w14:paraId="1D9CDDEC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eastAsiaTheme="minorHAnsi" w:hAnsi="Georgia" w:cstheme="minorBidi"/>
          <w:bCs/>
          <w:sz w:val="22"/>
          <w:szCs w:val="22"/>
          <w:lang w:eastAsia="en-US"/>
        </w:rPr>
        <w:t>Departament Finansowy niezwłocznie po podpisaniu przekazuje oryginał aneksu do Koordynatora.</w:t>
      </w:r>
    </w:p>
    <w:p w14:paraId="25FA57D0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eastAsiaTheme="minorHAnsi" w:hAnsi="Georgia" w:cs="Arial"/>
          <w:color w:val="000000"/>
          <w:sz w:val="22"/>
          <w:szCs w:val="22"/>
          <w:lang w:eastAsia="en-US"/>
        </w:rPr>
        <w:lastRenderedPageBreak/>
        <w:t xml:space="preserve">Środki finansowe Ministra niewykorzystane w terminach określonych umową beneficjent jest zobowiązany zwrócić na konto Zleceniodawcy w maksymalnym terminie do 15 stycznia roku następującego po roku, w którym powstały oszczędności. </w:t>
      </w:r>
    </w:p>
    <w:p w14:paraId="10079F6E" w14:textId="77777777" w:rsidR="00140CA8" w:rsidRPr="00F13E54" w:rsidRDefault="00140CA8" w:rsidP="00666BF1">
      <w:pPr>
        <w:pStyle w:val="Akapitzlist"/>
        <w:numPr>
          <w:ilvl w:val="0"/>
          <w:numId w:val="10"/>
        </w:numPr>
        <w:tabs>
          <w:tab w:val="left" w:pos="5040"/>
        </w:tabs>
        <w:spacing w:line="276" w:lineRule="auto"/>
        <w:jc w:val="both"/>
        <w:rPr>
          <w:rFonts w:ascii="Georgia" w:hAnsi="Georgia" w:cs="Arial"/>
          <w:color w:val="000000"/>
          <w:sz w:val="22"/>
          <w:szCs w:val="22"/>
        </w:rPr>
      </w:pPr>
      <w:r w:rsidRPr="00F13E54">
        <w:rPr>
          <w:rFonts w:ascii="Georgia" w:hAnsi="Georgia" w:cs="Arial"/>
          <w:color w:val="000000"/>
          <w:sz w:val="22"/>
          <w:szCs w:val="22"/>
        </w:rPr>
        <w:t>Od kwot dotacji zwróconych po tym terminie, Zleceniobiorca zobowiązany jest, bez wezwania, przekazać Zleceniodawcy odsetki w wysokości określonej jak dla zaległości podatkowych, liczone od dnia następującego po dniu, w którym upłynął termin zwrotu dotacji.</w:t>
      </w:r>
    </w:p>
    <w:p w14:paraId="0F7C02C6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2383282B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79A8C2F9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  <w:r w:rsidRPr="00F13E54">
        <w:rPr>
          <w:rFonts w:ascii="Georgia" w:hAnsi="Georgia"/>
          <w:b/>
          <w:bCs/>
          <w:color w:val="auto"/>
          <w:sz w:val="22"/>
          <w:szCs w:val="22"/>
        </w:rPr>
        <w:t>IV. SPRAWOZDAWCZOŚĆ</w:t>
      </w:r>
    </w:p>
    <w:p w14:paraId="5A4CC3FD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/>
          <w:bCs/>
          <w:color w:val="auto"/>
          <w:sz w:val="22"/>
          <w:szCs w:val="22"/>
        </w:rPr>
      </w:pPr>
    </w:p>
    <w:p w14:paraId="4E07B2BA" w14:textId="1B0C62F2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  <w:r w:rsidRPr="00F13E54">
        <w:rPr>
          <w:rFonts w:ascii="Georgia" w:hAnsi="Georgia"/>
          <w:bCs/>
          <w:color w:val="auto"/>
          <w:sz w:val="22"/>
          <w:szCs w:val="22"/>
        </w:rPr>
        <w:t xml:space="preserve">Sprawozdawczość w Programie ma podwójny charakter: realizowana jest zgodnie z 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>Zarządzeniem Ministra Kultury i Dziedzictwa Narodowego z dnia 30 października 2013 r. w sprawie nadzoru i kontroli nad jednostkami objętymi częścią 24 budżetu państwa (podobnie jak w przypadku innych działań instytucji podległych i nadzorowanych przez Ministra Kultury</w:t>
      </w:r>
      <w:r w:rsidR="00F62B88" w:rsidRPr="00F13E54">
        <w:rPr>
          <w:rFonts w:ascii="Georgia" w:hAnsi="Georgia"/>
          <w:iCs/>
          <w:color w:val="000000" w:themeColor="text1"/>
          <w:sz w:val="22"/>
          <w:szCs w:val="22"/>
        </w:rPr>
        <w:t xml:space="preserve">, 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>Dziedzictwa Narodowego</w:t>
      </w:r>
      <w:r w:rsidR="00B92CE4" w:rsidRPr="00F13E54">
        <w:rPr>
          <w:rFonts w:ascii="Georgia" w:hAnsi="Georgia"/>
          <w:iCs/>
          <w:color w:val="000000" w:themeColor="text1"/>
          <w:sz w:val="22"/>
          <w:szCs w:val="22"/>
        </w:rPr>
        <w:t xml:space="preserve"> i Sportu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>), a także zgodnie z zapisami Programu Wieloletniego.</w:t>
      </w:r>
    </w:p>
    <w:p w14:paraId="1860600A" w14:textId="77777777" w:rsidR="00140CA8" w:rsidRPr="00F13E54" w:rsidRDefault="00140CA8" w:rsidP="00666BF1">
      <w:pPr>
        <w:pStyle w:val="Default"/>
        <w:spacing w:line="276" w:lineRule="auto"/>
        <w:jc w:val="both"/>
        <w:rPr>
          <w:rFonts w:ascii="Georgia" w:hAnsi="Georgia"/>
          <w:bCs/>
          <w:color w:val="auto"/>
          <w:sz w:val="22"/>
          <w:szCs w:val="22"/>
        </w:rPr>
      </w:pPr>
    </w:p>
    <w:p w14:paraId="44512AA3" w14:textId="2F2E88F6" w:rsidR="00140CA8" w:rsidRPr="00F13E54" w:rsidRDefault="00140CA8" w:rsidP="00666BF1">
      <w:pPr>
        <w:numPr>
          <w:ilvl w:val="0"/>
          <w:numId w:val="3"/>
        </w:numPr>
        <w:tabs>
          <w:tab w:val="left" w:pos="5040"/>
        </w:tabs>
        <w:spacing w:after="0"/>
        <w:jc w:val="both"/>
        <w:rPr>
          <w:rFonts w:ascii="Georgia" w:eastAsia="Times New Roman" w:hAnsi="Georgia" w:cs="Arial"/>
          <w:color w:val="000000"/>
          <w:lang w:eastAsia="pl-PL"/>
        </w:rPr>
      </w:pPr>
      <w:r w:rsidRPr="00F13E54">
        <w:rPr>
          <w:rFonts w:ascii="Georgia" w:eastAsia="Times New Roman" w:hAnsi="Georgia" w:cs="Arial"/>
          <w:color w:val="000000"/>
          <w:lang w:eastAsia="pl-PL"/>
        </w:rPr>
        <w:t xml:space="preserve">Beneficjent jest zobowiązany do rozliczenia dofinansowania na warunkach określonych w Umowie, co wiąże się ze składaniem </w:t>
      </w:r>
      <w:r w:rsidR="007E5D98" w:rsidRPr="00F13E54">
        <w:rPr>
          <w:rFonts w:ascii="Georgia" w:eastAsia="Times New Roman" w:hAnsi="Georgia" w:cs="Arial"/>
          <w:color w:val="000000"/>
          <w:lang w:eastAsia="pl-PL"/>
        </w:rPr>
        <w:t xml:space="preserve">za pośrednictwem platformy </w:t>
      </w:r>
      <w:proofErr w:type="spellStart"/>
      <w:r w:rsidR="007E5D98" w:rsidRPr="00F13E54">
        <w:rPr>
          <w:rFonts w:ascii="Georgia" w:eastAsia="Times New Roman" w:hAnsi="Georgia" w:cs="Arial"/>
          <w:color w:val="000000"/>
          <w:lang w:eastAsia="pl-PL"/>
        </w:rPr>
        <w:t>ePUAP</w:t>
      </w:r>
      <w:proofErr w:type="spellEnd"/>
      <w:r w:rsidR="00F62B88" w:rsidRPr="00F13E54">
        <w:rPr>
          <w:rFonts w:ascii="Georgia" w:eastAsia="Times New Roman" w:hAnsi="Georgia" w:cs="Arial"/>
          <w:color w:val="000000"/>
          <w:lang w:eastAsia="pl-PL"/>
        </w:rPr>
        <w:t xml:space="preserve"> </w:t>
      </w:r>
      <w:r w:rsidRPr="00F13E54">
        <w:rPr>
          <w:rFonts w:ascii="Georgia" w:eastAsia="Times New Roman" w:hAnsi="Georgia" w:cs="Arial"/>
          <w:color w:val="000000"/>
          <w:lang w:eastAsia="pl-PL"/>
        </w:rPr>
        <w:t>sprawozdań z rzeczowej i finansowej realizacji zadania – do 20 lipca każdego roku sprawozdanie za I półrocze, do 15 października każdego roku za trzy kwartały i do 1 lutego roku następnego sprawozdanie/raport roczny z realizacji zadania.</w:t>
      </w:r>
    </w:p>
    <w:p w14:paraId="78DD823B" w14:textId="77777777" w:rsidR="00140CA8" w:rsidRPr="00F13E54" w:rsidRDefault="00140CA8" w:rsidP="00666BF1">
      <w:pPr>
        <w:numPr>
          <w:ilvl w:val="0"/>
          <w:numId w:val="3"/>
        </w:numPr>
        <w:tabs>
          <w:tab w:val="left" w:pos="5040"/>
        </w:tabs>
        <w:spacing w:after="0"/>
        <w:jc w:val="both"/>
        <w:rPr>
          <w:rFonts w:ascii="Georgia" w:eastAsia="Times New Roman" w:hAnsi="Georgia" w:cs="Arial"/>
          <w:color w:val="000000"/>
          <w:lang w:eastAsia="pl-PL"/>
        </w:rPr>
      </w:pPr>
      <w:r w:rsidRPr="00F13E54">
        <w:rPr>
          <w:rFonts w:ascii="Georgia" w:eastAsia="Times New Roman" w:hAnsi="Georgia" w:cs="Arial"/>
          <w:color w:val="000000"/>
          <w:lang w:eastAsia="pl-PL"/>
        </w:rPr>
        <w:t>Sprawozdania z realizacji projektu składane są do Koordynatora.</w:t>
      </w:r>
    </w:p>
    <w:p w14:paraId="64DA1B86" w14:textId="77777777" w:rsidR="00140CA8" w:rsidRPr="00F13E54" w:rsidRDefault="00140CA8" w:rsidP="00666BF1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r w:rsidRPr="00F13E54">
        <w:rPr>
          <w:rFonts w:ascii="Georgia" w:hAnsi="Georgia"/>
          <w:color w:val="000000" w:themeColor="text1"/>
          <w:sz w:val="22"/>
          <w:szCs w:val="22"/>
        </w:rPr>
        <w:t xml:space="preserve">Sprawozdanie składa się z: </w:t>
      </w:r>
    </w:p>
    <w:p w14:paraId="1E5EDAE5" w14:textId="77777777" w:rsidR="00140CA8" w:rsidRPr="00F13E54" w:rsidRDefault="00140CA8" w:rsidP="00666BF1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części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opisowej obejmującej: </w:t>
      </w:r>
    </w:p>
    <w:p w14:paraId="3800364B" w14:textId="77777777" w:rsidR="00140CA8" w:rsidRPr="00F13E54" w:rsidRDefault="00140CA8" w:rsidP="00666BF1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zrealizowany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zakres rzeczowy zadania; </w:t>
      </w:r>
    </w:p>
    <w:p w14:paraId="7B2FB070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zestawienie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kwoty dotacji planowanej i wydatkowanej; </w:t>
      </w:r>
    </w:p>
    <w:p w14:paraId="6F90A6AE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wskazanie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przyczyn ewentualnych różnic pomiędzy kwotą wydatkowaną a uruchomioną;</w:t>
      </w:r>
    </w:p>
    <w:p w14:paraId="1B5753EE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porównanie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wydatkowanej dotacji ze stopniem realizacji zadania przewidzianego do finansowania, w tym ocenę możliwości wydatkowania pełnej kwoty przyznanych środków do końca roku budżetowego </w:t>
      </w:r>
      <w:r w:rsidRPr="00F13E54">
        <w:rPr>
          <w:rFonts w:ascii="Georgia" w:hAnsi="Georgia"/>
          <w:color w:val="000000" w:themeColor="text1"/>
          <w:sz w:val="22"/>
          <w:szCs w:val="22"/>
        </w:rPr>
        <w:br/>
        <w:t>(w przypadku informacji za pierwsze półrocze i za trzy kwartały);</w:t>
      </w:r>
    </w:p>
    <w:p w14:paraId="003B888A" w14:textId="77777777" w:rsidR="00140CA8" w:rsidRPr="00F13E54" w:rsidRDefault="00140CA8" w:rsidP="00666BF1">
      <w:pPr>
        <w:pStyle w:val="Akapitzlist"/>
        <w:numPr>
          <w:ilvl w:val="1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/>
          <w:iCs/>
          <w:color w:val="000000" w:themeColor="text1"/>
          <w:sz w:val="22"/>
          <w:szCs w:val="22"/>
        </w:rPr>
      </w:pPr>
      <w:proofErr w:type="gramStart"/>
      <w:r w:rsidRPr="00F13E54">
        <w:rPr>
          <w:rFonts w:ascii="Georgia" w:hAnsi="Georgia"/>
          <w:color w:val="000000" w:themeColor="text1"/>
          <w:sz w:val="22"/>
          <w:szCs w:val="22"/>
        </w:rPr>
        <w:t>wykaz</w:t>
      </w:r>
      <w:proofErr w:type="gramEnd"/>
      <w:r w:rsidRPr="00F13E54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00F13E54">
        <w:rPr>
          <w:rFonts w:ascii="Georgia" w:hAnsi="Georgia"/>
          <w:iCs/>
          <w:color w:val="000000" w:themeColor="text1"/>
          <w:sz w:val="22"/>
          <w:szCs w:val="22"/>
        </w:rPr>
        <w:t xml:space="preserve">dokumentów potwierdzających poniesienie wydatków bieżących, </w:t>
      </w:r>
    </w:p>
    <w:p w14:paraId="06F1B6A8" w14:textId="77777777" w:rsidR="00A35A9B" w:rsidRPr="00F13E54" w:rsidRDefault="00140CA8" w:rsidP="00666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Georgia" w:hAnsi="Georgia"/>
          <w:i/>
          <w:iCs/>
          <w:color w:val="000000" w:themeColor="text1"/>
        </w:rPr>
      </w:pPr>
      <w:proofErr w:type="gramStart"/>
      <w:r w:rsidRPr="00F13E54">
        <w:rPr>
          <w:rFonts w:ascii="Georgia" w:hAnsi="Georgia"/>
          <w:iCs/>
          <w:color w:val="000000" w:themeColor="text1"/>
        </w:rPr>
        <w:t>która</w:t>
      </w:r>
      <w:proofErr w:type="gramEnd"/>
      <w:r w:rsidRPr="00F13E54">
        <w:rPr>
          <w:rFonts w:ascii="Georgia" w:hAnsi="Georgia"/>
          <w:iCs/>
          <w:color w:val="000000" w:themeColor="text1"/>
        </w:rPr>
        <w:t xml:space="preserve"> stanowi Załącznik Nr 13 do Zarządzenia Ministra Kultury i Dziedzictwa Narodowego z dnia 30 października 2013 r., w sprawie nadzoru i kontroli nad jednostkami objętymi częścią 24 budżetu państwa,</w:t>
      </w:r>
      <w:r w:rsidRPr="00F13E54">
        <w:rPr>
          <w:rFonts w:ascii="Georgia" w:hAnsi="Georgia"/>
          <w:i/>
          <w:iCs/>
          <w:color w:val="000000" w:themeColor="text1"/>
        </w:rPr>
        <w:t xml:space="preserve"> </w:t>
      </w:r>
    </w:p>
    <w:p w14:paraId="01F8F812" w14:textId="77777777" w:rsidR="00140CA8" w:rsidRPr="00F13E54" w:rsidRDefault="00A35A9B" w:rsidP="00666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Georgia" w:hAnsi="Georgia"/>
          <w:i/>
          <w:iCs/>
          <w:color w:val="000000" w:themeColor="text1"/>
        </w:rPr>
      </w:pPr>
      <w:r w:rsidRPr="00F13E54">
        <w:rPr>
          <w:rFonts w:ascii="Georgia" w:hAnsi="Georgia"/>
          <w:iCs/>
          <w:color w:val="000000" w:themeColor="text1"/>
        </w:rPr>
        <w:t xml:space="preserve">2) </w:t>
      </w:r>
      <w:r w:rsidR="00140CA8" w:rsidRPr="00F13E54">
        <w:rPr>
          <w:rFonts w:ascii="Georgia" w:hAnsi="Georgia"/>
          <w:iCs/>
          <w:color w:val="000000" w:themeColor="text1"/>
        </w:rPr>
        <w:t xml:space="preserve">formularza: „Wykonanie mierników według klasyfikacji budżetu zadaniowego dla zadania </w:t>
      </w:r>
      <w:proofErr w:type="spellStart"/>
      <w:proofErr w:type="gramStart"/>
      <w:r w:rsidR="00140CA8" w:rsidRPr="00F13E54">
        <w:rPr>
          <w:rFonts w:ascii="Georgia" w:hAnsi="Georgia"/>
          <w:iCs/>
          <w:color w:val="000000" w:themeColor="text1"/>
        </w:rPr>
        <w:t>pn</w:t>
      </w:r>
      <w:proofErr w:type="spellEnd"/>
      <w:r w:rsidR="00140CA8" w:rsidRPr="00F13E54">
        <w:rPr>
          <w:rFonts w:ascii="Georgia" w:hAnsi="Georgia"/>
          <w:iCs/>
          <w:color w:val="000000" w:themeColor="text1"/>
        </w:rPr>
        <w:t>: ……………………………………….;  nr</w:t>
      </w:r>
      <w:proofErr w:type="gramEnd"/>
      <w:r w:rsidR="00140CA8" w:rsidRPr="00F13E54">
        <w:rPr>
          <w:rFonts w:ascii="Georgia" w:hAnsi="Georgia"/>
          <w:iCs/>
          <w:color w:val="000000" w:themeColor="text1"/>
        </w:rPr>
        <w:t xml:space="preserve"> umowy …………………….…….”.</w:t>
      </w:r>
    </w:p>
    <w:p w14:paraId="47516C66" w14:textId="77777777" w:rsidR="00140CA8" w:rsidRPr="00F13E54" w:rsidRDefault="00140CA8" w:rsidP="00666BF1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Georgia" w:hAnsi="Georgia" w:cs="Arial"/>
          <w:sz w:val="22"/>
          <w:szCs w:val="22"/>
        </w:rPr>
      </w:pPr>
      <w:r w:rsidRPr="00F13E54">
        <w:rPr>
          <w:rFonts w:ascii="Georgia" w:hAnsi="Georgia" w:cs="Arial"/>
          <w:sz w:val="22"/>
          <w:szCs w:val="22"/>
        </w:rPr>
        <w:t xml:space="preserve">Koordynator dokonuje oceny sprawozdania dostarczonego przez beneficjenta, wypełniając Kartę oceny zadania bieżącego. </w:t>
      </w:r>
      <w:r w:rsidRPr="00F13E54">
        <w:rPr>
          <w:rFonts w:ascii="Georgia" w:hAnsi="Georgia" w:cs="Arial"/>
          <w:color w:val="000000"/>
          <w:sz w:val="22"/>
          <w:szCs w:val="22"/>
        </w:rPr>
        <w:t>W uzasadnionych przypadkach konsultuje się z właściwym departamentem merytorycznym.</w:t>
      </w:r>
    </w:p>
    <w:p w14:paraId="19B8538A" w14:textId="77777777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t>Koordynator przekazuje sprawozdanie wraz z Kartą oceny zadania bieżącego do Departamentu Finansowego w terminach: do dnia 4 sierpnia</w:t>
      </w:r>
      <w:r w:rsidRPr="00F13E54">
        <w:rPr>
          <w:rFonts w:ascii="Georgia" w:hAnsi="Georgia"/>
          <w:bCs/>
          <w:iCs/>
        </w:rPr>
        <w:t xml:space="preserve"> – za pierwsze półrocze każdego roku, do dnia 1 listopada – za trzy kwartały każdego roku, do dnia 15 lutego roku następnego – za każdy rok realizacji Programu.</w:t>
      </w:r>
      <w:r w:rsidRPr="00F13E54">
        <w:rPr>
          <w:rFonts w:ascii="Georgia" w:eastAsia="Times New Roman" w:hAnsi="Georgia" w:cs="Arial"/>
          <w:lang w:eastAsia="pl-PL"/>
        </w:rPr>
        <w:t xml:space="preserve"> </w:t>
      </w:r>
    </w:p>
    <w:p w14:paraId="4F69877C" w14:textId="77777777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t xml:space="preserve">Departament Finansowy ostatecznie rozlicza i zatwierdza Sprawozdanie z realizacji projektu, informując niezwłocznie Koordynatora o jego zatwierdzeniu bądź uwagach. </w:t>
      </w:r>
    </w:p>
    <w:p w14:paraId="1E7F7C49" w14:textId="77777777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t>Za prawidłowe wydatkowanie wkładu własnego odpowiada beneficjent. Możliwa jest kontrola wszystkich środków wydatkowanych przez beneficjenta na realizację zadania.</w:t>
      </w:r>
    </w:p>
    <w:p w14:paraId="1BCFC700" w14:textId="2639A9D5" w:rsidR="00140CA8" w:rsidRPr="00F13E54" w:rsidRDefault="00140CA8" w:rsidP="00666BF1">
      <w:pPr>
        <w:numPr>
          <w:ilvl w:val="0"/>
          <w:numId w:val="3"/>
        </w:numPr>
        <w:spacing w:after="0"/>
        <w:jc w:val="both"/>
        <w:rPr>
          <w:rFonts w:ascii="Georgia" w:eastAsia="Times New Roman" w:hAnsi="Georgia" w:cs="Arial"/>
          <w:lang w:eastAsia="pl-PL"/>
        </w:rPr>
      </w:pPr>
      <w:r w:rsidRPr="00F13E54">
        <w:rPr>
          <w:rFonts w:ascii="Georgia" w:eastAsia="Times New Roman" w:hAnsi="Georgia" w:cs="Arial"/>
          <w:lang w:eastAsia="pl-PL"/>
        </w:rPr>
        <w:lastRenderedPageBreak/>
        <w:t>Na podstawie zestawienia Sprawozdań od wszystkich beneficjentów Programu, Koordynator przygotowuje Sprawozdanie okresowe z realizacji Programu za rok poprzedni</w:t>
      </w:r>
      <w:r w:rsidRPr="00F13E54">
        <w:rPr>
          <w:rFonts w:ascii="Georgia" w:hAnsi="Georgia"/>
          <w:bCs/>
          <w:iCs/>
        </w:rPr>
        <w:t xml:space="preserve"> do dnia 1</w:t>
      </w:r>
      <w:r w:rsidR="00B92CE4" w:rsidRPr="00F13E54">
        <w:rPr>
          <w:rFonts w:ascii="Georgia" w:hAnsi="Georgia"/>
          <w:bCs/>
          <w:iCs/>
        </w:rPr>
        <w:t>2</w:t>
      </w:r>
      <w:r w:rsidRPr="00F13E54">
        <w:rPr>
          <w:rFonts w:ascii="Georgia" w:hAnsi="Georgia"/>
          <w:bCs/>
          <w:iCs/>
        </w:rPr>
        <w:t xml:space="preserve"> marca roku następnego i przedstawia je do akceptacji Pełnomocnika.</w:t>
      </w:r>
    </w:p>
    <w:p w14:paraId="0D12139C" w14:textId="77777777" w:rsidR="005F2B73" w:rsidRDefault="005F2B73" w:rsidP="00A66D7C"/>
    <w:sectPr w:rsidR="005F2B73" w:rsidSect="0015572F">
      <w:foot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830A" w14:textId="77777777" w:rsidR="000F5AAB" w:rsidRDefault="000F5AAB">
      <w:pPr>
        <w:spacing w:after="0" w:line="240" w:lineRule="auto"/>
      </w:pPr>
      <w:r>
        <w:separator/>
      </w:r>
    </w:p>
  </w:endnote>
  <w:endnote w:type="continuationSeparator" w:id="0">
    <w:p w14:paraId="41E5A1E8" w14:textId="77777777" w:rsidR="000F5AAB" w:rsidRDefault="000F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738635"/>
      <w:docPartObj>
        <w:docPartGallery w:val="Page Numbers (Bottom of Page)"/>
        <w:docPartUnique/>
      </w:docPartObj>
    </w:sdtPr>
    <w:sdtEndPr/>
    <w:sdtContent>
      <w:p w14:paraId="603C8658" w14:textId="7FD014DF" w:rsidR="00063D75" w:rsidRDefault="00140C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274">
          <w:rPr>
            <w:noProof/>
          </w:rPr>
          <w:t>4</w:t>
        </w:r>
        <w:r>
          <w:fldChar w:fldCharType="end"/>
        </w:r>
      </w:p>
    </w:sdtContent>
  </w:sdt>
  <w:p w14:paraId="0CFAB8A3" w14:textId="77777777" w:rsidR="00063D75" w:rsidRDefault="007762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0563" w14:textId="77777777" w:rsidR="000F5AAB" w:rsidRDefault="000F5AAB">
      <w:pPr>
        <w:spacing w:after="0" w:line="240" w:lineRule="auto"/>
      </w:pPr>
      <w:r>
        <w:separator/>
      </w:r>
    </w:p>
  </w:footnote>
  <w:footnote w:type="continuationSeparator" w:id="0">
    <w:p w14:paraId="586EE2BE" w14:textId="77777777" w:rsidR="000F5AAB" w:rsidRDefault="000F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387"/>
    <w:multiLevelType w:val="hybridMultilevel"/>
    <w:tmpl w:val="650862FC"/>
    <w:lvl w:ilvl="0" w:tplc="9F24A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  <w:lvl w:ilvl="1" w:tplc="B69648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C012F736">
      <w:start w:val="1"/>
      <w:numFmt w:val="decimal"/>
      <w:suff w:val="space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BDA3A04"/>
    <w:multiLevelType w:val="hybridMultilevel"/>
    <w:tmpl w:val="BA3E6F68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640" w:hanging="357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0DA78D1"/>
    <w:multiLevelType w:val="hybridMultilevel"/>
    <w:tmpl w:val="EB723CAA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640" w:hanging="357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8F3C5582">
      <w:start w:val="1"/>
      <w:numFmt w:val="decimal"/>
      <w:lvlText w:val="%4."/>
      <w:lvlJc w:val="left"/>
      <w:pPr>
        <w:ind w:left="36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2CD4691"/>
    <w:multiLevelType w:val="hybridMultilevel"/>
    <w:tmpl w:val="0B668C12"/>
    <w:lvl w:ilvl="0" w:tplc="322C2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27CF70E5"/>
    <w:multiLevelType w:val="hybridMultilevel"/>
    <w:tmpl w:val="CF8CBF8A"/>
    <w:lvl w:ilvl="0" w:tplc="C90C6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90C6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3235A"/>
    <w:multiLevelType w:val="hybridMultilevel"/>
    <w:tmpl w:val="86E218F4"/>
    <w:lvl w:ilvl="0" w:tplc="8896743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452F60A6"/>
    <w:multiLevelType w:val="hybridMultilevel"/>
    <w:tmpl w:val="39282AB4"/>
    <w:lvl w:ilvl="0" w:tplc="6696D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B5DD9"/>
    <w:multiLevelType w:val="hybridMultilevel"/>
    <w:tmpl w:val="BB24C41A"/>
    <w:lvl w:ilvl="0" w:tplc="D540A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D54E5"/>
    <w:multiLevelType w:val="hybridMultilevel"/>
    <w:tmpl w:val="9EA2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275733B"/>
    <w:multiLevelType w:val="hybridMultilevel"/>
    <w:tmpl w:val="B9625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56FBA"/>
    <w:multiLevelType w:val="hybridMultilevel"/>
    <w:tmpl w:val="DF3CB4C8"/>
    <w:lvl w:ilvl="0" w:tplc="DF7E8C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96D33"/>
    <w:multiLevelType w:val="hybridMultilevel"/>
    <w:tmpl w:val="76CC1092"/>
    <w:lvl w:ilvl="0" w:tplc="10DC08B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EEA966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A8"/>
    <w:rsid w:val="000450BA"/>
    <w:rsid w:val="000E6B16"/>
    <w:rsid w:val="000F5AAB"/>
    <w:rsid w:val="00140CA8"/>
    <w:rsid w:val="001844E5"/>
    <w:rsid w:val="001A5BB9"/>
    <w:rsid w:val="001D1686"/>
    <w:rsid w:val="00223765"/>
    <w:rsid w:val="00251B8F"/>
    <w:rsid w:val="00255EC6"/>
    <w:rsid w:val="00323A30"/>
    <w:rsid w:val="00333D8A"/>
    <w:rsid w:val="003C0C4F"/>
    <w:rsid w:val="003D0278"/>
    <w:rsid w:val="004B3CBB"/>
    <w:rsid w:val="004C5086"/>
    <w:rsid w:val="00551C44"/>
    <w:rsid w:val="00584A81"/>
    <w:rsid w:val="005F2B73"/>
    <w:rsid w:val="00666BF1"/>
    <w:rsid w:val="006F46AE"/>
    <w:rsid w:val="00776274"/>
    <w:rsid w:val="007B1A65"/>
    <w:rsid w:val="007E5D98"/>
    <w:rsid w:val="00857204"/>
    <w:rsid w:val="008A1CC2"/>
    <w:rsid w:val="008B5EAD"/>
    <w:rsid w:val="00A13CD1"/>
    <w:rsid w:val="00A35A9B"/>
    <w:rsid w:val="00A46788"/>
    <w:rsid w:val="00A64D15"/>
    <w:rsid w:val="00A66D7C"/>
    <w:rsid w:val="00AA6D5E"/>
    <w:rsid w:val="00AF714F"/>
    <w:rsid w:val="00B47246"/>
    <w:rsid w:val="00B92CE4"/>
    <w:rsid w:val="00CD0283"/>
    <w:rsid w:val="00D424B9"/>
    <w:rsid w:val="00D52FA2"/>
    <w:rsid w:val="00D65D62"/>
    <w:rsid w:val="00DE1DB7"/>
    <w:rsid w:val="00E520BB"/>
    <w:rsid w:val="00E949D1"/>
    <w:rsid w:val="00EB6E23"/>
    <w:rsid w:val="00EF2949"/>
    <w:rsid w:val="00F13E54"/>
    <w:rsid w:val="00F14662"/>
    <w:rsid w:val="00F3053E"/>
    <w:rsid w:val="00F62B88"/>
    <w:rsid w:val="00F66E68"/>
    <w:rsid w:val="00FA4465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E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40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CA8"/>
  </w:style>
  <w:style w:type="paragraph" w:styleId="Tekstdymka">
    <w:name w:val="Balloon Text"/>
    <w:basedOn w:val="Normalny"/>
    <w:link w:val="TekstdymkaZnak"/>
    <w:uiPriority w:val="99"/>
    <w:semiHidden/>
    <w:unhideWhenUsed/>
    <w:rsid w:val="003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D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D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40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CA8"/>
  </w:style>
  <w:style w:type="paragraph" w:styleId="Tekstdymka">
    <w:name w:val="Balloon Text"/>
    <w:basedOn w:val="Normalny"/>
    <w:link w:val="TekstdymkaZnak"/>
    <w:uiPriority w:val="99"/>
    <w:semiHidden/>
    <w:unhideWhenUsed/>
    <w:rsid w:val="003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D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D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D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DDK</dc:creator>
  <cp:lastModifiedBy>Monika Bartoszek</cp:lastModifiedBy>
  <cp:revision>6</cp:revision>
  <cp:lastPrinted>2018-11-29T11:10:00Z</cp:lastPrinted>
  <dcterms:created xsi:type="dcterms:W3CDTF">2021-03-03T13:30:00Z</dcterms:created>
  <dcterms:modified xsi:type="dcterms:W3CDTF">2021-03-10T09:13:00Z</dcterms:modified>
</cp:coreProperties>
</file>