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D9A4C6F" w:rsidR="0058581A" w:rsidRDefault="0058581A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137F66">
        <w:rPr>
          <w:rFonts w:ascii="Cambria" w:hAnsi="Cambria" w:cs="Arial"/>
          <w:b/>
          <w:bCs/>
          <w:sz w:val="22"/>
          <w:szCs w:val="22"/>
        </w:rPr>
        <w:t xml:space="preserve">B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7876D91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01133B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4664DBFE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B2BDC">
        <w:rPr>
          <w:rFonts w:ascii="Cambria" w:hAnsi="Cambria" w:cs="Arial"/>
          <w:bCs/>
          <w:sz w:val="22"/>
          <w:szCs w:val="22"/>
        </w:rPr>
        <w:t>Leśny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zamówień publicznych (tekst jedn. Dz. U. z 2019 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BB2BDC">
        <w:rPr>
          <w:rFonts w:ascii="Cambria" w:hAnsi="Cambria" w:cs="Arial"/>
          <w:bCs/>
          <w:sz w:val="22"/>
          <w:szCs w:val="22"/>
        </w:rPr>
        <w:t>Roboty remontowe pokoi gościnnych w Leśnym Banku Genów Kostrzyca</w:t>
      </w:r>
      <w:r>
        <w:rPr>
          <w:rFonts w:ascii="Cambria" w:hAnsi="Cambria" w:cs="Arial"/>
          <w:bCs/>
          <w:sz w:val="22"/>
          <w:szCs w:val="22"/>
        </w:rPr>
        <w:t>”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2656FE4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108 ust. 1 pkt 1-6 oraz art. 109 ust. 1 pkt 1, 4, 8 i 10 ustawy z dnia 11 września 2019r. Prawo zamówień publicznych (Dz. U. z 2019r.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3052E995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>(podać należy zastosowaną podstawę wykluczenia spośród wymienionych w art.108 ust 1 pkt 1, 2 i 5 lub art. 109 ust 1 pkt</w:t>
      </w:r>
      <w:r w:rsidR="009C01DA">
        <w:rPr>
          <w:rFonts w:ascii="Cambria" w:hAnsi="Cambria" w:cs="Arial"/>
          <w:i/>
          <w:sz w:val="22"/>
          <w:szCs w:val="22"/>
        </w:rPr>
        <w:t xml:space="preserve"> 4, </w:t>
      </w:r>
      <w:r w:rsidRPr="00D82ABB">
        <w:rPr>
          <w:rFonts w:ascii="Cambria" w:hAnsi="Cambria" w:cs="Arial"/>
          <w:i/>
          <w:sz w:val="22"/>
          <w:szCs w:val="22"/>
        </w:rPr>
        <w:t xml:space="preserve"> 8 i 10 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1B758866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01133B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58581A">
        <w:rPr>
          <w:rFonts w:ascii="Cambria" w:hAnsi="Cambria" w:cs="Arial"/>
          <w:bCs/>
          <w:i/>
          <w:sz w:val="18"/>
          <w:szCs w:val="18"/>
        </w:rPr>
        <w:tab/>
      </w:r>
      <w:r w:rsidRPr="0058581A">
        <w:rPr>
          <w:rFonts w:ascii="Cambria" w:hAnsi="Cambria" w:cs="Arial"/>
          <w:bCs/>
          <w:i/>
          <w:sz w:val="18"/>
          <w:szCs w:val="18"/>
        </w:rPr>
        <w:br/>
        <w:t>w formie elektronicznej, o której mowa w art. 78(1) KC</w:t>
      </w:r>
      <w:r w:rsidRPr="0058581A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5A3E" w14:textId="77777777" w:rsidR="003970AC" w:rsidRDefault="003970AC">
      <w:r>
        <w:separator/>
      </w:r>
    </w:p>
  </w:endnote>
  <w:endnote w:type="continuationSeparator" w:id="0">
    <w:p w14:paraId="7A8DA3AA" w14:textId="77777777" w:rsidR="003970AC" w:rsidRDefault="0039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397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3970A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01133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2A38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3970A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39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130A" w14:textId="77777777" w:rsidR="003970AC" w:rsidRDefault="003970AC">
      <w:r>
        <w:separator/>
      </w:r>
    </w:p>
  </w:footnote>
  <w:footnote w:type="continuationSeparator" w:id="0">
    <w:p w14:paraId="31B2A6B3" w14:textId="77777777" w:rsidR="003970AC" w:rsidRDefault="0039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3970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01133B">
    <w:pPr>
      <w:pStyle w:val="Nagwek"/>
    </w:pPr>
    <w:r>
      <w:t xml:space="preserve"> </w:t>
    </w:r>
  </w:p>
  <w:p w14:paraId="0B215E7D" w14:textId="77777777" w:rsidR="00050E2E" w:rsidRDefault="003970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3970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1133B"/>
    <w:rsid w:val="00137F66"/>
    <w:rsid w:val="003970AC"/>
    <w:rsid w:val="0058581A"/>
    <w:rsid w:val="00790244"/>
    <w:rsid w:val="009672DD"/>
    <w:rsid w:val="009C01DA"/>
    <w:rsid w:val="00B61818"/>
    <w:rsid w:val="00B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7</cp:revision>
  <cp:lastPrinted>2021-02-01T10:04:00Z</cp:lastPrinted>
  <dcterms:created xsi:type="dcterms:W3CDTF">2021-02-01T09:54:00Z</dcterms:created>
  <dcterms:modified xsi:type="dcterms:W3CDTF">2021-08-30T11:35:00Z</dcterms:modified>
</cp:coreProperties>
</file>