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B7D" w:rsidRPr="00AF2110" w:rsidRDefault="009D59CC" w:rsidP="00FE218F">
      <w:pPr>
        <w:ind w:left="5664"/>
        <w:jc w:val="both"/>
      </w:pPr>
      <w:r w:rsidRPr="00AF2110">
        <w:t xml:space="preserve">Warszawa, </w:t>
      </w:r>
      <w:bookmarkStart w:id="0" w:name="ezdDataPodpisu"/>
      <w:r w:rsidRPr="00AF2110">
        <w:t>24 stycznia 2019</w:t>
      </w:r>
      <w:bookmarkEnd w:id="0"/>
      <w:r w:rsidRPr="00AF2110">
        <w:t xml:space="preserve"> r.</w:t>
      </w:r>
    </w:p>
    <w:p w:rsidR="006A2B7D" w:rsidRPr="00AF2110" w:rsidRDefault="009D59CC" w:rsidP="00FE218F">
      <w:pPr>
        <w:pStyle w:val="menfont"/>
        <w:jc w:val="both"/>
      </w:pPr>
      <w:bookmarkStart w:id="1" w:name="ezdSprawaZnak"/>
      <w:r w:rsidRPr="00AF2110">
        <w:t>DKO-WOK.053.14.2018</w:t>
      </w:r>
      <w:bookmarkEnd w:id="1"/>
      <w:r w:rsidRPr="00AF2110">
        <w:t>.</w:t>
      </w:r>
      <w:bookmarkStart w:id="2" w:name="ezdAutorInicjaly"/>
      <w:r w:rsidRPr="00AF2110">
        <w:t>AK</w:t>
      </w:r>
      <w:bookmarkEnd w:id="2"/>
    </w:p>
    <w:p w:rsidR="00104A65" w:rsidRPr="00AF2110" w:rsidRDefault="00D02494" w:rsidP="00FE218F">
      <w:pPr>
        <w:pStyle w:val="menfont"/>
        <w:jc w:val="both"/>
      </w:pPr>
    </w:p>
    <w:p w:rsidR="00FE218F" w:rsidRDefault="00D02494" w:rsidP="00FE218F">
      <w:pPr>
        <w:pStyle w:val="menfont"/>
        <w:jc w:val="both"/>
      </w:pPr>
    </w:p>
    <w:p w:rsidR="00FE218F" w:rsidRPr="00AF2110" w:rsidRDefault="00D02494" w:rsidP="00FE218F">
      <w:pPr>
        <w:pStyle w:val="menfont"/>
        <w:jc w:val="both"/>
      </w:pPr>
    </w:p>
    <w:p w:rsidR="00104A65" w:rsidRPr="00AF2110" w:rsidRDefault="00D02494" w:rsidP="00FE218F">
      <w:pPr>
        <w:pStyle w:val="menfont"/>
        <w:jc w:val="both"/>
      </w:pPr>
    </w:p>
    <w:p w:rsidR="00C7593D" w:rsidRDefault="00C7593D" w:rsidP="00FE218F">
      <w:pPr>
        <w:pStyle w:val="menfont"/>
        <w:jc w:val="both"/>
        <w:rPr>
          <w:b/>
        </w:rPr>
      </w:pPr>
    </w:p>
    <w:p w:rsidR="00C7593D" w:rsidRDefault="00C7593D" w:rsidP="00FE218F">
      <w:pPr>
        <w:pStyle w:val="menfont"/>
        <w:jc w:val="both"/>
        <w:rPr>
          <w:b/>
        </w:rPr>
      </w:pPr>
    </w:p>
    <w:p w:rsidR="00C7593D" w:rsidRDefault="00C7593D" w:rsidP="00FE218F">
      <w:pPr>
        <w:pStyle w:val="menfont"/>
        <w:jc w:val="both"/>
        <w:rPr>
          <w:b/>
        </w:rPr>
      </w:pPr>
    </w:p>
    <w:p w:rsidR="00C7593D" w:rsidRDefault="00C7593D" w:rsidP="00FE218F">
      <w:pPr>
        <w:pStyle w:val="menfont"/>
        <w:jc w:val="both"/>
        <w:rPr>
          <w:b/>
        </w:rPr>
      </w:pPr>
    </w:p>
    <w:p w:rsidR="00C7593D" w:rsidRDefault="00C7593D" w:rsidP="00FE218F">
      <w:pPr>
        <w:pStyle w:val="menfont"/>
        <w:jc w:val="both"/>
        <w:rPr>
          <w:b/>
        </w:rPr>
      </w:pPr>
    </w:p>
    <w:p w:rsidR="00FE218F" w:rsidRPr="00AF2110" w:rsidRDefault="00D02494" w:rsidP="00FE218F">
      <w:pPr>
        <w:pStyle w:val="menfont"/>
        <w:jc w:val="both"/>
      </w:pPr>
    </w:p>
    <w:p w:rsidR="00104A65" w:rsidRPr="00AF2110" w:rsidRDefault="009D59CC" w:rsidP="00FE218F">
      <w:pPr>
        <w:pStyle w:val="menfont"/>
        <w:jc w:val="both"/>
      </w:pPr>
      <w:r w:rsidRPr="00FE218F">
        <w:rPr>
          <w:i/>
        </w:rPr>
        <w:t>Szanowny Panie</w:t>
      </w:r>
      <w:r w:rsidRPr="00AF2110">
        <w:t xml:space="preserve">, </w:t>
      </w:r>
    </w:p>
    <w:p w:rsidR="00FE218F" w:rsidRDefault="00D02494" w:rsidP="00FE218F">
      <w:pPr>
        <w:pStyle w:val="menfont"/>
        <w:jc w:val="both"/>
      </w:pPr>
    </w:p>
    <w:p w:rsidR="00FE218F" w:rsidRPr="00AF2110" w:rsidRDefault="00D02494" w:rsidP="00FE218F">
      <w:pPr>
        <w:pStyle w:val="menfont"/>
        <w:jc w:val="both"/>
      </w:pPr>
    </w:p>
    <w:p w:rsidR="003765D9" w:rsidRDefault="009D59CC" w:rsidP="00FE218F">
      <w:pPr>
        <w:pStyle w:val="menfont"/>
        <w:jc w:val="both"/>
      </w:pPr>
      <w:r w:rsidRPr="00AF2110">
        <w:t xml:space="preserve">odpowiadając na petycję z dnia </w:t>
      </w:r>
      <w:r>
        <w:t>23</w:t>
      </w:r>
      <w:r w:rsidRPr="00AF2110">
        <w:t xml:space="preserve"> listopada 2018 r. uprzejmie informuję, </w:t>
      </w:r>
      <w:r w:rsidRPr="00AF2110">
        <w:br/>
        <w:t xml:space="preserve">że </w:t>
      </w:r>
      <w:r>
        <w:t>kwestie</w:t>
      </w:r>
      <w:r w:rsidRPr="003765D9">
        <w:t xml:space="preserve"> macierzyństwa i ojcostwa szczegółowo </w:t>
      </w:r>
      <w:r>
        <w:t>definiują</w:t>
      </w:r>
      <w:r w:rsidRPr="003765D9">
        <w:t xml:space="preserve"> przepisy Kodeksu rodzinnego i opiekuńczego</w:t>
      </w:r>
      <w:r>
        <w:rPr>
          <w:vertAlign w:val="superscript"/>
        </w:rPr>
        <w:footnoteReference w:id="1"/>
      </w:r>
      <w:r w:rsidRPr="003765D9">
        <w:t xml:space="preserve">, </w:t>
      </w:r>
      <w:r>
        <w:t xml:space="preserve">nie przepisy prawa oświatowego. </w:t>
      </w:r>
    </w:p>
    <w:p w:rsidR="003765D9" w:rsidRDefault="00D02494" w:rsidP="00FE218F">
      <w:pPr>
        <w:pStyle w:val="menfont"/>
        <w:jc w:val="both"/>
      </w:pPr>
    </w:p>
    <w:p w:rsidR="00FE218F" w:rsidRPr="00FE218F" w:rsidRDefault="009D59CC" w:rsidP="00FE218F">
      <w:pPr>
        <w:pStyle w:val="menfont"/>
        <w:jc w:val="both"/>
      </w:pPr>
      <w:r w:rsidRPr="00AF2110">
        <w:t>Zasadniczo kwestie, które porusza Pan w piśmie</w:t>
      </w:r>
      <w:r>
        <w:t>,</w:t>
      </w:r>
      <w:r w:rsidRPr="00AF2110">
        <w:t xml:space="preserve"> dotyczą definicji władzy rodzicielskiej. Władza rodzicielska obejmuje w szczególności obowiązek i prawo rodziców do wykonywania pieczy nad osobą i majątkiem dziecka </w:t>
      </w:r>
      <w:r>
        <w:br/>
      </w:r>
      <w:r w:rsidRPr="00AF2110">
        <w:t>oraz do wychowania dziecka, z poszanowaniem jego godności i praw</w:t>
      </w:r>
      <w:r>
        <w:rPr>
          <w:vertAlign w:val="superscript"/>
        </w:rPr>
        <w:footnoteReference w:id="2"/>
      </w:r>
      <w:r w:rsidRPr="00AF2110">
        <w:t xml:space="preserve">. Jeżeli władza rodzicielska nie może być wykonywana z powodu trwałej przeszkody </w:t>
      </w:r>
      <w:r w:rsidR="00C7593D">
        <w:br/>
      </w:r>
      <w:r w:rsidRPr="00AF2110">
        <w:t>albo jeżeli rodzice nadużywają władzy rodzicielskiej lub w sposób rażący zaniedbują swe obowiązki względem dziecka, sąd opiekuńczy pozbawi</w:t>
      </w:r>
      <w:r>
        <w:t>a</w:t>
      </w:r>
      <w:r w:rsidRPr="00AF2110">
        <w:t xml:space="preserve"> rodziców władzy rodzicielskiej. Pozbawienie władzy rodzicielskiej może być orzeczone także w stosunku do jednego z rodziców</w:t>
      </w:r>
      <w:r>
        <w:rPr>
          <w:rStyle w:val="Odwoanieprzypisudolnego"/>
        </w:rPr>
        <w:footnoteReference w:id="3"/>
      </w:r>
      <w:r w:rsidRPr="00AF2110">
        <w:t xml:space="preserve">. </w:t>
      </w:r>
      <w:r w:rsidRPr="00FE218F">
        <w:t>Podstawę pozbawienia władzy rodzicielskiej stanowią cztery ustawowe przesłanki, z których każda stanowi samoistną podstawę pozbawienia władzy rodzicielskiej:</w:t>
      </w:r>
    </w:p>
    <w:p w:rsidR="00FE218F" w:rsidRPr="00FE218F" w:rsidRDefault="009D59CC" w:rsidP="00FE218F">
      <w:pPr>
        <w:pStyle w:val="menfont"/>
        <w:numPr>
          <w:ilvl w:val="0"/>
          <w:numId w:val="1"/>
        </w:numPr>
        <w:jc w:val="both"/>
        <w:rPr>
          <w:bCs/>
          <w:iCs/>
        </w:rPr>
      </w:pPr>
      <w:r w:rsidRPr="00FE218F">
        <w:rPr>
          <w:bCs/>
          <w:iCs/>
        </w:rPr>
        <w:t xml:space="preserve">trwała przeszkoda w wykonywaniu władzy rodzicielskiej. W odróżnieniu od przeszkody przemijającej, przeszkoda trwała – to taka okoliczność, która według rozsądnego przewidywania będzie trwała przez długi czas, niedający się ustalić albo trudny do przewidzenia, ale obejmujący długotrwały, z reguły wieloletni okres. Jako przykłady takich stanów </w:t>
      </w:r>
      <w:r w:rsidR="00C7593D">
        <w:rPr>
          <w:bCs/>
          <w:iCs/>
        </w:rPr>
        <w:br/>
      </w:r>
      <w:r w:rsidRPr="00FE218F">
        <w:rPr>
          <w:bCs/>
          <w:iCs/>
        </w:rPr>
        <w:t xml:space="preserve">można przytoczyć: zaginięcie tego z rodziców, co do którego sąd orzeka pozbawienie władzy rodzicielskiej, jego wyjazd na stałe lub nawet </w:t>
      </w:r>
      <w:r>
        <w:rPr>
          <w:bCs/>
          <w:iCs/>
        </w:rPr>
        <w:br/>
      </w:r>
      <w:r w:rsidRPr="00FE218F">
        <w:rPr>
          <w:bCs/>
          <w:iCs/>
        </w:rPr>
        <w:t xml:space="preserve">na czas nieokreślony za granicę, połączony z całkowitym brakiem zainteresowania dzieckiem, umieszczenie w zakładzie karnym w celu odbycia długotrwałej kary, umieszczenie, z powodu nieuleczalnej </w:t>
      </w:r>
      <w:r w:rsidR="00C7593D">
        <w:rPr>
          <w:bCs/>
          <w:iCs/>
        </w:rPr>
        <w:t xml:space="preserve"> </w:t>
      </w:r>
      <w:r w:rsidRPr="00FE218F">
        <w:rPr>
          <w:bCs/>
          <w:iCs/>
        </w:rPr>
        <w:lastRenderedPageBreak/>
        <w:t>choroby, w zakładzie leczniczym. Trwała przeszkoda może także wystąpić, co zdarza się zupełnie wyjątkowo, w sytua</w:t>
      </w:r>
      <w:r w:rsidR="00C7593D">
        <w:rPr>
          <w:bCs/>
          <w:iCs/>
        </w:rPr>
        <w:t xml:space="preserve">cji gdy rodzice przebywają razem </w:t>
      </w:r>
      <w:r w:rsidRPr="00FE218F">
        <w:rPr>
          <w:bCs/>
          <w:iCs/>
        </w:rPr>
        <w:t>z</w:t>
      </w:r>
      <w:r w:rsidR="00C7593D">
        <w:rPr>
          <w:bCs/>
          <w:iCs/>
        </w:rPr>
        <w:t xml:space="preserve"> </w:t>
      </w:r>
      <w:r w:rsidRPr="00FE218F">
        <w:rPr>
          <w:bCs/>
          <w:iCs/>
        </w:rPr>
        <w:t xml:space="preserve">dzieckiem, np. gdy z powodu bardzo ciężkiej </w:t>
      </w:r>
      <w:r w:rsidR="00C7593D">
        <w:rPr>
          <w:bCs/>
          <w:iCs/>
        </w:rPr>
        <w:br/>
      </w:r>
      <w:r w:rsidRPr="00FE218F">
        <w:rPr>
          <w:bCs/>
          <w:iCs/>
        </w:rPr>
        <w:t>i przewlekłej choroby nie są w ogóle w stanie wykonywać władzy rodzicielskiej;</w:t>
      </w:r>
    </w:p>
    <w:p w:rsidR="00FE218F" w:rsidRPr="00FE218F" w:rsidRDefault="009D59CC" w:rsidP="00FE218F">
      <w:pPr>
        <w:pStyle w:val="menfont"/>
        <w:numPr>
          <w:ilvl w:val="0"/>
          <w:numId w:val="1"/>
        </w:numPr>
        <w:jc w:val="both"/>
        <w:rPr>
          <w:bCs/>
          <w:iCs/>
        </w:rPr>
      </w:pPr>
      <w:r w:rsidRPr="00FE218F">
        <w:rPr>
          <w:bCs/>
          <w:iCs/>
        </w:rPr>
        <w:t xml:space="preserve">nadużywanie władzy rodzicielskiej oznacza stosowanie najdrastyczniejszych form przemocy fizycznej lub psychicznej przez rodziców, w szczególności nadmierne karanie, zwłaszcza cielesne, wykorzystywanie dziecka do czynów nierządnych, w tym nakłanianie go do uprawiania prostytucji, zmuszanie dziecka do nadmiernej pracy </w:t>
      </w:r>
      <w:r>
        <w:rPr>
          <w:bCs/>
          <w:iCs/>
        </w:rPr>
        <w:br/>
      </w:r>
      <w:r w:rsidRPr="00FE218F">
        <w:rPr>
          <w:bCs/>
          <w:iCs/>
        </w:rPr>
        <w:t xml:space="preserve">w domu lub do pracy zarobkowej, wychowywanie dziecka </w:t>
      </w:r>
      <w:r>
        <w:rPr>
          <w:bCs/>
          <w:iCs/>
        </w:rPr>
        <w:br/>
      </w:r>
      <w:r w:rsidRPr="00FE218F">
        <w:rPr>
          <w:bCs/>
          <w:iCs/>
        </w:rPr>
        <w:t xml:space="preserve">do przestępczego procederu, doprowadzenie przez brak dbałości </w:t>
      </w:r>
      <w:r>
        <w:rPr>
          <w:bCs/>
          <w:iCs/>
        </w:rPr>
        <w:br/>
      </w:r>
      <w:r w:rsidRPr="00FE218F">
        <w:rPr>
          <w:bCs/>
          <w:iCs/>
        </w:rPr>
        <w:t xml:space="preserve">do nagannego zachowywania się dziecka w szkole i do złych jego </w:t>
      </w:r>
      <w:r w:rsidR="00C7593D">
        <w:rPr>
          <w:bCs/>
          <w:iCs/>
        </w:rPr>
        <w:br/>
      </w:r>
      <w:r w:rsidRPr="00FE218F">
        <w:rPr>
          <w:bCs/>
          <w:iCs/>
        </w:rPr>
        <w:t xml:space="preserve">wyników w nauce, pozbawianie dziecka jego naturalnego środowiska rodzinnego i bezpośredniej pieczy drugiego z rodziców przez bezprawne zatrzymanie go u siebie, zwłaszcza gdy łączy się to z wywiezieniem dziecka wbrew woli drugiego z rodziców na stałe za granicę, </w:t>
      </w:r>
      <w:r w:rsidR="00C7593D">
        <w:rPr>
          <w:bCs/>
          <w:iCs/>
        </w:rPr>
        <w:br/>
      </w:r>
      <w:r w:rsidRPr="00FE218F">
        <w:rPr>
          <w:bCs/>
          <w:iCs/>
        </w:rPr>
        <w:t xml:space="preserve">zamieszkanie wraz z dzieckiem z nowym partnerem, jeżeli taki układ wywiera niekorzystny wpływ na wychowanie dziecka, rozpijanie dziecka </w:t>
      </w:r>
      <w:r>
        <w:rPr>
          <w:bCs/>
          <w:iCs/>
        </w:rPr>
        <w:br/>
      </w:r>
      <w:r w:rsidRPr="00FE218F">
        <w:rPr>
          <w:bCs/>
          <w:iCs/>
        </w:rPr>
        <w:t xml:space="preserve">i wiele innych zachowań, które nierzadko stanowią przestępstwo </w:t>
      </w:r>
      <w:r>
        <w:rPr>
          <w:bCs/>
          <w:iCs/>
        </w:rPr>
        <w:br/>
      </w:r>
      <w:r w:rsidRPr="00FE218F">
        <w:rPr>
          <w:bCs/>
          <w:iCs/>
        </w:rPr>
        <w:t>w rozumieniu przepisów K</w:t>
      </w:r>
      <w:r>
        <w:rPr>
          <w:bCs/>
          <w:iCs/>
        </w:rPr>
        <w:t>odeksu karnego</w:t>
      </w:r>
      <w:r w:rsidRPr="00FE218F">
        <w:rPr>
          <w:bCs/>
          <w:iCs/>
        </w:rPr>
        <w:t>;</w:t>
      </w:r>
    </w:p>
    <w:p w:rsidR="00FE218F" w:rsidRPr="00FE218F" w:rsidRDefault="009D59CC" w:rsidP="00FE218F">
      <w:pPr>
        <w:pStyle w:val="menfont"/>
        <w:numPr>
          <w:ilvl w:val="0"/>
          <w:numId w:val="1"/>
        </w:numPr>
        <w:jc w:val="both"/>
        <w:rPr>
          <w:bCs/>
          <w:iCs/>
        </w:rPr>
      </w:pPr>
      <w:r w:rsidRPr="00FE218F">
        <w:rPr>
          <w:bCs/>
          <w:iCs/>
        </w:rPr>
        <w:t xml:space="preserve">rażące zaniedbywanie obowiązków względem dziecka oznacza skrajne przypadki zaniechania przez rodziców realizacji podstawowych </w:t>
      </w:r>
      <w:r w:rsidR="00C7593D">
        <w:rPr>
          <w:bCs/>
          <w:iCs/>
        </w:rPr>
        <w:br/>
      </w:r>
      <w:r w:rsidRPr="00FE218F">
        <w:rPr>
          <w:bCs/>
          <w:iCs/>
        </w:rPr>
        <w:t>czynności, warunkujących prawidłowy rozwój dziecka. W szczególności uchylanie się od świadczeń alimentacyjnych, porzucenie dziecka, dopuszczenie do przebywania dziecka w okolicznościach niebezpiecznych dla zdrowia i inne;</w:t>
      </w:r>
    </w:p>
    <w:p w:rsidR="00FE218F" w:rsidRPr="00FE218F" w:rsidRDefault="009D59CC" w:rsidP="00FE218F">
      <w:pPr>
        <w:pStyle w:val="menfont"/>
        <w:numPr>
          <w:ilvl w:val="0"/>
          <w:numId w:val="1"/>
        </w:numPr>
        <w:jc w:val="both"/>
        <w:rPr>
          <w:bCs/>
          <w:iCs/>
        </w:rPr>
      </w:pPr>
      <w:r w:rsidRPr="00FE218F">
        <w:rPr>
          <w:bCs/>
          <w:iCs/>
        </w:rPr>
        <w:t>utrzymywanie się przyczyn umieszczenia dziecka w pieczy zastępczej</w:t>
      </w:r>
      <w:r>
        <w:rPr>
          <w:bCs/>
          <w:iCs/>
          <w:vertAlign w:val="superscript"/>
        </w:rPr>
        <w:footnoteReference w:id="4"/>
      </w:r>
      <w:r w:rsidRPr="00FE218F">
        <w:rPr>
          <w:bCs/>
          <w:iCs/>
        </w:rPr>
        <w:t>.</w:t>
      </w:r>
    </w:p>
    <w:p w:rsidR="00FE218F" w:rsidRPr="00FE218F" w:rsidRDefault="00D02494" w:rsidP="00FE218F">
      <w:pPr>
        <w:pStyle w:val="menfont"/>
        <w:jc w:val="both"/>
        <w:rPr>
          <w:iCs/>
        </w:rPr>
      </w:pPr>
    </w:p>
    <w:p w:rsidR="00FE218F" w:rsidRPr="00FE218F" w:rsidRDefault="009D59CC" w:rsidP="00FE218F">
      <w:pPr>
        <w:pStyle w:val="menfont"/>
        <w:jc w:val="both"/>
        <w:rPr>
          <w:iCs/>
        </w:rPr>
      </w:pPr>
      <w:r w:rsidRPr="00FE218F">
        <w:t>P</w:t>
      </w:r>
      <w:r w:rsidRPr="00FE218F">
        <w:rPr>
          <w:iCs/>
        </w:rPr>
        <w:t xml:space="preserve">ozbawienie władzy rodzicielskiej </w:t>
      </w:r>
      <w:r w:rsidRPr="00FE218F">
        <w:rPr>
          <w:b/>
          <w:bCs/>
          <w:iCs/>
        </w:rPr>
        <w:t xml:space="preserve">oznacza utratę ogółu praw i obowiązków, jakie składają się na władzę rodzicielską, tj. w zakresie pieczy, </w:t>
      </w:r>
      <w:r w:rsidR="00C7593D">
        <w:rPr>
          <w:b/>
          <w:bCs/>
          <w:iCs/>
        </w:rPr>
        <w:br/>
      </w:r>
      <w:r w:rsidRPr="00FE218F">
        <w:rPr>
          <w:b/>
          <w:bCs/>
          <w:iCs/>
        </w:rPr>
        <w:t>reprezentacji i zarządu majątkiem małoletniego</w:t>
      </w:r>
      <w:r w:rsidRPr="00FE218F">
        <w:rPr>
          <w:iCs/>
        </w:rPr>
        <w:t xml:space="preserve">. Pozbawienie władzy rodzicielskiej nie powoduje natomiast ustania innych obowiązków rodziców wobec dziecka i praw, jakie im z tytułu stosunku rodzicielskiego przysługują. </w:t>
      </w:r>
      <w:r w:rsidRPr="00FE218F">
        <w:rPr>
          <w:iCs/>
        </w:rPr>
        <w:br/>
        <w:t xml:space="preserve">W szczególności rodzice zachowują potencjalne prawo do alimentów </w:t>
      </w:r>
      <w:r w:rsidRPr="00FE218F">
        <w:rPr>
          <w:iCs/>
        </w:rPr>
        <w:br/>
        <w:t xml:space="preserve">od dziecka. W razie wcześniejszej śmierci dziecka, dziedziczą po nim </w:t>
      </w:r>
      <w:r w:rsidRPr="00FE218F">
        <w:rPr>
          <w:iCs/>
        </w:rPr>
        <w:br/>
        <w:t xml:space="preserve">i odwrotnie, dziecko zachowuje swój stan cywilny względem rodziców pozbawionych władzy rodzicielskiej, pełne prawo do alimentacji, a w razie </w:t>
      </w:r>
      <w:r w:rsidR="00C7593D">
        <w:rPr>
          <w:iCs/>
        </w:rPr>
        <w:br/>
      </w:r>
      <w:r w:rsidRPr="00FE218F">
        <w:rPr>
          <w:iCs/>
        </w:rPr>
        <w:t>śmierci dziedziczy po nich. Obie strony zachowują też prawo do osobistej styczności. Ograniczenia w tym zakresie mogą wynikać tylko z mocy orzeczenia sądu</w:t>
      </w:r>
      <w:r>
        <w:rPr>
          <w:iCs/>
          <w:vertAlign w:val="superscript"/>
        </w:rPr>
        <w:footnoteReference w:id="5"/>
      </w:r>
      <w:r w:rsidRPr="00FE218F">
        <w:rPr>
          <w:iCs/>
        </w:rPr>
        <w:t xml:space="preserve">. </w:t>
      </w:r>
    </w:p>
    <w:p w:rsidR="00FE218F" w:rsidRDefault="00D02494" w:rsidP="00FE218F">
      <w:pPr>
        <w:pStyle w:val="menfont"/>
        <w:jc w:val="both"/>
      </w:pPr>
    </w:p>
    <w:p w:rsidR="00C821E8" w:rsidRPr="00AF2110" w:rsidRDefault="009D59CC" w:rsidP="00FE218F">
      <w:pPr>
        <w:pStyle w:val="menfont"/>
        <w:jc w:val="both"/>
      </w:pPr>
      <w:r>
        <w:t>Jak wynika z powyższego, k</w:t>
      </w:r>
      <w:r w:rsidRPr="00AF2110">
        <w:t>westie ograniczenia lub pozbawienia władzy rodzicielskiej</w:t>
      </w:r>
      <w:r>
        <w:t xml:space="preserve"> s</w:t>
      </w:r>
      <w:r w:rsidRPr="00AF2110">
        <w:t xml:space="preserve">ą </w:t>
      </w:r>
      <w:r>
        <w:t>kompleksowo u</w:t>
      </w:r>
      <w:r w:rsidRPr="00AF2110">
        <w:t>r</w:t>
      </w:r>
      <w:r>
        <w:t>egulowan</w:t>
      </w:r>
      <w:r w:rsidRPr="00AF2110">
        <w:t>e w przepisach dotyczących sprawowani</w:t>
      </w:r>
      <w:r>
        <w:t>a</w:t>
      </w:r>
      <w:r w:rsidRPr="00AF2110">
        <w:t xml:space="preserve"> opieki nad dzieckiem, </w:t>
      </w:r>
      <w:r>
        <w:t>odpowiedzialności</w:t>
      </w:r>
      <w:r w:rsidRPr="00AF2110">
        <w:t xml:space="preserve"> za jego rozwój, </w:t>
      </w:r>
      <w:r w:rsidRPr="00AF2110">
        <w:lastRenderedPageBreak/>
        <w:t>dysponowania jego maj</w:t>
      </w:r>
      <w:r>
        <w:t>ą</w:t>
      </w:r>
      <w:r w:rsidRPr="00AF2110">
        <w:t xml:space="preserve">tkiem i podejmowania decyzji w istotnych sprawach dziecka. Zgodnie z art. 97 § 2 Kodeksu </w:t>
      </w:r>
      <w:r>
        <w:t xml:space="preserve">rodzinnego i </w:t>
      </w:r>
      <w:r w:rsidRPr="00AF2110">
        <w:t>opiekuńczego o istotnych sprawach dziecka rodzice rozstrzygają wspólnie. Do istotnych spraw dziecka niewątpliwie należy</w:t>
      </w:r>
      <w:r>
        <w:t xml:space="preserve"> </w:t>
      </w:r>
      <w:r w:rsidRPr="00AF2110">
        <w:t>w szczególności decydowanie o miejscu jego pobytu, wyborze szkoły, kierunku kształcenia, wyborze religii, w jakiej dziecko będzie wychowywane. W braku porozumienia między rodzicami</w:t>
      </w:r>
      <w:r>
        <w:t>,</w:t>
      </w:r>
      <w:r w:rsidRPr="00AF2110">
        <w:t xml:space="preserve"> co do istotnych spraw dziecka, wyłącznie właściwym do rozstrzygania w tego rodzaju kwestiach spornych</w:t>
      </w:r>
      <w:r>
        <w:t>, zgodnie z</w:t>
      </w:r>
      <w:r w:rsidRPr="00AF2110">
        <w:t xml:space="preserve"> </w:t>
      </w:r>
      <w:r>
        <w:t xml:space="preserve">art. </w:t>
      </w:r>
      <w:r w:rsidRPr="00AF2110">
        <w:t>97 § 2 Kodeksu rodzinnego i opiekuńczego</w:t>
      </w:r>
      <w:r>
        <w:t>,</w:t>
      </w:r>
      <w:r w:rsidRPr="00AF2110">
        <w:t xml:space="preserve"> jest sąd. Również w razie nierespektowania przez jednego z rodziców uprawnień </w:t>
      </w:r>
      <w:r w:rsidR="00C7593D">
        <w:br/>
      </w:r>
      <w:r w:rsidRPr="00AF2110">
        <w:t>drugiego rodzica, także tych wynikających z orzeczeń sądowych, może on dochodzić wymuszenia ich przestrzegania przede wszystkim przed sądem opiekuńczym.</w:t>
      </w:r>
    </w:p>
    <w:p w:rsidR="003336E5" w:rsidRPr="00AF2110" w:rsidRDefault="00D02494" w:rsidP="00FE218F">
      <w:pPr>
        <w:pStyle w:val="menfont"/>
        <w:jc w:val="both"/>
      </w:pPr>
    </w:p>
    <w:p w:rsidR="00DB63BC" w:rsidRDefault="009D59CC" w:rsidP="00FE218F">
      <w:pPr>
        <w:pStyle w:val="menfont"/>
        <w:jc w:val="both"/>
        <w:rPr>
          <w:iCs/>
        </w:rPr>
      </w:pPr>
      <w:r>
        <w:rPr>
          <w:iCs/>
        </w:rPr>
        <w:t xml:space="preserve">Przepisy prawa oświatowego określają m.in. zakres obowiązków rodziców wobec dziecka objętego wychowaniem przedszkolnym, obowiązkiem szkolnym </w:t>
      </w:r>
      <w:r w:rsidR="00C7593D">
        <w:rPr>
          <w:iCs/>
        </w:rPr>
        <w:br/>
      </w:r>
      <w:r>
        <w:rPr>
          <w:iCs/>
        </w:rPr>
        <w:t xml:space="preserve">lub obowiązkiem nauki oraz sprawy dotyczące współpracy rodziców ze szkołą. </w:t>
      </w:r>
    </w:p>
    <w:p w:rsidR="00DB63BC" w:rsidRDefault="00D02494" w:rsidP="00FE218F">
      <w:pPr>
        <w:pStyle w:val="menfont"/>
        <w:jc w:val="both"/>
        <w:rPr>
          <w:iCs/>
        </w:rPr>
      </w:pPr>
    </w:p>
    <w:p w:rsidR="00FE218F" w:rsidRDefault="009D59CC" w:rsidP="00FE218F">
      <w:pPr>
        <w:pStyle w:val="menfont"/>
        <w:jc w:val="both"/>
      </w:pPr>
      <w:r w:rsidRPr="00AF2110">
        <w:t xml:space="preserve">Tym samym, </w:t>
      </w:r>
      <w:r>
        <w:t xml:space="preserve">nie budzi wątpliwości, że wskazane przez Pana </w:t>
      </w:r>
      <w:r w:rsidRPr="00AF2110">
        <w:t>przepis</w:t>
      </w:r>
      <w:r>
        <w:t>y</w:t>
      </w:r>
      <w:r w:rsidRPr="00AF2110">
        <w:t xml:space="preserve"> art. 4 pkt</w:t>
      </w:r>
      <w:r>
        <w:t> </w:t>
      </w:r>
      <w:r w:rsidRPr="00AF2110">
        <w:t xml:space="preserve">19 ustawy </w:t>
      </w:r>
      <w:r>
        <w:t xml:space="preserve">z dnia 14 grudnia 2016 r. </w:t>
      </w:r>
      <w:r w:rsidRPr="00AF2110">
        <w:t>– Prawo oświatowe</w:t>
      </w:r>
      <w:r w:rsidRPr="00DB63BC">
        <w:t xml:space="preserve"> </w:t>
      </w:r>
      <w:r>
        <w:t>(</w:t>
      </w:r>
      <w:r w:rsidRPr="00DB63BC">
        <w:t>Dz.</w:t>
      </w:r>
      <w:r>
        <w:t xml:space="preserve"> </w:t>
      </w:r>
      <w:r w:rsidRPr="00DB63BC">
        <w:t>U.</w:t>
      </w:r>
      <w:r>
        <w:t xml:space="preserve"> z 2018 </w:t>
      </w:r>
      <w:r w:rsidRPr="00DB63BC">
        <w:t>r. poz. 996, z późn. zm.)</w:t>
      </w:r>
      <w:r>
        <w:t xml:space="preserve"> i art. 3 pkt 10 ustawy z dnia 7 września 1991 r. </w:t>
      </w:r>
      <w:r w:rsidR="00C7593D">
        <w:br/>
      </w:r>
      <w:r>
        <w:t>o systemie oświaty (Dz. U. z 2018 r. poz. 1457, z późn. zm.),</w:t>
      </w:r>
      <w:r w:rsidRPr="00AF2110">
        <w:t xml:space="preserve"> </w:t>
      </w:r>
      <w:r>
        <w:t>dotyczą</w:t>
      </w:r>
      <w:r w:rsidRPr="00AF2110">
        <w:t xml:space="preserve"> </w:t>
      </w:r>
      <w:r>
        <w:t>r</w:t>
      </w:r>
      <w:r w:rsidRPr="00AF2110">
        <w:t>odzic</w:t>
      </w:r>
      <w:r>
        <w:t>ów</w:t>
      </w:r>
      <w:r w:rsidRPr="00AF2110">
        <w:t xml:space="preserve"> posiadających </w:t>
      </w:r>
      <w:r>
        <w:t>władzę rodzicielską</w:t>
      </w:r>
      <w:r w:rsidRPr="00AF2110">
        <w:t xml:space="preserve">, tylko </w:t>
      </w:r>
      <w:r w:rsidRPr="00474DC2">
        <w:t xml:space="preserve">bowiem </w:t>
      </w:r>
      <w:r>
        <w:t>dysponując pełnią władzy</w:t>
      </w:r>
      <w:r w:rsidRPr="00AF2110">
        <w:t xml:space="preserve"> rodz</w:t>
      </w:r>
      <w:r>
        <w:t>icielskiej</w:t>
      </w:r>
      <w:r w:rsidRPr="00AF2110">
        <w:t xml:space="preserve"> mogą </w:t>
      </w:r>
      <w:r>
        <w:t xml:space="preserve">oni </w:t>
      </w:r>
      <w:r w:rsidRPr="00AF2110">
        <w:t>podejmować decyzje dotyczące edukacji dziecka</w:t>
      </w:r>
      <w:r>
        <w:t xml:space="preserve"> w </w:t>
      </w:r>
      <w:r w:rsidRPr="00B577CF">
        <w:t>zakresie regulowanym przepisami prawa oświatowego</w:t>
      </w:r>
      <w:r w:rsidRPr="00AF2110">
        <w:t xml:space="preserve">. Rodzic z ograniczoną władzą rodzicielską może podejmować decyzje dotyczące swojego dziecka </w:t>
      </w:r>
      <w:r w:rsidR="00C7593D">
        <w:br/>
      </w:r>
      <w:bookmarkStart w:id="3" w:name="_GoBack"/>
      <w:bookmarkEnd w:id="3"/>
      <w:r w:rsidRPr="00AF2110">
        <w:t xml:space="preserve">tylko w zakresie wskazanym przez sąd. </w:t>
      </w:r>
    </w:p>
    <w:p w:rsidR="00FE218F" w:rsidRPr="00AF2110" w:rsidRDefault="00D02494" w:rsidP="00FE218F">
      <w:pPr>
        <w:pStyle w:val="menfont"/>
        <w:jc w:val="both"/>
        <w:rPr>
          <w:iCs/>
        </w:rPr>
      </w:pPr>
    </w:p>
    <w:p w:rsidR="00C821E8" w:rsidRPr="00AF2110" w:rsidRDefault="009D59CC" w:rsidP="00FE218F">
      <w:pPr>
        <w:pStyle w:val="menfont"/>
        <w:jc w:val="both"/>
      </w:pPr>
      <w:r w:rsidRPr="00AF2110">
        <w:t>Stąd też, w</w:t>
      </w:r>
      <w:r>
        <w:t xml:space="preserve"> opinii Ministerstwa Edukacji Narodowej, </w:t>
      </w:r>
      <w:r w:rsidRPr="00AF2110">
        <w:t>nie zachodzi konieczność nowelizacji przepisów</w:t>
      </w:r>
      <w:r>
        <w:t xml:space="preserve"> we </w:t>
      </w:r>
      <w:r w:rsidRPr="00AF2110">
        <w:t>wskazanym przez Pana</w:t>
      </w:r>
      <w:r w:rsidRPr="00226BDA">
        <w:t xml:space="preserve"> zakresie</w:t>
      </w:r>
      <w:r w:rsidRPr="00AF2110">
        <w:t xml:space="preserve">. </w:t>
      </w:r>
    </w:p>
    <w:p w:rsidR="009B2984" w:rsidRPr="00AF2110" w:rsidRDefault="00D02494" w:rsidP="00FE218F">
      <w:pPr>
        <w:pStyle w:val="menfont"/>
        <w:jc w:val="both"/>
      </w:pPr>
    </w:p>
    <w:p w:rsidR="009B2984" w:rsidRPr="00AF2110" w:rsidRDefault="00D02494" w:rsidP="00FE218F">
      <w:pPr>
        <w:pStyle w:val="menfont"/>
        <w:jc w:val="both"/>
      </w:pPr>
    </w:p>
    <w:p w:rsidR="00104A65" w:rsidRPr="00FE218F" w:rsidRDefault="009D59CC" w:rsidP="00FE218F">
      <w:pPr>
        <w:pStyle w:val="menfont"/>
        <w:jc w:val="both"/>
        <w:rPr>
          <w:i/>
        </w:rPr>
      </w:pPr>
      <w:r w:rsidRPr="00FE218F">
        <w:rPr>
          <w:i/>
        </w:rPr>
        <w:t xml:space="preserve">Z poważaniem </w:t>
      </w:r>
    </w:p>
    <w:p w:rsidR="00104A65" w:rsidRPr="00AF2110" w:rsidRDefault="00D02494" w:rsidP="00FE218F">
      <w:pPr>
        <w:pStyle w:val="menfont"/>
        <w:jc w:val="both"/>
      </w:pPr>
    </w:p>
    <w:p w:rsidR="00104A65" w:rsidRPr="00AF2110" w:rsidRDefault="00D02494" w:rsidP="00FE218F">
      <w:pPr>
        <w:pStyle w:val="menfont"/>
        <w:jc w:val="both"/>
      </w:pPr>
    </w:p>
    <w:p w:rsidR="00A54704" w:rsidRPr="00AF2110" w:rsidRDefault="009D59CC" w:rsidP="00FE218F">
      <w:pPr>
        <w:pStyle w:val="menfont"/>
        <w:jc w:val="both"/>
      </w:pPr>
      <w:r w:rsidRPr="00AF2110">
        <w:rPr>
          <w:rFonts w:ascii="Times New Roman" w:hAnsi="Times New Roman" w:cs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609850" cy="914400"/>
                <wp:effectExtent l="0" t="0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A2B7D" w:rsidRDefault="009D59CC" w:rsidP="006A2B7D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4" w:name="ezdPracownikNazwa"/>
                            <w:r w:rsidRPr="00D9567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Katarzyna Koszewska</w:t>
                            </w:r>
                            <w:bookmarkEnd w:id="4"/>
                          </w:p>
                          <w:p w:rsidR="006A2B7D" w:rsidRDefault="009D59CC" w:rsidP="006A2B7D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5" w:name="ezdPracownikStanowisko"/>
                            <w:r w:rsidRPr="00D9567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Dyrektor</w:t>
                            </w:r>
                            <w:bookmarkEnd w:id="5"/>
                          </w:p>
                          <w:p w:rsidR="006A2B7D" w:rsidRPr="006C626F" w:rsidRDefault="009D59CC" w:rsidP="006A2B7D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6" w:name="ezdPracownikWydzialNazwa"/>
                            <w:r w:rsidRPr="00D9567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Departament Kształcenia Ogólnego</w:t>
                            </w:r>
                            <w:bookmarkEnd w:id="6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br/>
                            </w:r>
                            <w:r w:rsidRPr="00D9567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0;margin-top:0;width:205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" filled="f" stroked="f">
                <v:textbox>
                  <w:txbxContent>
                    <w:p w:rsidR="006A2B7D" w:rsidRDefault="009D59CC" w:rsidP="006A2B7D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13" w:name="ezdPracownikNazwa"/>
                      <w:r w:rsidRPr="00D9567A">
                        <w:rPr>
                          <w:rFonts w:ascii="Times New Roman" w:hAnsi="Times New Roman" w:cs="Times New Roman"/>
                          <w:sz w:val="22"/>
                        </w:rPr>
                        <w:t>Katarzyna Koszewska</w:t>
                      </w:r>
                      <w:bookmarkEnd w:id="13"/>
                    </w:p>
                    <w:p w:rsidR="006A2B7D" w:rsidRDefault="009D59CC" w:rsidP="006A2B7D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14" w:name="ezdPracownikStanowisko"/>
                      <w:r w:rsidRPr="00D9567A">
                        <w:rPr>
                          <w:rFonts w:ascii="Times New Roman" w:hAnsi="Times New Roman" w:cs="Times New Roman"/>
                          <w:sz w:val="22"/>
                        </w:rPr>
                        <w:t>Dyrektor</w:t>
                      </w:r>
                      <w:bookmarkEnd w:id="14"/>
                    </w:p>
                    <w:p w:rsidR="006A2B7D" w:rsidRPr="006C626F" w:rsidRDefault="009D59CC" w:rsidP="006A2B7D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15" w:name="ezdPracownikWydzialNazwa"/>
                      <w:r w:rsidRPr="00D9567A">
                        <w:rPr>
                          <w:rFonts w:ascii="Times New Roman" w:hAnsi="Times New Roman" w:cs="Times New Roman"/>
                          <w:sz w:val="22"/>
                        </w:rPr>
                        <w:t xml:space="preserve">Departament Kształcenia </w:t>
                      </w:r>
                      <w:r w:rsidRPr="00D9567A">
                        <w:rPr>
                          <w:rFonts w:ascii="Times New Roman" w:hAnsi="Times New Roman" w:cs="Times New Roman"/>
                          <w:sz w:val="22"/>
                        </w:rPr>
                        <w:t>Ogólnego</w:t>
                      </w:r>
                      <w:bookmarkEnd w:id="15"/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br/>
                      </w:r>
                      <w:r w:rsidRPr="00D9567A">
                        <w:rPr>
                          <w:rFonts w:ascii="Times New Roman" w:hAnsi="Times New Roman" w:cs="Times New Roman"/>
                          <w:sz w:val="22"/>
                        </w:rPr>
                        <w:t>/ – podpisany cyfrowo/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54704" w:rsidRPr="00AF2110" w:rsidSect="004D23D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170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494" w:rsidRDefault="00D02494">
      <w:r>
        <w:separator/>
      </w:r>
    </w:p>
  </w:endnote>
  <w:endnote w:type="continuationSeparator" w:id="0">
    <w:p w:rsidR="00D02494" w:rsidRDefault="00D0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704" w:rsidRDefault="009D59CC" w:rsidP="00A54704">
    <w:pPr>
      <w:pStyle w:val="Nagwek"/>
      <w:jc w:val="cen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MINISTERSTWO EDUKACJI NARODOWEJ</w:t>
    </w:r>
  </w:p>
  <w:p w:rsidR="00A54704" w:rsidRDefault="009D59CC" w:rsidP="00A54704">
    <w:pPr>
      <w:pStyle w:val="Nagwek"/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DEPARTAMENT KSZTAŁCENIA OGÓLNEGO</w:t>
    </w:r>
  </w:p>
  <w:p w:rsidR="00104A65" w:rsidRPr="00313377" w:rsidRDefault="009D59CC" w:rsidP="00A54704">
    <w:pPr>
      <w:pStyle w:val="Stopka"/>
      <w:jc w:val="center"/>
    </w:pPr>
    <w:r>
      <w:rPr>
        <w:rFonts w:ascii="Cambria" w:hAnsi="Cambria"/>
        <w:sz w:val="16"/>
        <w:szCs w:val="16"/>
      </w:rPr>
      <w:t xml:space="preserve">Al. Szucha 25, 00-918 Warszawa, tel. </w:t>
    </w:r>
    <w:r w:rsidRPr="00313377">
      <w:rPr>
        <w:rFonts w:ascii="Cambria" w:hAnsi="Cambria"/>
        <w:sz w:val="16"/>
        <w:szCs w:val="16"/>
      </w:rPr>
      <w:t>+48 22 34 74 141, fax +48 22 628 81 36, e-mail: Sekretariat.DKO@men.gov.pl, www.men.gov.pl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704" w:rsidRDefault="009D59CC" w:rsidP="00A54704">
    <w:pPr>
      <w:pStyle w:val="Nagwek"/>
      <w:jc w:val="cen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MINISTERSTWO EDUKACJI NARODOWEJ</w:t>
    </w:r>
  </w:p>
  <w:p w:rsidR="00A54704" w:rsidRDefault="009D59CC" w:rsidP="00A54704">
    <w:pPr>
      <w:pStyle w:val="Nagwek"/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DEPARTAMENT KSZTAŁCENIA OGÓLNEGO</w:t>
    </w:r>
  </w:p>
  <w:p w:rsidR="00104A65" w:rsidRPr="00313377" w:rsidRDefault="009D59CC" w:rsidP="00A54704">
    <w:pPr>
      <w:pStyle w:val="Stopka"/>
      <w:jc w:val="center"/>
    </w:pPr>
    <w:r>
      <w:rPr>
        <w:rFonts w:ascii="Cambria" w:hAnsi="Cambria"/>
        <w:sz w:val="16"/>
        <w:szCs w:val="16"/>
      </w:rPr>
      <w:t xml:space="preserve">Al. Szucha 25, 00-918 Warszawa, tel. </w:t>
    </w:r>
    <w:r w:rsidRPr="00313377">
      <w:rPr>
        <w:rFonts w:ascii="Cambria" w:hAnsi="Cambria"/>
        <w:sz w:val="16"/>
        <w:szCs w:val="16"/>
      </w:rPr>
      <w:t>+48 22 34 74 141, fax +48 22 628 81 36, e-mail: Sekretariat.DKO@men.gov.pl, www.men.gov.pl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494" w:rsidRDefault="00D02494">
      <w:r>
        <w:separator/>
      </w:r>
    </w:p>
  </w:footnote>
  <w:footnote w:type="continuationSeparator" w:id="0">
    <w:p w:rsidR="00D02494" w:rsidRDefault="00D02494">
      <w:r>
        <w:continuationSeparator/>
      </w:r>
    </w:p>
  </w:footnote>
  <w:footnote w:id="1">
    <w:p w:rsidR="003765D9" w:rsidRPr="00474DC2" w:rsidRDefault="009D59CC" w:rsidP="003765D9">
      <w:pPr>
        <w:pStyle w:val="Tekstprzypisudolnego"/>
        <w:rPr>
          <w:sz w:val="18"/>
          <w:szCs w:val="18"/>
        </w:rPr>
      </w:pPr>
      <w:r w:rsidRPr="00474DC2">
        <w:rPr>
          <w:rStyle w:val="Odwoanieprzypisudolnego"/>
          <w:sz w:val="18"/>
          <w:szCs w:val="18"/>
        </w:rPr>
        <w:footnoteRef/>
      </w:r>
      <w:r w:rsidRPr="00474DC2">
        <w:rPr>
          <w:sz w:val="18"/>
          <w:szCs w:val="18"/>
        </w:rPr>
        <w:t xml:space="preserve"> Ustawa z dnia 25 lutego 1964 r. – Kodeks rodzinny i opiekuńczy (Dz. U. z 2017 r. poz. 682 oraz z 2018 r. poz. 950). </w:t>
      </w:r>
    </w:p>
  </w:footnote>
  <w:footnote w:id="2">
    <w:p w:rsidR="00C821E8" w:rsidRPr="00474DC2" w:rsidRDefault="009D59CC" w:rsidP="00C821E8">
      <w:pPr>
        <w:pStyle w:val="Tekstprzypisudolnego"/>
        <w:rPr>
          <w:sz w:val="18"/>
          <w:szCs w:val="18"/>
        </w:rPr>
      </w:pPr>
      <w:r w:rsidRPr="00474DC2">
        <w:rPr>
          <w:rStyle w:val="Odwoanieprzypisudolnego"/>
          <w:sz w:val="18"/>
          <w:szCs w:val="18"/>
        </w:rPr>
        <w:footnoteRef/>
      </w:r>
      <w:r w:rsidRPr="00474DC2">
        <w:rPr>
          <w:sz w:val="18"/>
          <w:szCs w:val="18"/>
        </w:rPr>
        <w:t xml:space="preserve"> Art. 95 § 1 Kodeksu rodzinnego i opiekuńczego</w:t>
      </w:r>
    </w:p>
  </w:footnote>
  <w:footnote w:id="3">
    <w:p w:rsidR="00C821E8" w:rsidRPr="00DB63BC" w:rsidRDefault="009D59CC">
      <w:pPr>
        <w:pStyle w:val="Tekstprzypisudolnego"/>
      </w:pPr>
      <w:r w:rsidRPr="00474DC2">
        <w:rPr>
          <w:rStyle w:val="Odwoanieprzypisudolnego"/>
          <w:sz w:val="18"/>
          <w:szCs w:val="18"/>
        </w:rPr>
        <w:footnoteRef/>
      </w:r>
      <w:r w:rsidRPr="00474DC2">
        <w:rPr>
          <w:sz w:val="18"/>
          <w:szCs w:val="18"/>
        </w:rPr>
        <w:t xml:space="preserve"> Art. 111</w:t>
      </w:r>
      <w:r>
        <w:rPr>
          <w:sz w:val="18"/>
          <w:szCs w:val="18"/>
        </w:rPr>
        <w:t xml:space="preserve"> </w:t>
      </w:r>
      <w:r w:rsidRPr="00474DC2">
        <w:rPr>
          <w:sz w:val="18"/>
          <w:szCs w:val="18"/>
        </w:rPr>
        <w:t>Kodeksu rodzinnego i opiekuńczego</w:t>
      </w:r>
    </w:p>
  </w:footnote>
  <w:footnote w:id="4">
    <w:p w:rsidR="00FE218F" w:rsidRPr="00AF2110" w:rsidRDefault="009D59CC" w:rsidP="00FE218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F2110">
        <w:rPr>
          <w:iCs/>
        </w:rPr>
        <w:t>K. Gromek</w:t>
      </w:r>
      <w:r w:rsidRPr="00AF2110">
        <w:t>, Kodeks rodzinny i opiekuńczy. Komentarz. Wyd. 6, Warszawa 2018</w:t>
      </w:r>
      <w:r>
        <w:t xml:space="preserve">. </w:t>
      </w:r>
    </w:p>
  </w:footnote>
  <w:footnote w:id="5">
    <w:p w:rsidR="00FE218F" w:rsidRPr="00FE218F" w:rsidRDefault="009D59CC" w:rsidP="00FE218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E218F">
        <w:rPr>
          <w:iCs/>
        </w:rPr>
        <w:t>K. Gromek</w:t>
      </w:r>
      <w:r w:rsidRPr="00FE218F">
        <w:t>, Kodeks rodzinny i opiekuńczy. Komentarz. Wyd. 6, Warszawa 2018</w:t>
      </w: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A65" w:rsidRDefault="009D59CC">
    <w:pPr>
      <w:pStyle w:val="Nagwek"/>
    </w:pPr>
    <w:r>
      <w:rPr>
        <w:noProof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42265" cy="5383530"/>
          <wp:effectExtent l="0" t="0" r="635" b="7620"/>
          <wp:wrapNone/>
          <wp:docPr id="1" name="Obraz 1" descr="znaczniki-giecia-A4-pion-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czniki-giecia-A4-pion-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538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3DD" w:rsidRDefault="009D59CC" w:rsidP="004D23DD">
    <w:pPr>
      <w:pStyle w:val="Nagwek"/>
      <w:tabs>
        <w:tab w:val="clear" w:pos="4536"/>
        <w:tab w:val="clear" w:pos="9072"/>
        <w:tab w:val="center" w:pos="4252"/>
      </w:tabs>
      <w:jc w:val="center"/>
      <w:rPr>
        <w:rFonts w:ascii="Cambria" w:hAnsi="Cambria"/>
        <w:color w:val="7F7F7F"/>
        <w:sz w:val="26"/>
        <w:szCs w:val="26"/>
      </w:rPr>
    </w:pPr>
    <w:r w:rsidRPr="004D23DD">
      <w:rPr>
        <w:rFonts w:ascii="Cambria" w:hAnsi="Cambria"/>
        <w:color w:val="7F7F7F"/>
        <w:sz w:val="26"/>
        <w:szCs w:val="26"/>
      </w:rPr>
      <w:t>DEPARTAMENT KSZTAŁCENIA OGÓLNEGO</w:t>
    </w:r>
  </w:p>
  <w:p w:rsidR="004D23DD" w:rsidRDefault="00D02494" w:rsidP="004D23DD">
    <w:pPr>
      <w:pStyle w:val="Nagwek"/>
      <w:tabs>
        <w:tab w:val="clear" w:pos="4536"/>
        <w:tab w:val="clear" w:pos="9072"/>
        <w:tab w:val="center" w:pos="4252"/>
      </w:tabs>
      <w:jc w:val="center"/>
    </w:pPr>
  </w:p>
  <w:p w:rsidR="00104A65" w:rsidRDefault="009D59CC">
    <w:pPr>
      <w:pStyle w:val="Nagwek"/>
    </w:pPr>
    <w:r>
      <w:rPr>
        <w:noProof/>
      </w:rPr>
      <w:drawing>
        <wp:anchor distT="0" distB="0" distL="114300" distR="114300" simplePos="0" relativeHeight="251659264" behindDoc="1" locked="1" layoutInCell="0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42265" cy="5383530"/>
          <wp:effectExtent l="0" t="0" r="635" b="7620"/>
          <wp:wrapNone/>
          <wp:docPr id="3" name="Obraz 3" descr="znaczniki-giecia-A4-pion-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czniki-giecia-A4-pion-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538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18034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614680</wp:posOffset>
          </wp:positionV>
          <wp:extent cx="5381625" cy="375920"/>
          <wp:effectExtent l="0" t="0" r="0" b="5080"/>
          <wp:wrapTopAndBottom/>
          <wp:docPr id="4" name="Obraz 4" descr="DYREKTOR GENERALNY-Robert Bartold-logotype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4761"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375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CB4EE3"/>
    <w:multiLevelType w:val="hybridMultilevel"/>
    <w:tmpl w:val="294CB128"/>
    <w:lvl w:ilvl="0" w:tplc="8DB6F0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476C562" w:tentative="1">
      <w:start w:val="1"/>
      <w:numFmt w:val="lowerLetter"/>
      <w:lvlText w:val="%2."/>
      <w:lvlJc w:val="left"/>
      <w:pPr>
        <w:ind w:left="1440" w:hanging="360"/>
      </w:pPr>
    </w:lvl>
    <w:lvl w:ilvl="2" w:tplc="BBEE432A" w:tentative="1">
      <w:start w:val="1"/>
      <w:numFmt w:val="lowerRoman"/>
      <w:lvlText w:val="%3."/>
      <w:lvlJc w:val="right"/>
      <w:pPr>
        <w:ind w:left="2160" w:hanging="180"/>
      </w:pPr>
    </w:lvl>
    <w:lvl w:ilvl="3" w:tplc="19041304" w:tentative="1">
      <w:start w:val="1"/>
      <w:numFmt w:val="decimal"/>
      <w:lvlText w:val="%4."/>
      <w:lvlJc w:val="left"/>
      <w:pPr>
        <w:ind w:left="2880" w:hanging="360"/>
      </w:pPr>
    </w:lvl>
    <w:lvl w:ilvl="4" w:tplc="F82C50EA" w:tentative="1">
      <w:start w:val="1"/>
      <w:numFmt w:val="lowerLetter"/>
      <w:lvlText w:val="%5."/>
      <w:lvlJc w:val="left"/>
      <w:pPr>
        <w:ind w:left="3600" w:hanging="360"/>
      </w:pPr>
    </w:lvl>
    <w:lvl w:ilvl="5" w:tplc="9FFC19C4" w:tentative="1">
      <w:start w:val="1"/>
      <w:numFmt w:val="lowerRoman"/>
      <w:lvlText w:val="%6."/>
      <w:lvlJc w:val="right"/>
      <w:pPr>
        <w:ind w:left="4320" w:hanging="180"/>
      </w:pPr>
    </w:lvl>
    <w:lvl w:ilvl="6" w:tplc="CB948A84" w:tentative="1">
      <w:start w:val="1"/>
      <w:numFmt w:val="decimal"/>
      <w:lvlText w:val="%7."/>
      <w:lvlJc w:val="left"/>
      <w:pPr>
        <w:ind w:left="5040" w:hanging="360"/>
      </w:pPr>
    </w:lvl>
    <w:lvl w:ilvl="7" w:tplc="6E169AD0" w:tentative="1">
      <w:start w:val="1"/>
      <w:numFmt w:val="lowerLetter"/>
      <w:lvlText w:val="%8."/>
      <w:lvlJc w:val="left"/>
      <w:pPr>
        <w:ind w:left="5760" w:hanging="360"/>
      </w:pPr>
    </w:lvl>
    <w:lvl w:ilvl="8" w:tplc="A752A07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B0"/>
    <w:rsid w:val="007422B0"/>
    <w:rsid w:val="009D59CC"/>
    <w:rsid w:val="00C7593D"/>
    <w:rsid w:val="00D0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menfont">
    <w:name w:val="men font"/>
    <w:basedOn w:val="Normalny"/>
  </w:style>
  <w:style w:type="character" w:customStyle="1" w:styleId="NagwekZnak">
    <w:name w:val="Nagłówek Znak"/>
    <w:link w:val="Nagwek"/>
    <w:rsid w:val="004D23DD"/>
    <w:rPr>
      <w:rFonts w:ascii="Arial" w:hAnsi="Arial" w:cs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54704"/>
    <w:rPr>
      <w:rFonts w:ascii="Arial" w:hAnsi="Arial" w:cs="Arial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C821E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1E8"/>
    <w:rPr>
      <w:rFonts w:ascii="Arial" w:hAnsi="Arial" w:cs="Arial"/>
    </w:rPr>
  </w:style>
  <w:style w:type="character" w:styleId="Odwoanieprzypisudolnego">
    <w:name w:val="footnote reference"/>
    <w:basedOn w:val="Domylnaczcionkaakapitu"/>
    <w:semiHidden/>
    <w:unhideWhenUsed/>
    <w:rsid w:val="00C821E8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3336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336E5"/>
    <w:rPr>
      <w:rFonts w:ascii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3336E5"/>
    <w:rPr>
      <w:vertAlign w:val="superscript"/>
    </w:rPr>
  </w:style>
  <w:style w:type="character" w:styleId="Hipercze">
    <w:name w:val="Hyperlink"/>
    <w:basedOn w:val="Domylnaczcionkaakapitu"/>
    <w:unhideWhenUsed/>
    <w:rsid w:val="00AF211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DB63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DB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13E02-67E6-47AB-8228-EE4AB9E61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2019-01-28T10:36:00Z</dcterms:created>
  <dcterms:modified xsi:type="dcterms:W3CDTF">2019-01-30T11:17:00Z</dcterms:modified>
</cp:coreProperties>
</file>