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07BD7" w14:textId="68B30885"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261BD327" w14:textId="77777777" w:rsidR="008E3E87" w:rsidRDefault="0023165C" w:rsidP="0023165C">
      <w:pPr>
        <w:spacing w:after="0" w:line="360" w:lineRule="auto"/>
        <w:rPr>
          <w:rFonts w:ascii="Arial" w:hAnsi="Arial" w:cs="Arial"/>
          <w:bCs/>
        </w:rPr>
      </w:pPr>
      <w:r>
        <w:rPr>
          <w:rFonts w:ascii="Arial" w:hAnsi="Arial" w:cs="Arial"/>
          <w:bCs/>
        </w:rPr>
        <w:t xml:space="preserve">                                                            </w:t>
      </w:r>
    </w:p>
    <w:p w14:paraId="1480562A" w14:textId="77777777" w:rsidR="003A4695" w:rsidRDefault="0023165C" w:rsidP="0023165C">
      <w:pPr>
        <w:spacing w:after="0" w:line="360" w:lineRule="auto"/>
        <w:rPr>
          <w:rFonts w:ascii="Arial" w:hAnsi="Arial" w:cs="Arial"/>
          <w:bCs/>
        </w:rPr>
      </w:pPr>
      <w:r>
        <w:rPr>
          <w:rFonts w:ascii="Arial" w:hAnsi="Arial" w:cs="Arial"/>
          <w:bCs/>
        </w:rPr>
        <w:t xml:space="preserve">              </w:t>
      </w:r>
      <w:r w:rsidR="00256FEE">
        <w:rPr>
          <w:rFonts w:ascii="Arial" w:hAnsi="Arial" w:cs="Arial"/>
          <w:bCs/>
        </w:rPr>
        <w:t xml:space="preserve">                               </w:t>
      </w:r>
    </w:p>
    <w:p w14:paraId="1A763851" w14:textId="6A472327"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51B91">
        <w:rPr>
          <w:rFonts w:ascii="Arial" w:hAnsi="Arial" w:cs="Arial"/>
          <w:bCs/>
        </w:rPr>
        <w:t xml:space="preserve"> </w:t>
      </w:r>
      <w:r w:rsidR="00CB72A3">
        <w:rPr>
          <w:rFonts w:ascii="Arial" w:hAnsi="Arial" w:cs="Arial"/>
          <w:bCs/>
        </w:rPr>
        <w:t xml:space="preserve">21 czerwca </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14:paraId="445B3199" w14:textId="77777777" w:rsidR="00851F60" w:rsidRPr="004D7A37" w:rsidRDefault="00851F60" w:rsidP="00851F60">
      <w:pPr>
        <w:spacing w:after="0" w:line="360" w:lineRule="auto"/>
        <w:rPr>
          <w:rFonts w:ascii="Arial" w:hAnsi="Arial" w:cs="Arial"/>
          <w:b/>
          <w:bCs/>
        </w:rPr>
      </w:pPr>
    </w:p>
    <w:p w14:paraId="798AA0EE" w14:textId="7777777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14:paraId="5BB9E57C" w14:textId="77777777" w:rsidTr="0099062B">
        <w:tc>
          <w:tcPr>
            <w:tcW w:w="9577" w:type="dxa"/>
            <w:shd w:val="clear" w:color="auto" w:fill="auto"/>
          </w:tcPr>
          <w:p w14:paraId="564CCF4F"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40E1D762" w14:textId="77777777" w:rsidTr="0099062B">
        <w:tc>
          <w:tcPr>
            <w:tcW w:w="9577" w:type="dxa"/>
            <w:shd w:val="clear" w:color="auto" w:fill="auto"/>
          </w:tcPr>
          <w:p w14:paraId="05A5B372" w14:textId="77777777" w:rsidR="00851F60" w:rsidRPr="004D7A37" w:rsidRDefault="00851F60" w:rsidP="0099062B">
            <w:pPr>
              <w:spacing w:after="0" w:line="360" w:lineRule="auto"/>
              <w:jc w:val="center"/>
              <w:rPr>
                <w:rFonts w:ascii="Arial" w:hAnsi="Arial" w:cs="Arial"/>
                <w:b/>
                <w:bCs/>
              </w:rPr>
            </w:pPr>
          </w:p>
        </w:tc>
      </w:tr>
      <w:tr w:rsidR="00851F60" w:rsidRPr="004D7A37" w14:paraId="203977F5" w14:textId="77777777" w:rsidTr="0099062B">
        <w:tc>
          <w:tcPr>
            <w:tcW w:w="9577" w:type="dxa"/>
            <w:shd w:val="clear" w:color="auto" w:fill="auto"/>
          </w:tcPr>
          <w:p w14:paraId="3310A292" w14:textId="08210EEE" w:rsidR="00851F60" w:rsidRPr="004D7A37" w:rsidRDefault="001C0C57" w:rsidP="004A74E7">
            <w:pPr>
              <w:spacing w:after="0" w:line="360" w:lineRule="auto"/>
              <w:jc w:val="center"/>
              <w:rPr>
                <w:rFonts w:ascii="Arial" w:hAnsi="Arial" w:cs="Arial"/>
                <w:b/>
                <w:bCs/>
                <w:i/>
                <w:u w:val="single"/>
              </w:rPr>
            </w:pPr>
            <w:r>
              <w:rPr>
                <w:rFonts w:ascii="Arial" w:hAnsi="Arial" w:cs="Arial"/>
                <w:b/>
                <w:bCs/>
                <w:i/>
                <w:u w:val="single"/>
              </w:rPr>
              <w:t xml:space="preserve">Opracowanie i realizacja ogólnopolskiej kampanii promującej działania i efekty w ramach </w:t>
            </w:r>
            <w:proofErr w:type="spellStart"/>
            <w:r>
              <w:rPr>
                <w:rFonts w:ascii="Arial" w:hAnsi="Arial" w:cs="Arial"/>
                <w:b/>
                <w:bCs/>
                <w:i/>
                <w:u w:val="single"/>
              </w:rPr>
              <w:t>POIiŚ</w:t>
            </w:r>
            <w:proofErr w:type="spellEnd"/>
            <w:r>
              <w:rPr>
                <w:rFonts w:ascii="Arial" w:hAnsi="Arial" w:cs="Arial"/>
                <w:b/>
                <w:bCs/>
                <w:i/>
                <w:u w:val="single"/>
              </w:rPr>
              <w:t xml:space="preserve"> i POWER</w:t>
            </w:r>
          </w:p>
        </w:tc>
      </w:tr>
    </w:tbl>
    <w:p w14:paraId="57BBBF54" w14:textId="77777777" w:rsidR="002C455B" w:rsidRDefault="002C455B" w:rsidP="00357156">
      <w:pPr>
        <w:spacing w:after="0" w:line="360" w:lineRule="auto"/>
        <w:jc w:val="center"/>
        <w:rPr>
          <w:rFonts w:ascii="Arial" w:hAnsi="Arial" w:cs="Arial"/>
          <w:b/>
          <w:bCs/>
          <w:u w:val="single"/>
        </w:rPr>
      </w:pPr>
    </w:p>
    <w:p w14:paraId="58A7E4BD" w14:textId="223F4DA7"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1C0C57">
        <w:rPr>
          <w:rFonts w:ascii="Arial" w:hAnsi="Arial" w:cs="Arial"/>
          <w:b/>
          <w:bCs/>
          <w:u w:val="single"/>
        </w:rPr>
        <w:t>31</w:t>
      </w:r>
      <w:r w:rsidR="00F46710" w:rsidRPr="00F46710">
        <w:rPr>
          <w:rFonts w:ascii="Arial" w:hAnsi="Arial" w:cs="Arial"/>
          <w:b/>
          <w:bCs/>
          <w:u w:val="single"/>
        </w:rPr>
        <w:t>.201</w:t>
      </w:r>
      <w:r w:rsidR="00861822">
        <w:rPr>
          <w:rFonts w:ascii="Arial" w:hAnsi="Arial" w:cs="Arial"/>
          <w:b/>
          <w:bCs/>
          <w:u w:val="single"/>
        </w:rPr>
        <w:t>8</w:t>
      </w:r>
      <w:r w:rsidR="00F46710" w:rsidRPr="00F46710">
        <w:rPr>
          <w:rFonts w:ascii="Arial" w:hAnsi="Arial" w:cs="Arial"/>
          <w:b/>
          <w:bCs/>
          <w:u w:val="single"/>
        </w:rPr>
        <w:t>.</w:t>
      </w:r>
      <w:r w:rsidR="007F6B5B">
        <w:rPr>
          <w:rFonts w:ascii="Arial" w:hAnsi="Arial" w:cs="Arial"/>
          <w:b/>
          <w:bCs/>
          <w:u w:val="single"/>
        </w:rPr>
        <w:t>SB</w:t>
      </w:r>
    </w:p>
    <w:p w14:paraId="3BFEFDBA" w14:textId="77777777" w:rsidR="00851F60" w:rsidRDefault="00851F60" w:rsidP="00851F60">
      <w:pPr>
        <w:spacing w:after="0" w:line="360" w:lineRule="auto"/>
        <w:rPr>
          <w:rFonts w:ascii="Arial" w:hAnsi="Arial" w:cs="Arial"/>
          <w:b/>
          <w:bCs/>
        </w:rPr>
      </w:pPr>
    </w:p>
    <w:p w14:paraId="4058A4F5" w14:textId="77777777" w:rsidR="00C51F0F" w:rsidRPr="004D7A37" w:rsidRDefault="00C51F0F"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0F78168C" w14:textId="77777777" w:rsidTr="0099062B">
        <w:tc>
          <w:tcPr>
            <w:tcW w:w="9577" w:type="dxa"/>
            <w:gridSpan w:val="2"/>
            <w:shd w:val="clear" w:color="auto" w:fill="auto"/>
          </w:tcPr>
          <w:p w14:paraId="2A04A699"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5DBEB9C0" w14:textId="77777777" w:rsidTr="0099062B">
        <w:trPr>
          <w:trHeight w:val="193"/>
        </w:trPr>
        <w:tc>
          <w:tcPr>
            <w:tcW w:w="5778" w:type="dxa"/>
            <w:shd w:val="clear" w:color="auto" w:fill="auto"/>
          </w:tcPr>
          <w:p w14:paraId="0D05BFF8" w14:textId="77777777" w:rsidR="00851F60" w:rsidRPr="004D7A37" w:rsidRDefault="003B10CD" w:rsidP="003B10CD">
            <w:pPr>
              <w:numPr>
                <w:ilvl w:val="0"/>
                <w:numId w:val="2"/>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r w:rsidR="00184D7F">
              <w:rPr>
                <w:rFonts w:ascii="Arial" w:hAnsi="Arial" w:cs="Arial"/>
                <w:b/>
                <w:bCs/>
              </w:rPr>
              <w:t xml:space="preserve"> (</w:t>
            </w:r>
            <w:r>
              <w:rPr>
                <w:rFonts w:ascii="Arial" w:hAnsi="Arial" w:cs="Arial"/>
                <w:b/>
                <w:bCs/>
              </w:rPr>
              <w:t>S</w:t>
            </w:r>
            <w:r w:rsidR="00A14AA7">
              <w:rPr>
                <w:rFonts w:ascii="Arial" w:hAnsi="Arial" w:cs="Arial"/>
                <w:b/>
                <w:bCs/>
              </w:rPr>
              <w:t>OPZ)</w:t>
            </w:r>
          </w:p>
        </w:tc>
        <w:tc>
          <w:tcPr>
            <w:tcW w:w="3799" w:type="dxa"/>
            <w:shd w:val="clear" w:color="auto" w:fill="auto"/>
            <w:vAlign w:val="center"/>
          </w:tcPr>
          <w:p w14:paraId="30A24F08"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1</w:t>
            </w:r>
          </w:p>
        </w:tc>
      </w:tr>
      <w:tr w:rsidR="00851F60" w:rsidRPr="004D7A37" w14:paraId="27482230" w14:textId="77777777" w:rsidTr="0099062B">
        <w:tc>
          <w:tcPr>
            <w:tcW w:w="5778" w:type="dxa"/>
            <w:shd w:val="clear" w:color="auto" w:fill="auto"/>
          </w:tcPr>
          <w:p w14:paraId="78E8DE67" w14:textId="77777777" w:rsidR="00851F60" w:rsidRPr="004D7A37" w:rsidRDefault="002C455B" w:rsidP="00B43C3B">
            <w:pPr>
              <w:numPr>
                <w:ilvl w:val="0"/>
                <w:numId w:val="2"/>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14:paraId="18A90597"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2</w:t>
            </w:r>
          </w:p>
        </w:tc>
      </w:tr>
      <w:tr w:rsidR="00851F60" w:rsidRPr="004D7A37" w14:paraId="2E4A35BF" w14:textId="77777777" w:rsidTr="0099062B">
        <w:tc>
          <w:tcPr>
            <w:tcW w:w="5778" w:type="dxa"/>
            <w:shd w:val="clear" w:color="auto" w:fill="auto"/>
          </w:tcPr>
          <w:p w14:paraId="155444FC" w14:textId="77777777" w:rsidR="00851F60" w:rsidRPr="004D7A37" w:rsidRDefault="00851F60" w:rsidP="00B43C3B">
            <w:pPr>
              <w:numPr>
                <w:ilvl w:val="0"/>
                <w:numId w:val="2"/>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5CE73E34"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3</w:t>
            </w:r>
          </w:p>
        </w:tc>
      </w:tr>
      <w:tr w:rsidR="00851F60" w:rsidRPr="004D7A37" w14:paraId="396012C2" w14:textId="77777777" w:rsidTr="0099062B">
        <w:tc>
          <w:tcPr>
            <w:tcW w:w="5778" w:type="dxa"/>
            <w:shd w:val="clear" w:color="auto" w:fill="auto"/>
          </w:tcPr>
          <w:p w14:paraId="6FFCA698" w14:textId="77777777" w:rsidR="00851F60" w:rsidRDefault="00851F60" w:rsidP="00B43C3B">
            <w:pPr>
              <w:numPr>
                <w:ilvl w:val="0"/>
                <w:numId w:val="2"/>
              </w:numPr>
              <w:spacing w:after="0" w:line="360" w:lineRule="auto"/>
              <w:ind w:left="357" w:hanging="39"/>
              <w:rPr>
                <w:rFonts w:ascii="Arial" w:hAnsi="Arial" w:cs="Arial"/>
                <w:b/>
                <w:bCs/>
              </w:rPr>
            </w:pPr>
            <w:r>
              <w:rPr>
                <w:rFonts w:ascii="Arial" w:hAnsi="Arial" w:cs="Arial"/>
                <w:b/>
                <w:bCs/>
              </w:rPr>
              <w:t>Oświadczenia</w:t>
            </w:r>
          </w:p>
          <w:p w14:paraId="0C961455" w14:textId="0C653D4B" w:rsidR="00730A2A" w:rsidRDefault="00730A2A" w:rsidP="00B43C3B">
            <w:pPr>
              <w:numPr>
                <w:ilvl w:val="0"/>
                <w:numId w:val="2"/>
              </w:numPr>
              <w:spacing w:after="0" w:line="360" w:lineRule="auto"/>
              <w:ind w:left="357" w:hanging="39"/>
              <w:rPr>
                <w:rFonts w:ascii="Arial" w:hAnsi="Arial" w:cs="Arial"/>
                <w:b/>
                <w:bCs/>
              </w:rPr>
            </w:pPr>
            <w:r>
              <w:rPr>
                <w:rFonts w:ascii="Arial" w:hAnsi="Arial" w:cs="Arial"/>
                <w:b/>
                <w:bCs/>
              </w:rPr>
              <w:t>Wzór wykazu usług</w:t>
            </w:r>
          </w:p>
          <w:p w14:paraId="204C90AF" w14:textId="34575E2B" w:rsidR="00730A2A" w:rsidRDefault="00730A2A" w:rsidP="00B43C3B">
            <w:pPr>
              <w:numPr>
                <w:ilvl w:val="0"/>
                <w:numId w:val="2"/>
              </w:numPr>
              <w:spacing w:after="0" w:line="360" w:lineRule="auto"/>
              <w:ind w:left="357" w:hanging="39"/>
              <w:rPr>
                <w:rFonts w:ascii="Arial" w:hAnsi="Arial" w:cs="Arial"/>
                <w:b/>
                <w:bCs/>
              </w:rPr>
            </w:pPr>
            <w:r>
              <w:rPr>
                <w:rFonts w:ascii="Arial" w:hAnsi="Arial" w:cs="Arial"/>
                <w:b/>
                <w:bCs/>
              </w:rPr>
              <w:t>Wzór wykazu osób</w:t>
            </w:r>
          </w:p>
          <w:p w14:paraId="4A8FF6A0" w14:textId="77777777" w:rsidR="00BA4CBD" w:rsidRPr="004D7A37" w:rsidRDefault="00BA4CBD" w:rsidP="00730A2A">
            <w:pPr>
              <w:spacing w:after="0" w:line="360" w:lineRule="auto"/>
              <w:ind w:left="318"/>
              <w:rPr>
                <w:rFonts w:ascii="Arial" w:hAnsi="Arial" w:cs="Arial"/>
                <w:b/>
                <w:bCs/>
              </w:rPr>
            </w:pPr>
          </w:p>
        </w:tc>
        <w:tc>
          <w:tcPr>
            <w:tcW w:w="3799" w:type="dxa"/>
            <w:shd w:val="clear" w:color="auto" w:fill="auto"/>
            <w:vAlign w:val="center"/>
          </w:tcPr>
          <w:p w14:paraId="0FF53710" w14:textId="1A47B928" w:rsidR="00851F60"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D62FEE">
              <w:rPr>
                <w:rFonts w:ascii="Arial" w:hAnsi="Arial" w:cs="Arial"/>
                <w:b/>
                <w:bCs/>
              </w:rPr>
              <w:t xml:space="preserve"> </w:t>
            </w:r>
            <w:r>
              <w:rPr>
                <w:rFonts w:ascii="Arial" w:hAnsi="Arial" w:cs="Arial"/>
                <w:b/>
                <w:bCs/>
              </w:rPr>
              <w:t>4b</w:t>
            </w:r>
          </w:p>
          <w:p w14:paraId="22ED0BA3" w14:textId="7AE43830" w:rsidR="00730A2A" w:rsidRDefault="00730A2A" w:rsidP="00B43C3B">
            <w:pPr>
              <w:numPr>
                <w:ilvl w:val="0"/>
                <w:numId w:val="3"/>
              </w:numPr>
              <w:spacing w:after="0" w:line="360" w:lineRule="auto"/>
              <w:rPr>
                <w:rFonts w:ascii="Arial" w:hAnsi="Arial" w:cs="Arial"/>
                <w:b/>
                <w:bCs/>
              </w:rPr>
            </w:pPr>
            <w:r>
              <w:rPr>
                <w:rFonts w:ascii="Arial" w:hAnsi="Arial" w:cs="Arial"/>
                <w:b/>
                <w:bCs/>
              </w:rPr>
              <w:t>Załącznik nr 5</w:t>
            </w:r>
          </w:p>
          <w:p w14:paraId="16C4743C" w14:textId="09ABE8C2" w:rsidR="00730A2A" w:rsidRDefault="00730A2A" w:rsidP="00B43C3B">
            <w:pPr>
              <w:numPr>
                <w:ilvl w:val="0"/>
                <w:numId w:val="3"/>
              </w:numPr>
              <w:spacing w:after="0" w:line="360" w:lineRule="auto"/>
              <w:rPr>
                <w:rFonts w:ascii="Arial" w:hAnsi="Arial" w:cs="Arial"/>
                <w:b/>
                <w:bCs/>
              </w:rPr>
            </w:pPr>
            <w:r>
              <w:rPr>
                <w:rFonts w:ascii="Arial" w:hAnsi="Arial" w:cs="Arial"/>
                <w:b/>
                <w:bCs/>
              </w:rPr>
              <w:t>Załącznik nr 6</w:t>
            </w:r>
          </w:p>
          <w:p w14:paraId="4D4E199C" w14:textId="77777777" w:rsidR="00793EA5" w:rsidRDefault="00793EA5" w:rsidP="00861822">
            <w:pPr>
              <w:spacing w:after="0" w:line="360" w:lineRule="auto"/>
              <w:ind w:left="720"/>
              <w:rPr>
                <w:rFonts w:ascii="Arial" w:hAnsi="Arial" w:cs="Arial"/>
                <w:b/>
                <w:bCs/>
              </w:rPr>
            </w:pPr>
          </w:p>
          <w:p w14:paraId="57DA7B36" w14:textId="77777777" w:rsidR="00851F60" w:rsidRDefault="00851F60" w:rsidP="0099062B">
            <w:pPr>
              <w:spacing w:after="0" w:line="360" w:lineRule="auto"/>
              <w:rPr>
                <w:rFonts w:ascii="Arial" w:hAnsi="Arial" w:cs="Arial"/>
                <w:b/>
                <w:bCs/>
              </w:rPr>
            </w:pPr>
            <w:r>
              <w:rPr>
                <w:rFonts w:ascii="Arial" w:hAnsi="Arial" w:cs="Arial"/>
                <w:b/>
                <w:bCs/>
              </w:rPr>
              <w:t>ZATWIERDZAM</w:t>
            </w:r>
          </w:p>
          <w:p w14:paraId="73B5AF70" w14:textId="77777777" w:rsidR="00052C24" w:rsidRDefault="00052C24" w:rsidP="0099062B">
            <w:pPr>
              <w:spacing w:after="0" w:line="360" w:lineRule="auto"/>
              <w:rPr>
                <w:rFonts w:ascii="Arial" w:eastAsia="Times New Roman" w:hAnsi="Arial" w:cs="Arial"/>
                <w:b/>
                <w:sz w:val="20"/>
                <w:szCs w:val="20"/>
                <w:lang w:eastAsia="pl-PL"/>
              </w:rPr>
            </w:pPr>
          </w:p>
          <w:p w14:paraId="1C18605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768076F2" w14:textId="089D5FCD" w:rsidR="00851F60" w:rsidRPr="004D7A37" w:rsidRDefault="00260E2B" w:rsidP="00CB72A3">
            <w:pPr>
              <w:spacing w:after="0" w:line="360" w:lineRule="auto"/>
              <w:rPr>
                <w:rFonts w:ascii="Arial" w:hAnsi="Arial" w:cs="Arial"/>
                <w:b/>
                <w:bCs/>
              </w:rPr>
            </w:pPr>
            <w:r>
              <w:rPr>
                <w:rFonts w:ascii="Arial" w:hAnsi="Arial" w:cs="Arial"/>
                <w:b/>
                <w:bCs/>
              </w:rPr>
              <w:t xml:space="preserve">Dnia </w:t>
            </w:r>
            <w:r w:rsidR="00CB72A3">
              <w:rPr>
                <w:rFonts w:ascii="Arial" w:hAnsi="Arial" w:cs="Arial"/>
                <w:b/>
                <w:bCs/>
              </w:rPr>
              <w:t>21 czerwca 2018 r.</w:t>
            </w:r>
            <w:bookmarkStart w:id="0" w:name="_GoBack"/>
            <w:bookmarkEnd w:id="0"/>
          </w:p>
        </w:tc>
      </w:tr>
      <w:tr w:rsidR="00851F60" w:rsidRPr="004D7A37" w14:paraId="17847096" w14:textId="77777777" w:rsidTr="0099062B">
        <w:trPr>
          <w:trHeight w:val="60"/>
        </w:trPr>
        <w:tc>
          <w:tcPr>
            <w:tcW w:w="9577" w:type="dxa"/>
            <w:gridSpan w:val="2"/>
            <w:shd w:val="clear" w:color="auto" w:fill="auto"/>
            <w:vAlign w:val="center"/>
          </w:tcPr>
          <w:p w14:paraId="35BC653C" w14:textId="77777777" w:rsidR="00851F60" w:rsidRPr="004D7A37" w:rsidRDefault="00851F60" w:rsidP="0099062B">
            <w:pPr>
              <w:rPr>
                <w:rFonts w:ascii="Arial" w:hAnsi="Arial" w:cs="Arial"/>
                <w:b/>
                <w:bCs/>
              </w:rPr>
            </w:pPr>
          </w:p>
        </w:tc>
      </w:tr>
      <w:tr w:rsidR="00851F60" w:rsidRPr="004D7A37" w14:paraId="001664F5" w14:textId="77777777" w:rsidTr="0099062B">
        <w:trPr>
          <w:trHeight w:val="60"/>
        </w:trPr>
        <w:tc>
          <w:tcPr>
            <w:tcW w:w="9577" w:type="dxa"/>
            <w:gridSpan w:val="2"/>
            <w:shd w:val="clear" w:color="auto" w:fill="auto"/>
            <w:vAlign w:val="center"/>
          </w:tcPr>
          <w:p w14:paraId="4EDFF066" w14:textId="77777777" w:rsidR="00851F60" w:rsidRPr="004D7A37" w:rsidRDefault="00851F60" w:rsidP="0099062B">
            <w:pPr>
              <w:spacing w:after="0" w:line="360" w:lineRule="auto"/>
              <w:rPr>
                <w:rFonts w:ascii="Arial" w:hAnsi="Arial" w:cs="Arial"/>
                <w:b/>
                <w:bCs/>
              </w:rPr>
            </w:pPr>
          </w:p>
        </w:tc>
      </w:tr>
    </w:tbl>
    <w:p w14:paraId="762BADB1" w14:textId="77777777"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p w14:paraId="5B3DF81A" w14:textId="77777777" w:rsidR="001C0C57" w:rsidRDefault="001C0C57" w:rsidP="003A4695">
      <w:pPr>
        <w:spacing w:after="0" w:line="360" w:lineRule="auto"/>
        <w:jc w:val="both"/>
        <w:rPr>
          <w:rFonts w:ascii="Arial" w:hAnsi="Arial" w:cs="Arial"/>
          <w:b/>
          <w:bCs/>
        </w:rPr>
      </w:pPr>
    </w:p>
    <w:p w14:paraId="7363D4E2" w14:textId="77777777" w:rsidR="001C0C57" w:rsidRDefault="001C0C57" w:rsidP="003A4695">
      <w:pPr>
        <w:spacing w:after="0" w:line="360" w:lineRule="auto"/>
        <w:jc w:val="both"/>
        <w:rPr>
          <w:rFonts w:ascii="Arial" w:hAnsi="Arial" w:cs="Arial"/>
          <w:b/>
          <w:bCs/>
        </w:rPr>
      </w:pPr>
    </w:p>
    <w:p w14:paraId="57EAE154" w14:textId="77777777" w:rsidR="001C0C57" w:rsidRDefault="001C0C57" w:rsidP="003A4695">
      <w:pPr>
        <w:spacing w:after="0" w:line="360" w:lineRule="auto"/>
        <w:jc w:val="both"/>
        <w:rPr>
          <w:rFonts w:ascii="Arial" w:hAnsi="Arial" w:cs="Arial"/>
          <w:b/>
          <w:bCs/>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3E6DF758" w14:textId="77777777" w:rsidTr="00C51F0F">
        <w:trPr>
          <w:jc w:val="center"/>
        </w:trPr>
        <w:tc>
          <w:tcPr>
            <w:tcW w:w="9062" w:type="dxa"/>
            <w:shd w:val="clear" w:color="auto" w:fill="BFBFBF" w:themeFill="background1" w:themeFillShade="BF"/>
          </w:tcPr>
          <w:p w14:paraId="3483C6CA"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4C363B8E" w14:textId="77777777" w:rsidTr="00C51F0F">
        <w:trPr>
          <w:jc w:val="center"/>
        </w:trPr>
        <w:tc>
          <w:tcPr>
            <w:tcW w:w="9062" w:type="dxa"/>
            <w:shd w:val="clear" w:color="auto" w:fill="BFBFBF" w:themeFill="background1" w:themeFillShade="BF"/>
          </w:tcPr>
          <w:p w14:paraId="1BB6BB25"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57978A81" w14:textId="77777777" w:rsidR="00ED4A1A" w:rsidRDefault="00ED4A1A" w:rsidP="005015B9">
      <w:pPr>
        <w:spacing w:after="0" w:line="360" w:lineRule="auto"/>
        <w:jc w:val="both"/>
        <w:rPr>
          <w:rFonts w:ascii="Arial" w:hAnsi="Arial" w:cs="Arial"/>
        </w:rPr>
      </w:pPr>
    </w:p>
    <w:p w14:paraId="6BA9617C" w14:textId="10087C48" w:rsidR="00934B1E" w:rsidRDefault="001D424E" w:rsidP="007D169D">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7D169D" w:rsidRPr="00C02634">
          <w:rPr>
            <w:rStyle w:val="Hipercze"/>
            <w:rFonts w:ascii="Arial" w:hAnsi="Arial" w:cs="Arial"/>
          </w:rPr>
          <w:t>https://www.gov.pl/zdrowie/zamowienia-publiczne</w:t>
        </w:r>
      </w:hyperlink>
      <w:r w:rsidR="007D169D">
        <w:rPr>
          <w:rFonts w:ascii="Arial" w:hAnsi="Arial" w:cs="Arial"/>
        </w:rPr>
        <w:t xml:space="preserve"> </w:t>
      </w:r>
    </w:p>
    <w:p w14:paraId="5C0DBE18" w14:textId="77777777" w:rsid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Postępowanie o udzielenie zamówienia publicznego prowadzone jest w trybie przetargu nieograniczonego, na podstawie ustawy z dnia 29 stycznia 2004 r. Prawo zamówień publicznyc</w:t>
      </w:r>
      <w:r w:rsidR="00B53299" w:rsidRPr="00934B1E">
        <w:rPr>
          <w:rFonts w:ascii="Arial" w:hAnsi="Arial" w:cs="Arial"/>
        </w:rPr>
        <w:t>h (</w:t>
      </w:r>
      <w:r w:rsidR="003B397F" w:rsidRPr="00934B1E">
        <w:rPr>
          <w:rFonts w:ascii="Arial" w:hAnsi="Arial" w:cs="Arial"/>
        </w:rPr>
        <w:t xml:space="preserve">tj. </w:t>
      </w:r>
      <w:r w:rsidR="00B53299" w:rsidRPr="00934B1E">
        <w:rPr>
          <w:rFonts w:ascii="Arial" w:hAnsi="Arial" w:cs="Arial"/>
        </w:rPr>
        <w:t>Dz. U. z 201</w:t>
      </w:r>
      <w:r w:rsidR="003B397F" w:rsidRPr="00934B1E">
        <w:rPr>
          <w:rFonts w:ascii="Arial" w:hAnsi="Arial" w:cs="Arial"/>
        </w:rPr>
        <w:t>7</w:t>
      </w:r>
      <w:r w:rsidR="00B53299" w:rsidRPr="00934B1E">
        <w:rPr>
          <w:rFonts w:ascii="Arial" w:hAnsi="Arial" w:cs="Arial"/>
        </w:rPr>
        <w:t xml:space="preserve"> r. poz. </w:t>
      </w:r>
      <w:r w:rsidR="003B397F" w:rsidRPr="00934B1E">
        <w:rPr>
          <w:rFonts w:ascii="Arial" w:hAnsi="Arial" w:cs="Arial"/>
        </w:rPr>
        <w:t>1579</w:t>
      </w:r>
      <w:r w:rsidR="001627A0" w:rsidRPr="00934B1E">
        <w:rPr>
          <w:rFonts w:ascii="Arial" w:hAnsi="Arial" w:cs="Arial"/>
        </w:rPr>
        <w:t xml:space="preserve"> z </w:t>
      </w:r>
      <w:proofErr w:type="spellStart"/>
      <w:r w:rsidR="001627A0" w:rsidRPr="00934B1E">
        <w:rPr>
          <w:rFonts w:ascii="Arial" w:hAnsi="Arial" w:cs="Arial"/>
        </w:rPr>
        <w:t>późn</w:t>
      </w:r>
      <w:proofErr w:type="spellEnd"/>
      <w:r w:rsidR="001627A0" w:rsidRPr="00934B1E">
        <w:rPr>
          <w:rFonts w:ascii="Arial" w:hAnsi="Arial" w:cs="Arial"/>
        </w:rPr>
        <w:t>. zm.)</w:t>
      </w:r>
      <w:r w:rsidRPr="00934B1E">
        <w:rPr>
          <w:rFonts w:ascii="Arial" w:hAnsi="Arial" w:cs="Arial"/>
        </w:rPr>
        <w:t xml:space="preserve"> oraz aktów wykonawczych wydanych na jej podstawie.</w:t>
      </w:r>
    </w:p>
    <w:p w14:paraId="164275DD" w14:textId="4F1DA70E" w:rsidR="00934B1E" w:rsidRPr="00527F3B"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Wartość zamówienia jest mniejsza od kwoty określonej w przepisach wydanych na podstawie art. 11 ust. 8 ustawy z dnia 29 stycznia 2004 r. Prawo zamówień publicznych w odniesieniu do usług i dostaw lub robót budowlanych</w:t>
      </w:r>
      <w:r w:rsidRPr="00527F3B">
        <w:rPr>
          <w:rFonts w:ascii="Arial" w:hAnsi="Arial" w:cs="Arial"/>
        </w:rPr>
        <w:t xml:space="preserve">. </w:t>
      </w:r>
      <w:r w:rsidR="00E31237" w:rsidRPr="00387D1A">
        <w:rPr>
          <w:rFonts w:ascii="Arial" w:hAnsi="Arial" w:cs="Arial"/>
          <w:b/>
        </w:rPr>
        <w:t>Zamawiający informuje, iż oszacowanie przedmiotu zamówienia w postępowaniu wynosi 500 000,00 zł netto.</w:t>
      </w:r>
      <w:r w:rsidR="00E31237" w:rsidRPr="00527F3B">
        <w:rPr>
          <w:rFonts w:ascii="Arial" w:hAnsi="Arial" w:cs="Arial"/>
        </w:rPr>
        <w:t xml:space="preserve"> </w:t>
      </w:r>
    </w:p>
    <w:p w14:paraId="0EB05C48" w14:textId="77777777" w:rsidR="00ED4A1A" w:rsidRP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 xml:space="preserve">Użyte w niniejszej Specyfikacji Istotnych Warunków Zamówienia (oraz w załącznikach) terminy mają następujące znaczenie: </w:t>
      </w:r>
    </w:p>
    <w:p w14:paraId="1ED0E417"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Pr="00ED4A1A">
        <w:rPr>
          <w:rFonts w:ascii="Arial" w:hAnsi="Arial" w:cs="Arial"/>
        </w:rPr>
        <w:t xml:space="preserve">, </w:t>
      </w:r>
    </w:p>
    <w:p w14:paraId="4ECB0718"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„SIWZ” – niniejsza Specyfikacja Istotnych Warunków Zamówienia, </w:t>
      </w:r>
    </w:p>
    <w:p w14:paraId="5DDBFB29"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5B3F2CC2"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21A4F8A7" w14:textId="77777777" w:rsidR="0058171C" w:rsidRPr="0058171C"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50E3E0E7" w14:textId="77777777" w:rsidR="00ED4A1A" w:rsidRPr="0058171C" w:rsidRDefault="001D424E" w:rsidP="00B43C3B">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69A45962" w14:textId="77777777" w:rsidTr="00C51F0F">
        <w:trPr>
          <w:jc w:val="center"/>
        </w:trPr>
        <w:tc>
          <w:tcPr>
            <w:tcW w:w="9062" w:type="dxa"/>
            <w:shd w:val="clear" w:color="auto" w:fill="BFBFBF" w:themeFill="background1" w:themeFillShade="BF"/>
          </w:tcPr>
          <w:p w14:paraId="5137EDA3"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3CC57D99" w14:textId="77777777" w:rsidTr="00E76FF3">
        <w:trPr>
          <w:trHeight w:val="265"/>
          <w:jc w:val="center"/>
        </w:trPr>
        <w:tc>
          <w:tcPr>
            <w:tcW w:w="9062" w:type="dxa"/>
            <w:shd w:val="clear" w:color="auto" w:fill="BFBFBF" w:themeFill="background1" w:themeFillShade="BF"/>
          </w:tcPr>
          <w:p w14:paraId="6105F644"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7F7029D3" w14:textId="77777777" w:rsidR="00ED4A1A" w:rsidRDefault="00ED4A1A" w:rsidP="005015B9">
      <w:pPr>
        <w:spacing w:after="0" w:line="360" w:lineRule="auto"/>
        <w:jc w:val="both"/>
        <w:rPr>
          <w:rFonts w:ascii="Arial" w:hAnsi="Arial" w:cs="Arial"/>
        </w:rPr>
      </w:pPr>
    </w:p>
    <w:p w14:paraId="0D017C4A"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0D09E772"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5000BB9B" w14:textId="5777C886" w:rsidR="00934B1E" w:rsidRDefault="00B21175" w:rsidP="001C0C57">
      <w:pPr>
        <w:pStyle w:val="Akapitzlist"/>
        <w:numPr>
          <w:ilvl w:val="1"/>
          <w:numId w:val="9"/>
        </w:numPr>
        <w:spacing w:after="0" w:line="360" w:lineRule="auto"/>
        <w:ind w:left="567" w:hanging="567"/>
        <w:jc w:val="both"/>
        <w:rPr>
          <w:rFonts w:ascii="Arial" w:hAnsi="Arial" w:cs="Arial"/>
        </w:rPr>
      </w:pPr>
      <w:r w:rsidRPr="00B21175">
        <w:rPr>
          <w:rFonts w:ascii="Arial" w:hAnsi="Arial" w:cs="Arial"/>
        </w:rPr>
        <w:t xml:space="preserve">Przedmiotem zamówienia jest </w:t>
      </w:r>
      <w:r w:rsidR="001C0C57" w:rsidRPr="001C0C57">
        <w:rPr>
          <w:rFonts w:ascii="Arial" w:hAnsi="Arial" w:cs="Arial"/>
        </w:rPr>
        <w:t xml:space="preserve">opracowanie i realizacja ogólnopolskiej kampanii promującej działania i efekty w ramach </w:t>
      </w:r>
      <w:proofErr w:type="spellStart"/>
      <w:r w:rsidR="001C0C57" w:rsidRPr="001C0C57">
        <w:rPr>
          <w:rFonts w:ascii="Arial" w:hAnsi="Arial" w:cs="Arial"/>
        </w:rPr>
        <w:t>POIiŚ</w:t>
      </w:r>
      <w:proofErr w:type="spellEnd"/>
      <w:r w:rsidR="001C0C57" w:rsidRPr="001C0C57">
        <w:rPr>
          <w:rFonts w:ascii="Arial" w:hAnsi="Arial" w:cs="Arial"/>
        </w:rPr>
        <w:t xml:space="preserve"> i POWER.</w:t>
      </w:r>
      <w:r w:rsidR="006B2F1E">
        <w:rPr>
          <w:rFonts w:ascii="Arial" w:hAnsi="Arial" w:cs="Arial"/>
        </w:rPr>
        <w:t xml:space="preserve"> </w:t>
      </w:r>
      <w:r w:rsidR="005874C9" w:rsidRPr="00934B1E">
        <w:rPr>
          <w:rFonts w:ascii="Arial" w:hAnsi="Arial" w:cs="Arial"/>
        </w:rPr>
        <w:t xml:space="preserve">Szczegółowy opis przedmiotu zamówienia stanowi Załącznik nr 1 do SIWZ. </w:t>
      </w:r>
    </w:p>
    <w:p w14:paraId="472A162E" w14:textId="77777777" w:rsidR="006A0BE8" w:rsidRPr="00934B1E" w:rsidRDefault="001D424E" w:rsidP="00B43C3B">
      <w:pPr>
        <w:pStyle w:val="Akapitzlist"/>
        <w:numPr>
          <w:ilvl w:val="1"/>
          <w:numId w:val="9"/>
        </w:numPr>
        <w:spacing w:after="0" w:line="360" w:lineRule="auto"/>
        <w:ind w:left="567" w:hanging="567"/>
        <w:jc w:val="both"/>
        <w:rPr>
          <w:rFonts w:ascii="Arial" w:hAnsi="Arial" w:cs="Arial"/>
        </w:rPr>
      </w:pPr>
      <w:r w:rsidRPr="00934B1E">
        <w:rPr>
          <w:rFonts w:ascii="Arial" w:hAnsi="Arial" w:cs="Arial"/>
        </w:rPr>
        <w:t>Kod i nazwa zamówienia według Wspólnego Słownika Zamówień (CPV):</w:t>
      </w:r>
      <w:r w:rsidR="006A0BE8" w:rsidRPr="00934B1E">
        <w:rPr>
          <w:rFonts w:ascii="Arial" w:hAnsi="Arial" w:cs="Arial"/>
        </w:rPr>
        <w:tab/>
      </w:r>
      <w:r w:rsidR="006A0BE8" w:rsidRPr="00934B1E">
        <w:rPr>
          <w:rFonts w:ascii="Arial" w:hAnsi="Arial" w:cs="Arial"/>
          <w:i/>
        </w:rPr>
        <w:tab/>
      </w:r>
      <w:r w:rsidR="006A0BE8" w:rsidRPr="00934B1E">
        <w:rPr>
          <w:rFonts w:ascii="Arial" w:hAnsi="Arial" w:cs="Arial"/>
          <w:i/>
        </w:rPr>
        <w:tab/>
      </w:r>
      <w:r w:rsidR="006A0BE8" w:rsidRPr="00934B1E">
        <w:rPr>
          <w:rFonts w:ascii="EUAlbertina" w:hAnsi="EUAlbertina" w:cs="EUAlbertina"/>
        </w:rPr>
        <w:t xml:space="preserve"> </w:t>
      </w:r>
    </w:p>
    <w:p w14:paraId="34A1B9A1" w14:textId="6E875844" w:rsidR="005874C9" w:rsidRPr="00934B1E" w:rsidRDefault="001C0C57" w:rsidP="00934B1E">
      <w:pPr>
        <w:spacing w:after="0" w:line="360" w:lineRule="auto"/>
        <w:ind w:left="10" w:right="45" w:firstLine="557"/>
        <w:jc w:val="both"/>
        <w:rPr>
          <w:rFonts w:ascii="Arial" w:hAnsi="Arial" w:cs="Arial"/>
        </w:rPr>
      </w:pPr>
      <w:r>
        <w:rPr>
          <w:rFonts w:ascii="Arial" w:hAnsi="Arial" w:cs="Arial"/>
        </w:rPr>
        <w:t>79341400-0</w:t>
      </w:r>
      <w:r>
        <w:rPr>
          <w:rFonts w:ascii="Arial" w:hAnsi="Arial" w:cs="Arial"/>
        </w:rPr>
        <w:tab/>
        <w:t>Usługi prowadzenia kampanii reklamowych</w:t>
      </w:r>
    </w:p>
    <w:p w14:paraId="3B5B23F0" w14:textId="77777777" w:rsidR="0036751A" w:rsidRPr="001A3AA2" w:rsidRDefault="005443A2" w:rsidP="00B43C3B">
      <w:pPr>
        <w:pStyle w:val="Akapitzlist"/>
        <w:numPr>
          <w:ilvl w:val="1"/>
          <w:numId w:val="9"/>
        </w:numPr>
        <w:spacing w:after="0" w:line="360" w:lineRule="auto"/>
        <w:ind w:left="567" w:hanging="567"/>
        <w:jc w:val="both"/>
        <w:rPr>
          <w:rFonts w:ascii="Arial" w:hAnsi="Arial" w:cs="Arial"/>
        </w:rPr>
      </w:pPr>
      <w:r w:rsidRPr="001A3AA2">
        <w:rPr>
          <w:rFonts w:ascii="Arial" w:hAnsi="Arial" w:cs="Arial"/>
        </w:rPr>
        <w:t>O</w:t>
      </w:r>
      <w:r w:rsidR="001D424E" w:rsidRPr="001A3AA2">
        <w:rPr>
          <w:rFonts w:ascii="Arial" w:hAnsi="Arial" w:cs="Arial"/>
        </w:rPr>
        <w:t xml:space="preserve">pis przedmiotu zamówienia zawarty jest w </w:t>
      </w:r>
      <w:r w:rsidR="00934B1E">
        <w:rPr>
          <w:rFonts w:ascii="Arial" w:hAnsi="Arial" w:cs="Arial"/>
        </w:rPr>
        <w:t>Z</w:t>
      </w:r>
      <w:r w:rsidR="00A1703C" w:rsidRPr="001A3AA2">
        <w:rPr>
          <w:rFonts w:ascii="Arial" w:hAnsi="Arial" w:cs="Arial"/>
        </w:rPr>
        <w:t>ałączniku nr</w:t>
      </w:r>
      <w:r w:rsidR="00851F60" w:rsidRPr="001A3AA2">
        <w:rPr>
          <w:rFonts w:ascii="Arial" w:hAnsi="Arial" w:cs="Arial"/>
        </w:rPr>
        <w:t xml:space="preserve"> 1</w:t>
      </w:r>
    </w:p>
    <w:p w14:paraId="327E8ED9" w14:textId="77777777" w:rsidR="00FA4EF2" w:rsidRDefault="00B16644" w:rsidP="00B43C3B">
      <w:pPr>
        <w:pStyle w:val="Akapitzlist"/>
        <w:numPr>
          <w:ilvl w:val="1"/>
          <w:numId w:val="9"/>
        </w:numPr>
        <w:spacing w:after="0" w:line="360" w:lineRule="auto"/>
        <w:ind w:left="567" w:hanging="567"/>
        <w:jc w:val="both"/>
        <w:rPr>
          <w:rFonts w:ascii="Arial" w:hAnsi="Arial" w:cs="Arial"/>
        </w:rPr>
      </w:pPr>
      <w:r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p w14:paraId="4AD0DE30" w14:textId="77777777" w:rsidR="00C6793F" w:rsidRDefault="00C6793F" w:rsidP="00C6793F">
      <w:pPr>
        <w:pStyle w:val="Akapitzlist"/>
        <w:spacing w:after="0" w:line="360" w:lineRule="auto"/>
        <w:ind w:left="567"/>
        <w:jc w:val="both"/>
        <w:rPr>
          <w:rFonts w:ascii="Arial" w:hAnsi="Arial" w:cs="Arial"/>
        </w:rPr>
      </w:pPr>
    </w:p>
    <w:p w14:paraId="07D8570B" w14:textId="77777777" w:rsidR="00387D1A" w:rsidRDefault="00387D1A" w:rsidP="00C6793F">
      <w:pPr>
        <w:pStyle w:val="Akapitzlist"/>
        <w:spacing w:after="0" w:line="360" w:lineRule="auto"/>
        <w:ind w:left="567"/>
        <w:jc w:val="both"/>
        <w:rPr>
          <w:rFonts w:ascii="Arial" w:hAnsi="Arial" w:cs="Arial"/>
        </w:rPr>
      </w:pPr>
    </w:p>
    <w:p w14:paraId="118FF3E0" w14:textId="77777777" w:rsidR="00387D1A" w:rsidRDefault="00387D1A" w:rsidP="00C6793F">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68B74EFC" w14:textId="77777777" w:rsidTr="00C51F0F">
        <w:trPr>
          <w:jc w:val="center"/>
        </w:trPr>
        <w:tc>
          <w:tcPr>
            <w:tcW w:w="9062" w:type="dxa"/>
            <w:shd w:val="clear" w:color="auto" w:fill="BFBFBF" w:themeFill="background1" w:themeFillShade="BF"/>
          </w:tcPr>
          <w:p w14:paraId="0080CFFA" w14:textId="77777777" w:rsidR="000A706A" w:rsidRPr="005015B9" w:rsidRDefault="007454AB" w:rsidP="005015B9">
            <w:pPr>
              <w:jc w:val="center"/>
              <w:rPr>
                <w:rFonts w:ascii="Arial" w:hAnsi="Arial" w:cs="Arial"/>
                <w:b/>
              </w:rPr>
            </w:pPr>
            <w:r>
              <w:rPr>
                <w:rFonts w:ascii="Arial" w:hAnsi="Arial" w:cs="Arial"/>
              </w:rPr>
              <w:lastRenderedPageBreak/>
              <w:t xml:space="preserve">      </w:t>
            </w:r>
            <w:r w:rsidR="000A706A" w:rsidRPr="005015B9">
              <w:rPr>
                <w:rFonts w:ascii="Arial" w:hAnsi="Arial" w:cs="Arial"/>
                <w:b/>
              </w:rPr>
              <w:t>Rozdział 3</w:t>
            </w:r>
          </w:p>
        </w:tc>
      </w:tr>
      <w:tr w:rsidR="000A706A" w:rsidRPr="005015B9" w14:paraId="3ED8F3E5" w14:textId="77777777" w:rsidTr="001A05B5">
        <w:trPr>
          <w:trHeight w:val="149"/>
          <w:jc w:val="center"/>
        </w:trPr>
        <w:tc>
          <w:tcPr>
            <w:tcW w:w="9062" w:type="dxa"/>
            <w:shd w:val="clear" w:color="auto" w:fill="BFBFBF" w:themeFill="background1" w:themeFillShade="BF"/>
          </w:tcPr>
          <w:p w14:paraId="5B5DF6FB"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24116392" w14:textId="5CB4EA9B" w:rsidR="00B16644" w:rsidRPr="00E62331" w:rsidRDefault="005874C9" w:rsidP="005874C9">
      <w:pPr>
        <w:spacing w:before="120" w:after="120" w:line="360" w:lineRule="auto"/>
        <w:ind w:left="10" w:right="45" w:hanging="10"/>
        <w:jc w:val="both"/>
        <w:rPr>
          <w:rFonts w:ascii="Arial" w:eastAsia="Times New Roman" w:hAnsi="Arial" w:cs="Arial"/>
          <w:color w:val="000000"/>
          <w:lang w:eastAsia="pl-PL"/>
        </w:rPr>
      </w:pPr>
      <w:r w:rsidRPr="00E76FF3">
        <w:rPr>
          <w:rFonts w:ascii="Arial" w:eastAsia="Times New Roman" w:hAnsi="Arial" w:cs="Arial"/>
          <w:color w:val="000000"/>
          <w:lang w:eastAsia="pl-PL"/>
        </w:rPr>
        <w:t xml:space="preserve">Przedmiot zamówienia zostanie wykonany w </w:t>
      </w:r>
      <w:r w:rsidR="006B2F1E" w:rsidRPr="006B2F1E">
        <w:rPr>
          <w:rFonts w:ascii="Arial" w:eastAsia="Times New Roman" w:hAnsi="Arial" w:cs="Arial"/>
          <w:color w:val="000000"/>
          <w:lang w:eastAsia="pl-PL"/>
        </w:rPr>
        <w:t xml:space="preserve">terminie do </w:t>
      </w:r>
      <w:r w:rsidR="001C0C57">
        <w:rPr>
          <w:rFonts w:ascii="Arial" w:eastAsia="Times New Roman" w:hAnsi="Arial" w:cs="Arial"/>
          <w:color w:val="000000"/>
          <w:lang w:eastAsia="pl-PL"/>
        </w:rPr>
        <w:t xml:space="preserve">dnia 15 grudnia 2018 r.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1992842" w14:textId="77777777" w:rsidTr="00C51F0F">
        <w:trPr>
          <w:jc w:val="center"/>
        </w:trPr>
        <w:tc>
          <w:tcPr>
            <w:tcW w:w="9062" w:type="dxa"/>
            <w:shd w:val="clear" w:color="auto" w:fill="BFBFBF" w:themeFill="background1" w:themeFillShade="BF"/>
          </w:tcPr>
          <w:p w14:paraId="4A25A78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1D314104" w14:textId="77777777" w:rsidTr="00C51F0F">
        <w:trPr>
          <w:jc w:val="center"/>
        </w:trPr>
        <w:tc>
          <w:tcPr>
            <w:tcW w:w="9062" w:type="dxa"/>
            <w:shd w:val="clear" w:color="auto" w:fill="BFBFBF" w:themeFill="background1" w:themeFillShade="BF"/>
          </w:tcPr>
          <w:p w14:paraId="0BAA3EA0"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0597F579" w14:textId="77777777" w:rsidR="000A706A" w:rsidRDefault="000A706A" w:rsidP="005015B9">
      <w:pPr>
        <w:jc w:val="both"/>
        <w:rPr>
          <w:rFonts w:ascii="Arial" w:hAnsi="Arial" w:cs="Arial"/>
        </w:rPr>
      </w:pPr>
    </w:p>
    <w:p w14:paraId="31B0CD38"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66BDA1E7"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3F8FC7A"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51FA9AD4"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6128DEF"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60DBD846" w14:textId="77777777" w:rsidR="00934B1E" w:rsidRDefault="001D424E" w:rsidP="00B43C3B">
      <w:pPr>
        <w:pStyle w:val="Akapitzlist"/>
        <w:numPr>
          <w:ilvl w:val="1"/>
          <w:numId w:val="10"/>
        </w:numPr>
        <w:spacing w:after="0" w:line="360" w:lineRule="auto"/>
        <w:ind w:left="567" w:hanging="567"/>
        <w:jc w:val="both"/>
        <w:rPr>
          <w:rFonts w:ascii="Arial" w:hAnsi="Arial" w:cs="Arial"/>
        </w:rPr>
      </w:pPr>
      <w:r w:rsidRPr="000D256D">
        <w:rPr>
          <w:rFonts w:ascii="Arial" w:hAnsi="Arial" w:cs="Arial"/>
        </w:rPr>
        <w:t>nie podlegają wykluczeniu,</w:t>
      </w:r>
      <w:r w:rsidRPr="001D424E">
        <w:rPr>
          <w:rFonts w:ascii="Arial" w:hAnsi="Arial" w:cs="Arial"/>
        </w:rPr>
        <w:t xml:space="preserve"> </w:t>
      </w:r>
    </w:p>
    <w:p w14:paraId="6D04D616" w14:textId="77777777" w:rsidR="000A706A" w:rsidRPr="00934B1E" w:rsidRDefault="001D424E" w:rsidP="00B43C3B">
      <w:pPr>
        <w:pStyle w:val="Akapitzlist"/>
        <w:numPr>
          <w:ilvl w:val="1"/>
          <w:numId w:val="10"/>
        </w:numPr>
        <w:spacing w:after="0" w:line="360" w:lineRule="auto"/>
        <w:ind w:left="567" w:hanging="567"/>
        <w:jc w:val="both"/>
        <w:rPr>
          <w:rFonts w:ascii="Arial" w:hAnsi="Arial" w:cs="Arial"/>
        </w:rPr>
      </w:pPr>
      <w:r w:rsidRPr="00934B1E">
        <w:rPr>
          <w:rFonts w:ascii="Arial" w:hAnsi="Arial" w:cs="Arial"/>
        </w:rPr>
        <w:t xml:space="preserve">spełniają następujące warunki dotyczące: </w:t>
      </w:r>
    </w:p>
    <w:p w14:paraId="6D95EFF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2C23DF2D"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7735925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5D3C215E"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66D90676"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2ED9CB9D" w14:textId="77777777" w:rsidR="00DB79BC"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kompetencji lub uprawnień do prowadzenia określonej działalności zawodowej: </w:t>
      </w:r>
    </w:p>
    <w:p w14:paraId="74650B57" w14:textId="77777777" w:rsidR="000A706A" w:rsidRPr="00934B1E" w:rsidRDefault="001D424E" w:rsidP="00934B1E">
      <w:pPr>
        <w:spacing w:after="0" w:line="360" w:lineRule="auto"/>
        <w:ind w:left="1134"/>
        <w:jc w:val="both"/>
        <w:rPr>
          <w:rFonts w:ascii="Arial" w:hAnsi="Arial" w:cs="Arial"/>
          <w:i/>
        </w:rPr>
      </w:pPr>
      <w:r w:rsidRPr="00934B1E">
        <w:rPr>
          <w:rFonts w:ascii="Arial" w:hAnsi="Arial" w:cs="Arial"/>
          <w:i/>
        </w:rPr>
        <w:t xml:space="preserve">Zamawiający nie określa warunku w ww. zakresie. </w:t>
      </w:r>
    </w:p>
    <w:p w14:paraId="6371097B"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sytuacji ekonomicznej lub finansowej: </w:t>
      </w:r>
    </w:p>
    <w:p w14:paraId="02859DB6" w14:textId="77777777" w:rsidR="00CE2CDC" w:rsidRPr="00934B1E" w:rsidRDefault="003D5768" w:rsidP="00934B1E">
      <w:pPr>
        <w:spacing w:after="0" w:line="360" w:lineRule="auto"/>
        <w:ind w:left="1134"/>
        <w:jc w:val="both"/>
        <w:rPr>
          <w:rFonts w:ascii="Arial" w:hAnsi="Arial" w:cs="Arial"/>
          <w:i/>
        </w:rPr>
      </w:pPr>
      <w:r w:rsidRPr="00934B1E">
        <w:rPr>
          <w:rFonts w:ascii="Arial" w:hAnsi="Arial" w:cs="Arial"/>
          <w:i/>
        </w:rPr>
        <w:t>Zamawiający nie określa warunku w ww. zakresie.</w:t>
      </w:r>
    </w:p>
    <w:p w14:paraId="5B00036A"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zdolności technicznej lub zawodowej. </w:t>
      </w:r>
    </w:p>
    <w:p w14:paraId="2A8FF179" w14:textId="77777777" w:rsidR="00CD7A32" w:rsidRPr="00934B1E" w:rsidRDefault="00CD7A32" w:rsidP="00934B1E">
      <w:pPr>
        <w:spacing w:after="0" w:line="360" w:lineRule="auto"/>
        <w:ind w:left="426" w:firstLine="708"/>
        <w:jc w:val="both"/>
        <w:rPr>
          <w:rFonts w:ascii="Arial" w:hAnsi="Arial" w:cs="Arial"/>
          <w:b/>
          <w:i/>
        </w:rPr>
      </w:pPr>
      <w:r w:rsidRPr="00934B1E">
        <w:rPr>
          <w:rFonts w:ascii="Arial" w:hAnsi="Arial" w:cs="Arial"/>
          <w:b/>
          <w:i/>
        </w:rPr>
        <w:t>Zamawiający uzna ww. warunek za spełniony, jeżeli:</w:t>
      </w:r>
    </w:p>
    <w:p w14:paraId="08A496B7" w14:textId="59282289" w:rsidR="00B40A83" w:rsidRDefault="00B40A83" w:rsidP="00D3340E">
      <w:pPr>
        <w:pStyle w:val="Akapitzlist"/>
        <w:numPr>
          <w:ilvl w:val="0"/>
          <w:numId w:val="15"/>
        </w:numPr>
        <w:spacing w:after="0" w:line="360" w:lineRule="auto"/>
        <w:jc w:val="both"/>
        <w:rPr>
          <w:rFonts w:ascii="Arial" w:hAnsi="Arial" w:cs="Arial"/>
          <w:iCs/>
        </w:rPr>
      </w:pPr>
      <w:r w:rsidRPr="00B40A83">
        <w:rPr>
          <w:rFonts w:ascii="Arial" w:hAnsi="Arial" w:cs="Arial"/>
          <w:iCs/>
        </w:rPr>
        <w:t xml:space="preserve">Wykonawca w okresie 3 ostatnich lat przed upływem terminu składania ofert, a w przypadku, gdy okres prowadzenia działalności jest krótszy - w tym okresie, należycie zrealizował, a w przypadku świadczeń okresowych lub ciągłych również należycie wykonuje </w:t>
      </w:r>
      <w:r w:rsidR="00D3340E">
        <w:rPr>
          <w:rFonts w:ascii="Arial" w:hAnsi="Arial" w:cs="Arial"/>
          <w:iCs/>
        </w:rPr>
        <w:t>co najmniej 2</w:t>
      </w:r>
      <w:r w:rsidR="001325DD">
        <w:rPr>
          <w:rFonts w:ascii="Arial" w:hAnsi="Arial" w:cs="Arial"/>
          <w:iCs/>
        </w:rPr>
        <w:t xml:space="preserve"> (dwie)</w:t>
      </w:r>
      <w:r w:rsidR="00D3340E">
        <w:rPr>
          <w:rFonts w:ascii="Arial" w:hAnsi="Arial" w:cs="Arial"/>
          <w:iCs/>
        </w:rPr>
        <w:t xml:space="preserve"> kampanie</w:t>
      </w:r>
      <w:r w:rsidR="00D3340E" w:rsidRPr="00D3340E">
        <w:rPr>
          <w:rFonts w:ascii="Arial" w:hAnsi="Arial" w:cs="Arial"/>
          <w:iCs/>
        </w:rPr>
        <w:t xml:space="preserve"> promują</w:t>
      </w:r>
      <w:r w:rsidR="00D3340E">
        <w:rPr>
          <w:rFonts w:ascii="Arial" w:hAnsi="Arial" w:cs="Arial"/>
          <w:iCs/>
        </w:rPr>
        <w:t>ce</w:t>
      </w:r>
      <w:r w:rsidR="00D3340E" w:rsidRPr="00D3340E">
        <w:rPr>
          <w:rFonts w:ascii="Arial" w:hAnsi="Arial" w:cs="Arial"/>
          <w:iCs/>
        </w:rPr>
        <w:t xml:space="preserve">, w ramach których opracował linię kreatywną, stworzył i wdrożył strategię komunikacji, zrealizował działania public relations, dokonał zakupu mediów poprzez dobór odpowiednich kanałów komunikacyjnych o wartości </w:t>
      </w:r>
      <w:r w:rsidR="00D3340E">
        <w:rPr>
          <w:rFonts w:ascii="Arial" w:hAnsi="Arial" w:cs="Arial"/>
          <w:iCs/>
        </w:rPr>
        <w:t xml:space="preserve">brutto </w:t>
      </w:r>
      <w:r w:rsidR="00D3340E" w:rsidRPr="00D3340E">
        <w:rPr>
          <w:rFonts w:ascii="Arial" w:hAnsi="Arial" w:cs="Arial"/>
          <w:iCs/>
        </w:rPr>
        <w:t xml:space="preserve">co najmniej </w:t>
      </w:r>
      <w:r w:rsidR="00E31237" w:rsidRPr="00527F3B">
        <w:rPr>
          <w:rFonts w:ascii="Arial" w:hAnsi="Arial" w:cs="Arial"/>
          <w:iCs/>
        </w:rPr>
        <w:t>25</w:t>
      </w:r>
      <w:r w:rsidR="00D3340E" w:rsidRPr="00527F3B">
        <w:rPr>
          <w:rFonts w:ascii="Arial" w:hAnsi="Arial" w:cs="Arial"/>
          <w:iCs/>
        </w:rPr>
        <w:t>0 000 zł każda</w:t>
      </w:r>
      <w:r w:rsidR="006B2F1E" w:rsidRPr="00527F3B">
        <w:rPr>
          <w:rFonts w:ascii="Arial" w:hAnsi="Arial" w:cs="Arial"/>
          <w:iCs/>
        </w:rPr>
        <w:t>.</w:t>
      </w:r>
    </w:p>
    <w:p w14:paraId="212B2DBC" w14:textId="08C1FE4A" w:rsidR="001325DD" w:rsidRPr="00527F3B" w:rsidRDefault="001325DD" w:rsidP="001325DD">
      <w:pPr>
        <w:pStyle w:val="Akapitzlist"/>
        <w:numPr>
          <w:ilvl w:val="0"/>
          <w:numId w:val="15"/>
        </w:numPr>
        <w:spacing w:after="0" w:line="360" w:lineRule="auto"/>
        <w:jc w:val="both"/>
        <w:rPr>
          <w:rFonts w:ascii="Arial" w:hAnsi="Arial" w:cs="Arial"/>
          <w:iCs/>
        </w:rPr>
      </w:pPr>
      <w:r w:rsidRPr="00527F3B">
        <w:rPr>
          <w:rFonts w:ascii="Arial" w:hAnsi="Arial" w:cs="Arial"/>
          <w:iCs/>
        </w:rPr>
        <w:t xml:space="preserve">Wykonawca dysponuje zespołem co najmniej 4 osobowym w poniższym składzie: </w:t>
      </w:r>
    </w:p>
    <w:p w14:paraId="77FA2E23" w14:textId="6AE2E7B6" w:rsidR="001325DD" w:rsidRPr="00527F3B" w:rsidRDefault="001325DD" w:rsidP="001325DD">
      <w:pPr>
        <w:pStyle w:val="Akapitzlist"/>
        <w:numPr>
          <w:ilvl w:val="0"/>
          <w:numId w:val="33"/>
        </w:numPr>
        <w:spacing w:after="0" w:line="360" w:lineRule="auto"/>
        <w:jc w:val="both"/>
        <w:rPr>
          <w:rFonts w:ascii="Arial" w:hAnsi="Arial" w:cs="Arial"/>
          <w:iCs/>
        </w:rPr>
      </w:pPr>
      <w:r w:rsidRPr="00527F3B">
        <w:rPr>
          <w:rFonts w:ascii="Arial" w:hAnsi="Arial" w:cs="Arial"/>
          <w:b/>
          <w:iCs/>
        </w:rPr>
        <w:t>Kierownik Projektu</w:t>
      </w:r>
      <w:r w:rsidRPr="00527F3B">
        <w:rPr>
          <w:rFonts w:ascii="Arial" w:hAnsi="Arial" w:cs="Arial"/>
          <w:iCs/>
        </w:rPr>
        <w:t xml:space="preserve"> – osoba która odpowiadała za realizację co najmniej 2 kampanie promujące, w ramach których opracował linię kreatywną, stworzył i wdrożył strategię komunikacji, zrealizował działania public relations, dokonał zakupu mediów poprzez dobór odpowiednich kanałów komunikacyjnych;</w:t>
      </w:r>
    </w:p>
    <w:p w14:paraId="53C8E9AD" w14:textId="6CA8083E" w:rsidR="001325DD" w:rsidRPr="00527F3B" w:rsidRDefault="001325DD" w:rsidP="001325DD">
      <w:pPr>
        <w:pStyle w:val="Akapitzlist"/>
        <w:numPr>
          <w:ilvl w:val="0"/>
          <w:numId w:val="33"/>
        </w:numPr>
        <w:spacing w:after="0" w:line="360" w:lineRule="auto"/>
        <w:jc w:val="both"/>
        <w:rPr>
          <w:rFonts w:ascii="Arial" w:hAnsi="Arial" w:cs="Arial"/>
          <w:iCs/>
        </w:rPr>
      </w:pPr>
      <w:r w:rsidRPr="00527F3B">
        <w:rPr>
          <w:rFonts w:ascii="Arial" w:hAnsi="Arial" w:cs="Arial"/>
          <w:b/>
          <w:iCs/>
        </w:rPr>
        <w:t>Specjalista ds. zakupu mediów</w:t>
      </w:r>
      <w:r w:rsidRPr="00527F3B">
        <w:rPr>
          <w:rFonts w:ascii="Arial" w:hAnsi="Arial" w:cs="Arial"/>
          <w:iCs/>
        </w:rPr>
        <w:t xml:space="preserve"> – osoba, która była odpowiedzialna za przygotowanie co najmniej 2 całościowych koncepcji kampanii promujących w Internecie, w tym w mediach społecznościowych, a wartość każdej z nich wynosiła co najmniej 50 000 złotych brutto;</w:t>
      </w:r>
    </w:p>
    <w:p w14:paraId="5DB98084" w14:textId="055115E2" w:rsidR="001325DD" w:rsidRPr="00387D1A" w:rsidRDefault="001325DD" w:rsidP="001325DD">
      <w:pPr>
        <w:pStyle w:val="Akapitzlist"/>
        <w:numPr>
          <w:ilvl w:val="0"/>
          <w:numId w:val="33"/>
        </w:numPr>
        <w:spacing w:after="0" w:line="360" w:lineRule="auto"/>
        <w:jc w:val="both"/>
        <w:rPr>
          <w:rFonts w:ascii="Arial" w:hAnsi="Arial" w:cs="Arial"/>
          <w:iCs/>
        </w:rPr>
      </w:pPr>
      <w:r w:rsidRPr="00527F3B">
        <w:rPr>
          <w:rFonts w:ascii="Arial" w:hAnsi="Arial" w:cs="Arial"/>
          <w:b/>
          <w:iCs/>
        </w:rPr>
        <w:t>Specjalista ds. mediów społecznościowych</w:t>
      </w:r>
      <w:r w:rsidRPr="00527F3B">
        <w:rPr>
          <w:rFonts w:ascii="Arial" w:hAnsi="Arial" w:cs="Arial"/>
          <w:iCs/>
        </w:rPr>
        <w:t xml:space="preserve"> - osoba, która była odpowiedzialna za realizację zadań związanych z kampanią promującą w mediach społecznościowych w ramach co najmniej 2 kampanii promocyjnych w Internecie, których wartość każdorazowo (zadań wykonywanych przez specjalistę) wynosiła co najmniej 10 000 złotych brutto; </w:t>
      </w:r>
    </w:p>
    <w:p w14:paraId="30842CA8" w14:textId="1D64F581" w:rsidR="001325DD" w:rsidRPr="00387D1A" w:rsidRDefault="001325DD" w:rsidP="001325DD">
      <w:pPr>
        <w:pStyle w:val="Akapitzlist"/>
        <w:numPr>
          <w:ilvl w:val="0"/>
          <w:numId w:val="33"/>
        </w:numPr>
        <w:spacing w:after="0" w:line="360" w:lineRule="auto"/>
        <w:jc w:val="both"/>
        <w:rPr>
          <w:rFonts w:ascii="Arial" w:hAnsi="Arial" w:cs="Arial"/>
          <w:iCs/>
        </w:rPr>
      </w:pPr>
      <w:r w:rsidRPr="00387D1A">
        <w:rPr>
          <w:rFonts w:ascii="Arial" w:hAnsi="Arial" w:cs="Arial"/>
          <w:b/>
          <w:iCs/>
        </w:rPr>
        <w:t>Grafik</w:t>
      </w:r>
      <w:r w:rsidRPr="00387D1A">
        <w:rPr>
          <w:rFonts w:ascii="Arial" w:hAnsi="Arial" w:cs="Arial"/>
          <w:iCs/>
        </w:rPr>
        <w:t xml:space="preserve"> - osoba, która posiada doświadczenie w przygotowywaniu materiałów graficznych i multimedialnych na potrzeby </w:t>
      </w:r>
      <w:r w:rsidR="005E320B" w:rsidRPr="00387D1A">
        <w:rPr>
          <w:rFonts w:ascii="Arial" w:hAnsi="Arial" w:cs="Arial"/>
          <w:iCs/>
        </w:rPr>
        <w:t xml:space="preserve">3 </w:t>
      </w:r>
      <w:r w:rsidRPr="00387D1A">
        <w:rPr>
          <w:rFonts w:ascii="Arial" w:hAnsi="Arial" w:cs="Arial"/>
          <w:iCs/>
        </w:rPr>
        <w:t xml:space="preserve">kampanii promujących, w tym </w:t>
      </w:r>
      <w:r w:rsidR="005E320B" w:rsidRPr="00387D1A">
        <w:rPr>
          <w:rFonts w:ascii="Arial" w:hAnsi="Arial" w:cs="Arial"/>
          <w:iCs/>
        </w:rPr>
        <w:t>2</w:t>
      </w:r>
      <w:r w:rsidR="00387D1A">
        <w:rPr>
          <w:rFonts w:ascii="Arial" w:hAnsi="Arial" w:cs="Arial"/>
          <w:iCs/>
        </w:rPr>
        <w:t> </w:t>
      </w:r>
      <w:r w:rsidRPr="00387D1A">
        <w:rPr>
          <w:rFonts w:ascii="Arial" w:hAnsi="Arial" w:cs="Arial"/>
          <w:iCs/>
        </w:rPr>
        <w:t>przeprowadzanych w Internecie;</w:t>
      </w:r>
    </w:p>
    <w:p w14:paraId="5EE0C5D5" w14:textId="1ED2E320" w:rsidR="001325DD" w:rsidRPr="001325DD" w:rsidRDefault="001325DD" w:rsidP="001325DD">
      <w:pPr>
        <w:spacing w:after="0" w:line="360" w:lineRule="auto"/>
        <w:ind w:left="1494"/>
        <w:jc w:val="both"/>
        <w:rPr>
          <w:rFonts w:ascii="Arial" w:hAnsi="Arial" w:cs="Arial"/>
          <w:b/>
          <w:iCs/>
        </w:rPr>
      </w:pPr>
      <w:r w:rsidRPr="00387D1A">
        <w:rPr>
          <w:rFonts w:ascii="Arial" w:hAnsi="Arial" w:cs="Arial"/>
          <w:b/>
          <w:iCs/>
        </w:rPr>
        <w:lastRenderedPageBreak/>
        <w:t>Zamawiający nie dopuszcza możliwości pełnienia przez jedną osobę kilku z</w:t>
      </w:r>
      <w:r w:rsidR="00387D1A">
        <w:rPr>
          <w:rFonts w:ascii="Arial" w:hAnsi="Arial" w:cs="Arial"/>
          <w:b/>
          <w:iCs/>
        </w:rPr>
        <w:t> </w:t>
      </w:r>
      <w:r w:rsidRPr="00387D1A">
        <w:rPr>
          <w:rFonts w:ascii="Arial" w:hAnsi="Arial" w:cs="Arial"/>
          <w:b/>
          <w:iCs/>
        </w:rPr>
        <w:t>powyższych funkcji.</w:t>
      </w:r>
    </w:p>
    <w:p w14:paraId="0EB966D8"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79AB299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Wykonawca może w celu potwierdzenia spełniania warunków udziału w postępowaniu, o</w:t>
      </w:r>
      <w:r w:rsidR="00441F7E">
        <w:rPr>
          <w:rFonts w:ascii="Arial" w:hAnsi="Arial" w:cs="Arial"/>
        </w:rPr>
        <w:t> </w:t>
      </w:r>
      <w:r w:rsidRPr="001D424E">
        <w:rPr>
          <w:rFonts w:ascii="Arial" w:hAnsi="Arial" w:cs="Arial"/>
        </w:rPr>
        <w:t xml:space="preserve">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66827E7"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14:paraId="54CFA7DA"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D67355B"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B76B1C3"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538E47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44D72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sidRPr="00441F7E">
        <w:rPr>
          <w:rFonts w:ascii="Arial" w:hAnsi="Arial" w:cs="Arial"/>
        </w:rPr>
        <w:t>-</w:t>
      </w:r>
      <w:r w:rsidRPr="00441F7E">
        <w:rPr>
          <w:rFonts w:ascii="Arial" w:hAnsi="Arial" w:cs="Arial"/>
        </w:rPr>
        <w:t xml:space="preserve">22 i ust. 5 pkt 1 i 8 ustawy; </w:t>
      </w:r>
    </w:p>
    <w:p w14:paraId="7A21E03E"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0A497B3" w14:textId="77777777" w:rsidR="0048114F" w:rsidRP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z zobowiązania lub innych dokumentów potwierdzających udostępnienie zasobów przez inne podmioty musi bezspornie i jednoznacznie wynikać w szczególności: </w:t>
      </w:r>
    </w:p>
    <w:p w14:paraId="455C542A" w14:textId="77777777" w:rsidR="0048114F" w:rsidRPr="00357156" w:rsidRDefault="001D424E" w:rsidP="00B43C3B">
      <w:pPr>
        <w:pStyle w:val="Akapitzlist"/>
        <w:numPr>
          <w:ilvl w:val="0"/>
          <w:numId w:val="8"/>
        </w:numPr>
        <w:spacing w:after="0" w:line="360" w:lineRule="auto"/>
        <w:ind w:left="1701" w:hanging="425"/>
        <w:jc w:val="both"/>
        <w:rPr>
          <w:rFonts w:ascii="Arial" w:hAnsi="Arial" w:cs="Arial"/>
        </w:rPr>
      </w:pPr>
      <w:r w:rsidRPr="00357156">
        <w:rPr>
          <w:rFonts w:ascii="Arial" w:hAnsi="Arial" w:cs="Arial"/>
        </w:rPr>
        <w:t xml:space="preserve">zakres dostępnych wykonawcy zasobów innego podmiotu; </w:t>
      </w:r>
    </w:p>
    <w:p w14:paraId="0215BA8F"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sposób wykorzystania zasobów innego podmiotu, przez wykonawcę, przy wykonywaniu zamówienia; </w:t>
      </w:r>
    </w:p>
    <w:p w14:paraId="16A2C316"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zakres i okres udziału innego podmiotu przy wykonywaniu zamówienia publicznego; </w:t>
      </w:r>
    </w:p>
    <w:p w14:paraId="7D22F33D" w14:textId="77777777" w:rsidR="000A706A"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40DA709C"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w:t>
      </w:r>
      <w:r w:rsidRPr="001D424E">
        <w:rPr>
          <w:rFonts w:ascii="Arial" w:hAnsi="Arial" w:cs="Arial"/>
        </w:rPr>
        <w:lastRenderedPageBreak/>
        <w:t xml:space="preserve">publicznego. Pełnomocnictwo w formie pisemnej (oryginał lub kopia potwierdzona za zgodność z oryginałem przez notariusza) należy dołączyć do oferty. </w:t>
      </w:r>
    </w:p>
    <w:p w14:paraId="171ED77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 przypadku wykonawców wspólnie ubiegających się o udzielenie zamówienia, warunki określone w pkt 4.2.3 musi spełniać co najmniej jeden wykonawca samodzielnie lub wszyscy wykonawcy łącznie. </w:t>
      </w:r>
    </w:p>
    <w:p w14:paraId="153D561D"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wykluczy z postępowania wykonawców: </w:t>
      </w:r>
    </w:p>
    <w:p w14:paraId="6D1D5480"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193F94A9"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3736C913"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4BCCA1C9"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wykazali, spełniania warunków udziału w postępowaniu, o których mowa w</w:t>
      </w:r>
      <w:r w:rsidR="00357156">
        <w:rPr>
          <w:rFonts w:ascii="Arial" w:hAnsi="Arial" w:cs="Arial"/>
        </w:rPr>
        <w:t> pkt </w:t>
      </w:r>
      <w:r w:rsidRPr="001D424E">
        <w:rPr>
          <w:rFonts w:ascii="Arial" w:hAnsi="Arial" w:cs="Arial"/>
        </w:rPr>
        <w:t>4.2</w:t>
      </w:r>
    </w:p>
    <w:p w14:paraId="04678B97"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1362E518" w14:textId="168E23C7" w:rsidR="004A1FE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wobec których zachodzą przesłanki określone w art. 24 ust. 5 pkt 1 i 8 ustawy. </w:t>
      </w:r>
      <w:r w:rsidR="00527F3B">
        <w:rPr>
          <w:rFonts w:ascii="Arial" w:hAnsi="Arial" w:cs="Arial"/>
        </w:rPr>
        <w:br/>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710D43B2" w14:textId="77777777" w:rsidTr="00C51F0F">
        <w:trPr>
          <w:jc w:val="center"/>
        </w:trPr>
        <w:tc>
          <w:tcPr>
            <w:tcW w:w="9062" w:type="dxa"/>
            <w:shd w:val="clear" w:color="auto" w:fill="BFBFBF" w:themeFill="background1" w:themeFillShade="BF"/>
          </w:tcPr>
          <w:p w14:paraId="53FB76E6"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67116C9E" w14:textId="77777777" w:rsidTr="00C51F0F">
        <w:trPr>
          <w:jc w:val="center"/>
        </w:trPr>
        <w:tc>
          <w:tcPr>
            <w:tcW w:w="9062" w:type="dxa"/>
            <w:shd w:val="clear" w:color="auto" w:fill="BFBFBF" w:themeFill="background1" w:themeFillShade="BF"/>
          </w:tcPr>
          <w:p w14:paraId="24EB0451"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2280D765" w14:textId="77777777" w:rsidR="005015B9" w:rsidRDefault="005015B9" w:rsidP="005015B9">
      <w:pPr>
        <w:jc w:val="both"/>
        <w:rPr>
          <w:rFonts w:ascii="Arial" w:hAnsi="Arial" w:cs="Arial"/>
        </w:rPr>
      </w:pPr>
    </w:p>
    <w:p w14:paraId="43D40A0B"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3892255C"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59AFFA56"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4F238CC2"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21DBCE50"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088692C1" w14:textId="77777777" w:rsidR="000A706A"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14:paraId="2DB8B8BA" w14:textId="77777777" w:rsidR="0017178A" w:rsidRPr="0017178A" w:rsidRDefault="0017178A" w:rsidP="00B43C3B">
      <w:pPr>
        <w:pStyle w:val="Akapitzlist"/>
        <w:numPr>
          <w:ilvl w:val="0"/>
          <w:numId w:val="1"/>
        </w:numPr>
        <w:tabs>
          <w:tab w:val="left" w:pos="993"/>
        </w:tabs>
        <w:spacing w:after="0" w:line="360" w:lineRule="auto"/>
        <w:jc w:val="both"/>
        <w:rPr>
          <w:rFonts w:ascii="Arial" w:hAnsi="Arial" w:cs="Arial"/>
          <w:vanish/>
        </w:rPr>
      </w:pPr>
    </w:p>
    <w:p w14:paraId="22937D68"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0F3EBD5A"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74F2CC81"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postępowaniu oraz brak podstaw wykluczenia w zakresie, w którym każdy z</w:t>
      </w:r>
      <w:r w:rsidR="009B5FC2">
        <w:rPr>
          <w:rFonts w:ascii="Arial" w:hAnsi="Arial" w:cs="Arial"/>
        </w:rPr>
        <w:t> </w:t>
      </w:r>
      <w:r w:rsidRPr="001D424E">
        <w:rPr>
          <w:rFonts w:ascii="Arial" w:hAnsi="Arial" w:cs="Arial"/>
        </w:rPr>
        <w:t xml:space="preserve">wykonawców wykazuje spełnianie warunków udziału w postępowaniu oraz brak podstaw wykluczenia. </w:t>
      </w:r>
    </w:p>
    <w:p w14:paraId="219C7484"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A2EA4FA" w14:textId="77777777" w:rsidR="008F60C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3A7BC710"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 xml:space="preserve">przynależności lub braku przynależności do tej samej grupy kapitałowej, o której mowa w art. </w:t>
      </w:r>
      <w:r w:rsidRPr="001D424E">
        <w:rPr>
          <w:rFonts w:ascii="Arial" w:hAnsi="Arial" w:cs="Arial"/>
        </w:rPr>
        <w:lastRenderedPageBreak/>
        <w:t>24 ust. 1 pkt 23 ustawy. Wraz ze złożeniem oświadczenia, wykonawca może przedstawić dowody, że powiązania z innym wykonawcą nie prowadzą do zakłócenia konkurencji w</w:t>
      </w:r>
      <w:r w:rsidR="009B5FC2">
        <w:rPr>
          <w:rFonts w:ascii="Arial" w:hAnsi="Arial" w:cs="Arial"/>
        </w:rPr>
        <w:t> </w:t>
      </w:r>
      <w:r w:rsidRPr="001D424E">
        <w:rPr>
          <w:rFonts w:ascii="Arial" w:hAnsi="Arial" w:cs="Arial"/>
        </w:rPr>
        <w:t>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39908C27" w14:textId="77777777" w:rsidR="00851F60" w:rsidRPr="003C1AE4" w:rsidRDefault="001D424E" w:rsidP="00B43C3B">
      <w:pPr>
        <w:pStyle w:val="Akapitzlist"/>
        <w:numPr>
          <w:ilvl w:val="1"/>
          <w:numId w:val="11"/>
        </w:numPr>
        <w:spacing w:after="0" w:line="360" w:lineRule="auto"/>
        <w:ind w:left="567" w:hanging="567"/>
        <w:jc w:val="both"/>
        <w:rPr>
          <w:rFonts w:ascii="Arial" w:hAnsi="Arial" w:cs="Arial"/>
        </w:rPr>
      </w:pPr>
      <w:r w:rsidRPr="003C1AE4">
        <w:rPr>
          <w:rFonts w:ascii="Arial" w:hAnsi="Arial" w:cs="Arial"/>
        </w:rPr>
        <w:t xml:space="preserve">Dokumenty składane na wezwanie zamawiającego. </w:t>
      </w:r>
    </w:p>
    <w:p w14:paraId="795D77C0" w14:textId="77777777" w:rsidR="008F60CC" w:rsidRDefault="001D424E" w:rsidP="004F214D">
      <w:pPr>
        <w:spacing w:after="0" w:line="360" w:lineRule="auto"/>
        <w:ind w:left="567"/>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1C7FAD0"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3FEDACFE"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1C12654A"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08C499A2"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794695D8"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23EF6FF0"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33A61664"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05B5C9C2" w14:textId="2476768B" w:rsidR="00847241" w:rsidRDefault="00847241" w:rsidP="00847241">
      <w:pPr>
        <w:pStyle w:val="Akapitzlist"/>
        <w:numPr>
          <w:ilvl w:val="2"/>
          <w:numId w:val="11"/>
        </w:numPr>
        <w:tabs>
          <w:tab w:val="left" w:pos="1276"/>
        </w:tabs>
        <w:spacing w:after="0" w:line="360" w:lineRule="auto"/>
        <w:ind w:left="1276"/>
        <w:jc w:val="both"/>
        <w:rPr>
          <w:rFonts w:ascii="Arial" w:hAnsi="Arial" w:cs="Arial"/>
        </w:rPr>
      </w:pPr>
      <w:r w:rsidRPr="00847241">
        <w:rPr>
          <w:rFonts w:ascii="Arial" w:hAnsi="Arial" w:cs="Arial"/>
        </w:rPr>
        <w:t xml:space="preserve">wykazu usług wykonanych, a w przypadku świadczeń okresowych lub ciągłych również wykonywanych, w okresie ostatnich 3 lat przed </w:t>
      </w:r>
      <w:r w:rsidR="000936D9">
        <w:rPr>
          <w:rFonts w:ascii="Arial" w:hAnsi="Arial" w:cs="Arial"/>
        </w:rPr>
        <w:t>upływem terminu składania ofert</w:t>
      </w:r>
      <w:r w:rsidRPr="00847241">
        <w:rPr>
          <w:rFonts w:ascii="Arial" w:hAnsi="Arial" w:cs="Arial"/>
        </w:rPr>
        <w:t>, a jeżeli okres prowadzenia działalności jest krótszy – w tym okresie, wraz z podaniem ich wartości, przedmiotu, dat wykonania i podmiotów, na rzecz których usługi zostały wykonane, oraz załączeni</w:t>
      </w:r>
      <w:r w:rsidR="000936D9">
        <w:rPr>
          <w:rFonts w:ascii="Arial" w:hAnsi="Arial" w:cs="Arial"/>
        </w:rPr>
        <w:t>em dowodów określających czy te</w:t>
      </w:r>
      <w:r w:rsidRPr="00847241">
        <w:rPr>
          <w:rFonts w:ascii="Arial" w:hAnsi="Arial" w:cs="Arial"/>
        </w:rPr>
        <w:t xml:space="preserv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A09B945" w14:textId="1BCCA254" w:rsidR="00847241" w:rsidRDefault="00847241" w:rsidP="00847241">
      <w:pPr>
        <w:pStyle w:val="Akapitzlist"/>
        <w:numPr>
          <w:ilvl w:val="2"/>
          <w:numId w:val="11"/>
        </w:numPr>
        <w:tabs>
          <w:tab w:val="left" w:pos="1276"/>
        </w:tabs>
        <w:spacing w:after="0" w:line="360" w:lineRule="auto"/>
        <w:ind w:left="1276" w:hanging="709"/>
        <w:jc w:val="both"/>
        <w:rPr>
          <w:rFonts w:ascii="Arial" w:hAnsi="Arial" w:cs="Arial"/>
        </w:rPr>
      </w:pPr>
      <w:r w:rsidRPr="00847241">
        <w:rPr>
          <w:rFonts w:ascii="Arial" w:hAnsi="Arial" w:cs="Arial"/>
        </w:rPr>
        <w:t>wykazu osób, skierowanych przez wykonawcę do realizacji zamówienia publicznego, w</w:t>
      </w:r>
      <w:r>
        <w:rPr>
          <w:rFonts w:ascii="Arial" w:hAnsi="Arial" w:cs="Arial"/>
        </w:rPr>
        <w:t> </w:t>
      </w:r>
      <w:r w:rsidRPr="00847241">
        <w:rPr>
          <w:rFonts w:ascii="Arial" w:hAnsi="Arial" w:cs="Arial"/>
        </w:rPr>
        <w:t>szczególności odpowiedzialnych za świa</w:t>
      </w:r>
      <w:r w:rsidR="000936D9">
        <w:rPr>
          <w:rFonts w:ascii="Arial" w:hAnsi="Arial" w:cs="Arial"/>
        </w:rPr>
        <w:t>dczenie usług, kontrolę jakości</w:t>
      </w:r>
      <w:r w:rsidRPr="00847241">
        <w:rPr>
          <w:rFonts w:ascii="Arial" w:hAnsi="Arial" w:cs="Arial"/>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rPr>
        <w:t>;</w:t>
      </w:r>
    </w:p>
    <w:p w14:paraId="521562D5"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zaświadczenia właściwego naczelnika urzę</w:t>
      </w:r>
      <w:r w:rsidR="00A337DB" w:rsidRPr="004F214D">
        <w:rPr>
          <w:rFonts w:ascii="Arial" w:hAnsi="Arial" w:cs="Arial"/>
        </w:rPr>
        <w:t>du skarbowego potwierdzającego,</w:t>
      </w:r>
      <w:r w:rsidR="00357156" w:rsidRPr="004F214D">
        <w:rPr>
          <w:rFonts w:ascii="Arial" w:hAnsi="Arial" w:cs="Arial"/>
        </w:rPr>
        <w:t xml:space="preserve"> </w:t>
      </w:r>
      <w:r w:rsidRPr="004F214D">
        <w:rPr>
          <w:rFonts w:ascii="Arial" w:hAnsi="Arial" w:cs="Arial"/>
        </w:rPr>
        <w:t>że wykonawca nie zalega z opłacaniem podatków, wystawionego nie wcześniej niż 3</w:t>
      </w:r>
      <w:r w:rsidR="009B5FC2">
        <w:rPr>
          <w:rFonts w:ascii="Arial" w:hAnsi="Arial" w:cs="Arial"/>
        </w:rPr>
        <w:t> </w:t>
      </w:r>
      <w:r w:rsidRPr="004F214D">
        <w:rPr>
          <w:rFonts w:ascii="Arial" w:hAnsi="Arial" w:cs="Arial"/>
        </w:rPr>
        <w:t>miesiące przed upływem terminu składania ofert, lub inn</w:t>
      </w:r>
      <w:r w:rsidR="00A337DB" w:rsidRPr="004F214D">
        <w:rPr>
          <w:rFonts w:ascii="Arial" w:hAnsi="Arial" w:cs="Arial"/>
        </w:rPr>
        <w:t>ego dokumentu potwierdzającego,</w:t>
      </w:r>
      <w:r w:rsidR="00357156" w:rsidRPr="004F214D">
        <w:rPr>
          <w:rFonts w:ascii="Arial" w:hAnsi="Arial" w:cs="Arial"/>
        </w:rPr>
        <w:t xml:space="preserve"> </w:t>
      </w:r>
      <w:r w:rsidRPr="004F214D">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97D6C42"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4F214D">
        <w:rPr>
          <w:rFonts w:ascii="Arial" w:hAnsi="Arial" w:cs="Arial"/>
        </w:rPr>
        <w:lastRenderedPageBreak/>
        <w:t>terminu składania ofert, lub innego dokumentu potwierdzającego, że wykonawca zawarł porozumienie z właściwym organem w sprawie spłat tych należności wraz z</w:t>
      </w:r>
      <w:r w:rsidR="009B5FC2">
        <w:rPr>
          <w:rFonts w:ascii="Arial" w:hAnsi="Arial" w:cs="Arial"/>
        </w:rPr>
        <w:t> </w:t>
      </w:r>
      <w:r w:rsidRPr="004F214D">
        <w:rPr>
          <w:rFonts w:ascii="Arial" w:hAnsi="Arial" w:cs="Arial"/>
        </w:rPr>
        <w:t>ewentualnymi odsetkami lub grzywnami, w szczególności uzyskał przewidziane</w:t>
      </w:r>
      <w:r w:rsidR="008F60CC" w:rsidRPr="004F214D">
        <w:rPr>
          <w:rFonts w:ascii="Arial" w:hAnsi="Arial" w:cs="Arial"/>
        </w:rPr>
        <w:t xml:space="preserve"> </w:t>
      </w:r>
      <w:r w:rsidRPr="004F214D">
        <w:rPr>
          <w:rFonts w:ascii="Arial" w:hAnsi="Arial" w:cs="Arial"/>
        </w:rPr>
        <w:t xml:space="preserve">prawem zwolnienie, odroczenie lub rozłożenie na raty zaległych płatności lub wstrzymanie w całości wykonania decyzji właściwego organu; </w:t>
      </w:r>
    </w:p>
    <w:p w14:paraId="7BAEE282" w14:textId="77777777" w:rsidR="004F214D" w:rsidRPr="009B5FC2" w:rsidRDefault="004F214D" w:rsidP="00B43C3B">
      <w:pPr>
        <w:pStyle w:val="Akapitzlist"/>
        <w:numPr>
          <w:ilvl w:val="2"/>
          <w:numId w:val="11"/>
        </w:numPr>
        <w:tabs>
          <w:tab w:val="left" w:pos="1276"/>
        </w:tabs>
        <w:spacing w:after="0" w:line="360" w:lineRule="auto"/>
        <w:ind w:left="1276"/>
        <w:jc w:val="both"/>
        <w:rPr>
          <w:rFonts w:ascii="Arial" w:hAnsi="Arial" w:cs="Arial"/>
        </w:rPr>
      </w:pPr>
      <w:r w:rsidRPr="009B5FC2">
        <w:rPr>
          <w:rFonts w:ascii="Arial" w:hAnsi="Arial" w:cs="Arial"/>
        </w:rPr>
        <w:t>o</w:t>
      </w:r>
      <w:r w:rsidR="001D424E" w:rsidRPr="009B5FC2">
        <w:rPr>
          <w:rFonts w:ascii="Arial" w:hAnsi="Arial" w:cs="Arial"/>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14:paraId="7F34A0D0" w14:textId="77777777" w:rsidR="008F60CC" w:rsidRP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 xml:space="preserve">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10A5B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2553D592"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w:t>
      </w:r>
      <w:r w:rsidR="004F214D">
        <w:rPr>
          <w:rFonts w:ascii="Arial" w:hAnsi="Arial" w:cs="Arial"/>
        </w:rPr>
        <w:t xml:space="preserve"> </w:t>
      </w:r>
      <w:r w:rsidR="004F214D">
        <w:rPr>
          <w:rFonts w:ascii="Arial" w:hAnsi="Arial" w:cs="Arial"/>
        </w:rPr>
        <w:tab/>
      </w:r>
      <w:r w:rsidRPr="001D424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14:paraId="1C34FF55"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 xml:space="preserve">− </w:t>
      </w:r>
      <w:r w:rsidR="004F214D">
        <w:rPr>
          <w:rFonts w:ascii="Arial" w:hAnsi="Arial" w:cs="Arial"/>
        </w:rPr>
        <w:tab/>
      </w:r>
      <w:r w:rsidRPr="001D424E">
        <w:rPr>
          <w:rFonts w:ascii="Arial" w:hAnsi="Arial" w:cs="Arial"/>
        </w:rPr>
        <w:t xml:space="preserve">nie otwarto jego likwidacji ani nie ogłoszono upadłości, wystawiony nie wcześniej niż 6 miesięcy przed upływem terminu składania ofert. </w:t>
      </w:r>
    </w:p>
    <w:p w14:paraId="383429AF" w14:textId="77777777" w:rsidR="008F60CC" w:rsidRDefault="001D424E" w:rsidP="004F214D">
      <w:pPr>
        <w:spacing w:after="0" w:line="360" w:lineRule="auto"/>
        <w:ind w:left="567"/>
        <w:jc w:val="both"/>
        <w:rPr>
          <w:rFonts w:ascii="Arial" w:hAnsi="Arial" w:cs="Arial"/>
        </w:rPr>
      </w:pPr>
      <w:r w:rsidRPr="001D424E">
        <w:rPr>
          <w:rFonts w:ascii="Arial" w:hAnsi="Arial" w:cs="Arial"/>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w:t>
      </w:r>
      <w:r w:rsidR="004F214D">
        <w:rPr>
          <w:rFonts w:ascii="Arial" w:hAnsi="Arial" w:cs="Arial"/>
        </w:rPr>
        <w:t> </w:t>
      </w:r>
      <w:r w:rsidRPr="001D424E">
        <w:rPr>
          <w:rFonts w:ascii="Arial" w:hAnsi="Arial" w:cs="Arial"/>
        </w:rPr>
        <w:t xml:space="preserve">pkt 5.4 stosuje się. </w:t>
      </w:r>
    </w:p>
    <w:p w14:paraId="442FF53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w:t>
      </w:r>
      <w:r w:rsidRPr="001D424E">
        <w:rPr>
          <w:rFonts w:ascii="Arial" w:hAnsi="Arial" w:cs="Arial"/>
        </w:rPr>
        <w:lastRenderedPageBreak/>
        <w:t xml:space="preserve">lub udzielenia wyjaśnień oferta wykonawcy podlegałaby odrzuceniu albo konieczne byłoby unieważnienie postępowania. </w:t>
      </w:r>
    </w:p>
    <w:p w14:paraId="7EDE31BD" w14:textId="77777777" w:rsidR="008F60CC" w:rsidRPr="006833F6" w:rsidRDefault="001D424E" w:rsidP="00B43C3B">
      <w:pPr>
        <w:pStyle w:val="Akapitzlist"/>
        <w:numPr>
          <w:ilvl w:val="1"/>
          <w:numId w:val="11"/>
        </w:numPr>
        <w:spacing w:after="0" w:line="360" w:lineRule="auto"/>
        <w:ind w:left="567" w:hanging="567"/>
        <w:jc w:val="both"/>
        <w:rPr>
          <w:rFonts w:ascii="Arial" w:hAnsi="Arial" w:cs="Arial"/>
        </w:rPr>
      </w:pPr>
      <w:r w:rsidRPr="006833F6">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2D2710CE" w14:textId="77777777" w:rsidR="008F60CC" w:rsidRPr="00947CF3" w:rsidRDefault="001D424E" w:rsidP="00B43C3B">
      <w:pPr>
        <w:pStyle w:val="Akapitzlist"/>
        <w:numPr>
          <w:ilvl w:val="1"/>
          <w:numId w:val="11"/>
        </w:numPr>
        <w:spacing w:after="0" w:line="360" w:lineRule="auto"/>
        <w:ind w:left="567" w:hanging="567"/>
        <w:jc w:val="both"/>
        <w:rPr>
          <w:rFonts w:ascii="Arial" w:hAnsi="Arial" w:cs="Arial"/>
        </w:rPr>
      </w:pPr>
      <w:r w:rsidRPr="00947CF3">
        <w:rPr>
          <w:rFonts w:ascii="Arial" w:hAnsi="Arial" w:cs="Arial"/>
        </w:rPr>
        <w:t>W przypadku wykonawców wspólnie ubiegających się o udzielenie zamówienia oraz w</w:t>
      </w:r>
      <w:r w:rsidR="004F214D" w:rsidRPr="00947CF3">
        <w:rPr>
          <w:rFonts w:ascii="Arial" w:hAnsi="Arial" w:cs="Arial"/>
        </w:rPr>
        <w:t> </w:t>
      </w:r>
      <w:r w:rsidRPr="00947CF3">
        <w:rPr>
          <w:rFonts w:ascii="Arial" w:hAnsi="Arial" w:cs="Arial"/>
        </w:rPr>
        <w:t>przypadku innych podmiotów, na zasobach których wykonawca polega na zasadach</w:t>
      </w:r>
      <w:r w:rsidR="00947CF3" w:rsidRPr="00947CF3">
        <w:rPr>
          <w:rFonts w:ascii="Arial" w:hAnsi="Arial" w:cs="Arial"/>
        </w:rPr>
        <w:t xml:space="preserve"> określonych w art. 22a ustawy, </w:t>
      </w:r>
      <w:r w:rsidRPr="00947CF3">
        <w:rPr>
          <w:rFonts w:ascii="Arial" w:hAnsi="Arial" w:cs="Arial"/>
        </w:rPr>
        <w:t>kopie dokumentów dotyczących odpowiednio wykonawcy lub tych podmiotów, mogą być poświadczane za zgodność z oryginałem przez wykonawcę albo te podmioty albo wykonawców wspólnie ubiegających się o udzielenie zamówienia publicznego</w:t>
      </w:r>
      <w:r w:rsidR="004F214D" w:rsidRPr="00947CF3">
        <w:rPr>
          <w:rFonts w:ascii="Arial" w:hAnsi="Arial" w:cs="Arial"/>
        </w:rPr>
        <w:t xml:space="preserve"> </w:t>
      </w:r>
      <w:r w:rsidRPr="00947CF3">
        <w:rPr>
          <w:rFonts w:ascii="Arial" w:hAnsi="Arial" w:cs="Arial"/>
        </w:rPr>
        <w:t xml:space="preserve">- odpowiednio, w zakresie dokumentów, które każdego z nich dotyczą. </w:t>
      </w:r>
    </w:p>
    <w:p w14:paraId="4EBC6D1A"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Oświadczenia dotyczące wykonawcy/wykonawców występujących wspólnie i innych podmiotów, na których zdolnościach lub sytuacji polega wykonawca na zasadach określonych w art. 22a ustawy składane są w oryginale. Dokumenty inne niż oświadczenia składane są w</w:t>
      </w:r>
      <w:r w:rsidR="00947CF3">
        <w:rPr>
          <w:rFonts w:ascii="Arial" w:hAnsi="Arial" w:cs="Arial"/>
        </w:rPr>
        <w:t> </w:t>
      </w:r>
      <w:r w:rsidRPr="001D424E">
        <w:rPr>
          <w:rFonts w:ascii="Arial" w:hAnsi="Arial" w:cs="Arial"/>
        </w:rPr>
        <w:t xml:space="preserve">oryginale lub kopii poświadczonej za zgodność z oryginałem. Zobowiązanie, o którym mowa w pkt 4.5.1 i 4.5.4 należy złożyć w formie oryginału. </w:t>
      </w:r>
    </w:p>
    <w:p w14:paraId="2DB2561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Dokumenty sporządzone w języku obcym muszą być złożone wraz z tłumaczeniami na język polski. </w:t>
      </w:r>
    </w:p>
    <w:p w14:paraId="2D9E5DF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wskazania przez wykonawcę dostępności oświadczeń lub dokumentów, o</w:t>
      </w:r>
      <w:r w:rsidR="00947CF3">
        <w:rPr>
          <w:rFonts w:ascii="Arial" w:hAnsi="Arial" w:cs="Arial"/>
        </w:rPr>
        <w:t> </w:t>
      </w:r>
      <w:r w:rsidRPr="001D424E">
        <w:rPr>
          <w:rFonts w:ascii="Arial" w:hAnsi="Arial" w:cs="Arial"/>
        </w:rPr>
        <w:t>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2F86C45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6027E72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Podpisy wykonawcy na oświadczeniach i dokumentach muszą być złożone w sposób pozwalający zidentyfikować osobę podpisującą. Zaleca się opatrzenie podpisu pieczątką z</w:t>
      </w:r>
      <w:r w:rsidR="00947CF3">
        <w:rPr>
          <w:rFonts w:ascii="Arial" w:hAnsi="Arial" w:cs="Arial"/>
        </w:rPr>
        <w:t> </w:t>
      </w:r>
      <w:r w:rsidRPr="001D424E">
        <w:rPr>
          <w:rFonts w:ascii="Arial" w:hAnsi="Arial" w:cs="Arial"/>
        </w:rPr>
        <w:t xml:space="preserve">imieniem i nazwiskiem osoby podpisującej. </w:t>
      </w:r>
    </w:p>
    <w:p w14:paraId="75DB5B97"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w:t>
      </w:r>
      <w:r w:rsidRPr="001D424E">
        <w:rPr>
          <w:rFonts w:ascii="Arial" w:hAnsi="Arial" w:cs="Arial"/>
        </w:rPr>
        <w:lastRenderedPageBreak/>
        <w:t xml:space="preserve">poświadczenie może znaleźć się na jednej ze stron wraz z informacją o liczbie poświadczanych stron. </w:t>
      </w:r>
    </w:p>
    <w:p w14:paraId="7B55B84C" w14:textId="0FADB67F" w:rsidR="004266B3"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p w14:paraId="163ED2B9" w14:textId="77777777" w:rsidR="00527F3B" w:rsidRDefault="00527F3B" w:rsidP="00527F3B">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778C3B91" w14:textId="77777777" w:rsidTr="00C51F0F">
        <w:trPr>
          <w:jc w:val="center"/>
        </w:trPr>
        <w:tc>
          <w:tcPr>
            <w:tcW w:w="9062" w:type="dxa"/>
            <w:shd w:val="clear" w:color="auto" w:fill="BFBFBF" w:themeFill="background1" w:themeFillShade="BF"/>
          </w:tcPr>
          <w:p w14:paraId="228C32F9"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072E58A1" w14:textId="77777777" w:rsidTr="00C51F0F">
        <w:trPr>
          <w:jc w:val="center"/>
        </w:trPr>
        <w:tc>
          <w:tcPr>
            <w:tcW w:w="9062" w:type="dxa"/>
            <w:shd w:val="clear" w:color="auto" w:fill="BFBFBF" w:themeFill="background1" w:themeFillShade="BF"/>
          </w:tcPr>
          <w:p w14:paraId="59D623F5"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180ADE2D" w14:textId="77777777" w:rsidR="008F60CC" w:rsidRDefault="008F60CC" w:rsidP="005015B9">
      <w:pPr>
        <w:jc w:val="both"/>
        <w:rPr>
          <w:rFonts w:ascii="Arial" w:hAnsi="Arial" w:cs="Arial"/>
        </w:rPr>
      </w:pPr>
    </w:p>
    <w:p w14:paraId="73FA14F9" w14:textId="77777777" w:rsidR="004F214D" w:rsidRPr="004F214D" w:rsidRDefault="004F214D" w:rsidP="00B43C3B">
      <w:pPr>
        <w:pStyle w:val="Akapitzlist"/>
        <w:numPr>
          <w:ilvl w:val="0"/>
          <w:numId w:val="11"/>
        </w:numPr>
        <w:spacing w:after="0" w:line="360" w:lineRule="auto"/>
        <w:jc w:val="both"/>
        <w:rPr>
          <w:rFonts w:ascii="Arial" w:hAnsi="Arial" w:cs="Arial"/>
          <w:vanish/>
        </w:rPr>
      </w:pPr>
    </w:p>
    <w:p w14:paraId="5C03903D" w14:textId="77777777" w:rsidR="004F214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14:paraId="0FC150B3" w14:textId="77777777" w:rsidR="008F60CC" w:rsidRPr="00CF04D1" w:rsidRDefault="00F15E4B" w:rsidP="007E0EF4">
      <w:pPr>
        <w:pStyle w:val="Akapitzlist"/>
        <w:numPr>
          <w:ilvl w:val="1"/>
          <w:numId w:val="11"/>
        </w:numPr>
        <w:spacing w:after="0" w:line="360" w:lineRule="auto"/>
        <w:ind w:left="567" w:hanging="567"/>
        <w:jc w:val="both"/>
        <w:rPr>
          <w:rFonts w:ascii="Arial" w:hAnsi="Arial" w:cs="Arial"/>
        </w:rPr>
      </w:pPr>
      <w:r w:rsidRPr="00CF04D1">
        <w:rPr>
          <w:rFonts w:ascii="Arial" w:hAnsi="Arial" w:cs="Arial"/>
          <w:b/>
        </w:rPr>
        <w:t>Zamawiający</w:t>
      </w:r>
      <w:r w:rsidR="001D424E" w:rsidRPr="00CF04D1">
        <w:rPr>
          <w:rFonts w:ascii="Arial" w:hAnsi="Arial" w:cs="Arial"/>
          <w:b/>
        </w:rPr>
        <w:t xml:space="preserve"> </w:t>
      </w:r>
      <w:r w:rsidR="00CF04D1" w:rsidRPr="00CF04D1">
        <w:rPr>
          <w:rFonts w:ascii="Arial" w:hAnsi="Arial" w:cs="Arial"/>
          <w:b/>
        </w:rPr>
        <w:t xml:space="preserve">nie </w:t>
      </w:r>
      <w:r w:rsidR="001D424E" w:rsidRPr="00CF04D1">
        <w:rPr>
          <w:rFonts w:ascii="Arial" w:hAnsi="Arial" w:cs="Arial"/>
          <w:b/>
        </w:rPr>
        <w:t>dopuszcza możliwości składania ofert częściowych</w:t>
      </w:r>
      <w:r w:rsidR="00386297" w:rsidRPr="00CF04D1">
        <w:rPr>
          <w:rFonts w:ascii="Arial" w:hAnsi="Arial" w:cs="Arial"/>
        </w:rPr>
        <w:t>.</w:t>
      </w:r>
    </w:p>
    <w:p w14:paraId="0641A30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nie dopuszcza możliwości złożenia oferty wariantowej. </w:t>
      </w:r>
    </w:p>
    <w:p w14:paraId="1F17AEF1" w14:textId="77777777" w:rsidR="008F60CC" w:rsidRPr="00387D1A"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musi być </w:t>
      </w:r>
      <w:r w:rsidRPr="00387D1A">
        <w:rPr>
          <w:rFonts w:ascii="Arial" w:hAnsi="Arial" w:cs="Arial"/>
        </w:rPr>
        <w:t>sporządzona z zachowaniem formy pisemnej pod rygorem nieważności.</w:t>
      </w:r>
    </w:p>
    <w:p w14:paraId="6A9F08E6" w14:textId="77777777" w:rsidR="00620B3B" w:rsidRPr="00387D1A" w:rsidRDefault="001D424E" w:rsidP="00620B3B">
      <w:pPr>
        <w:pStyle w:val="Akapitzlist"/>
        <w:numPr>
          <w:ilvl w:val="1"/>
          <w:numId w:val="11"/>
        </w:numPr>
        <w:spacing w:after="0" w:line="360" w:lineRule="auto"/>
        <w:ind w:left="567" w:hanging="567"/>
        <w:jc w:val="both"/>
        <w:rPr>
          <w:rFonts w:ascii="Arial" w:hAnsi="Arial" w:cs="Arial"/>
        </w:rPr>
      </w:pPr>
      <w:r w:rsidRPr="00387D1A">
        <w:rPr>
          <w:rFonts w:ascii="Arial" w:hAnsi="Arial" w:cs="Arial"/>
        </w:rPr>
        <w:t xml:space="preserve">Treść oferty musi być zgodna z treścią SIWZ. </w:t>
      </w:r>
    </w:p>
    <w:p w14:paraId="49229445" w14:textId="031E20E2" w:rsidR="00AD132B" w:rsidRDefault="001D424E" w:rsidP="009A26B8">
      <w:pPr>
        <w:pStyle w:val="Akapitzlist"/>
        <w:numPr>
          <w:ilvl w:val="1"/>
          <w:numId w:val="11"/>
        </w:numPr>
        <w:spacing w:after="0" w:line="360" w:lineRule="auto"/>
        <w:ind w:left="567" w:hanging="567"/>
        <w:jc w:val="both"/>
        <w:rPr>
          <w:rFonts w:ascii="Arial" w:hAnsi="Arial" w:cs="Arial"/>
          <w:b/>
        </w:rPr>
      </w:pPr>
      <w:r w:rsidRPr="00387D1A">
        <w:rPr>
          <w:rFonts w:ascii="Arial" w:hAnsi="Arial" w:cs="Arial"/>
          <w:b/>
        </w:rPr>
        <w:t xml:space="preserve">Oferta (wraz z załącznikami) musi być sporządzona w sposób czytelny. </w:t>
      </w:r>
      <w:r w:rsidR="00AD132B" w:rsidRPr="00387D1A">
        <w:rPr>
          <w:rFonts w:ascii="Arial" w:hAnsi="Arial" w:cs="Arial"/>
          <w:b/>
        </w:rPr>
        <w:t xml:space="preserve">Do oferty Wykonawca </w:t>
      </w:r>
      <w:r w:rsidR="00E31237" w:rsidRPr="00387D1A">
        <w:rPr>
          <w:rFonts w:ascii="Arial" w:hAnsi="Arial" w:cs="Arial"/>
          <w:b/>
        </w:rPr>
        <w:t xml:space="preserve">zobowiązany jest </w:t>
      </w:r>
      <w:r w:rsidR="00AD132B" w:rsidRPr="00387D1A">
        <w:rPr>
          <w:rFonts w:ascii="Arial" w:hAnsi="Arial" w:cs="Arial"/>
          <w:b/>
        </w:rPr>
        <w:t>za</w:t>
      </w:r>
      <w:r w:rsidR="009A26B8" w:rsidRPr="00387D1A">
        <w:rPr>
          <w:rFonts w:ascii="Arial" w:hAnsi="Arial" w:cs="Arial"/>
          <w:b/>
        </w:rPr>
        <w:t>łączy</w:t>
      </w:r>
      <w:r w:rsidR="00E31237" w:rsidRPr="00387D1A">
        <w:rPr>
          <w:rFonts w:ascii="Arial" w:hAnsi="Arial" w:cs="Arial"/>
          <w:b/>
        </w:rPr>
        <w:t>ć</w:t>
      </w:r>
      <w:r w:rsidR="009A26B8" w:rsidRPr="00387D1A">
        <w:rPr>
          <w:rFonts w:ascii="Arial" w:hAnsi="Arial" w:cs="Arial"/>
          <w:b/>
        </w:rPr>
        <w:t xml:space="preserve"> </w:t>
      </w:r>
      <w:r w:rsidR="005E320B" w:rsidRPr="00387D1A">
        <w:rPr>
          <w:rFonts w:ascii="Arial" w:hAnsi="Arial" w:cs="Arial"/>
          <w:b/>
        </w:rPr>
        <w:t xml:space="preserve">ogólny </w:t>
      </w:r>
      <w:r w:rsidR="009A26B8" w:rsidRPr="00387D1A">
        <w:rPr>
          <w:rFonts w:ascii="Arial" w:hAnsi="Arial" w:cs="Arial"/>
          <w:b/>
        </w:rPr>
        <w:t>zarys strategii kampanii oraz l</w:t>
      </w:r>
      <w:r w:rsidR="00AD132B" w:rsidRPr="00387D1A">
        <w:rPr>
          <w:rFonts w:ascii="Arial" w:hAnsi="Arial" w:cs="Arial"/>
          <w:b/>
        </w:rPr>
        <w:t xml:space="preserve">inię kreacyjną (big idea, określenie przekazu) opartą na zaproponowanym haśle kampanii. </w:t>
      </w:r>
    </w:p>
    <w:p w14:paraId="65E65C41" w14:textId="0C955721" w:rsidR="005350D0" w:rsidRPr="00387D1A" w:rsidRDefault="005350D0" w:rsidP="005350D0">
      <w:pPr>
        <w:pStyle w:val="Akapitzlist"/>
        <w:spacing w:after="0" w:line="360" w:lineRule="auto"/>
        <w:ind w:left="567"/>
        <w:jc w:val="both"/>
        <w:rPr>
          <w:rFonts w:ascii="Arial" w:hAnsi="Arial" w:cs="Arial"/>
          <w:b/>
        </w:rPr>
      </w:pPr>
      <w:r w:rsidRPr="005350D0">
        <w:rPr>
          <w:rFonts w:ascii="Arial" w:hAnsi="Arial" w:cs="Arial"/>
          <w:b/>
        </w:rPr>
        <w:t>Próbki o których mowa powyżej, składane są w celu ich oceny w ramach kryterium poza cenowego i nie będą traktowane jako tzw. „dokumenty przedmiotowe” w rozumieniu art. 25 ust. 1 pkt 2 ustawy PZP  – tym samym nie podlegają uzupełnieniu w trybie art. 26 ust. 3 ustawy PZP.</w:t>
      </w:r>
    </w:p>
    <w:p w14:paraId="2ED4407E" w14:textId="77777777" w:rsidR="008F60CC" w:rsidRPr="00387D1A" w:rsidRDefault="001D424E" w:rsidP="00B43C3B">
      <w:pPr>
        <w:pStyle w:val="Akapitzlist"/>
        <w:numPr>
          <w:ilvl w:val="1"/>
          <w:numId w:val="11"/>
        </w:numPr>
        <w:spacing w:after="0" w:line="360" w:lineRule="auto"/>
        <w:ind w:left="567" w:hanging="567"/>
        <w:jc w:val="both"/>
        <w:rPr>
          <w:rFonts w:ascii="Arial" w:hAnsi="Arial" w:cs="Arial"/>
        </w:rPr>
      </w:pPr>
      <w:r w:rsidRPr="00387D1A">
        <w:rPr>
          <w:rFonts w:ascii="Arial" w:hAnsi="Arial" w:cs="Arial"/>
        </w:rPr>
        <w:t xml:space="preserve">Wszelkie zmiany naniesione przez wykonawcę w treści oferty po jej sporządzeniu muszą być parafowane przez wykonawcę. </w:t>
      </w:r>
    </w:p>
    <w:p w14:paraId="1FBAEC08" w14:textId="77777777" w:rsidR="008F60CC" w:rsidRPr="00387D1A" w:rsidRDefault="001D424E" w:rsidP="00B43C3B">
      <w:pPr>
        <w:pStyle w:val="Akapitzlist"/>
        <w:numPr>
          <w:ilvl w:val="1"/>
          <w:numId w:val="11"/>
        </w:numPr>
        <w:spacing w:after="0" w:line="360" w:lineRule="auto"/>
        <w:ind w:left="567" w:hanging="567"/>
        <w:jc w:val="both"/>
        <w:rPr>
          <w:rFonts w:ascii="Arial" w:hAnsi="Arial" w:cs="Arial"/>
        </w:rPr>
      </w:pPr>
      <w:r w:rsidRPr="00387D1A">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14:paraId="60FDA29B"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387D1A">
        <w:rPr>
          <w:rFonts w:ascii="Arial" w:hAnsi="Arial" w:cs="Arial"/>
        </w:rPr>
        <w:t>Jeżeli osoba (osoby) podpisująca ofertę (reprezentująca</w:t>
      </w:r>
      <w:r w:rsidRPr="001D424E">
        <w:rPr>
          <w:rFonts w:ascii="Arial" w:hAnsi="Arial" w:cs="Arial"/>
        </w:rPr>
        <w:t xml:space="preserve"> wykonawcę lub wykonawców występujących wspólnie) działa na podstawie pełnomocnictwa, pełnomocnictwo to w formie oryginału lub kopii poświadczonej za zgodność z oryginałem przez notariusza musi zostać dołączone do oferty. </w:t>
      </w:r>
    </w:p>
    <w:p w14:paraId="7D53FAE2"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19CCA37E"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ponosi wszelkie koszty związane z przygotowaniem i złożeniem oferty. </w:t>
      </w:r>
    </w:p>
    <w:p w14:paraId="5AA8E81F"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strony oferty były trwale ze sobą połączone i kolejno ponumerowane. </w:t>
      </w:r>
    </w:p>
    <w:p w14:paraId="1CDDD4D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14:paraId="053A0A74"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gdy informacje zawarte w ofercie stanowią tajemnicę przedsiębiorstwa w</w:t>
      </w:r>
      <w:r w:rsidR="00357156">
        <w:rPr>
          <w:rFonts w:ascii="Arial" w:hAnsi="Arial" w:cs="Arial"/>
        </w:rPr>
        <w:t> </w:t>
      </w:r>
      <w:r w:rsidRPr="001D424E">
        <w:rPr>
          <w:rFonts w:ascii="Arial" w:hAnsi="Arial" w:cs="Arial"/>
        </w:rPr>
        <w:t xml:space="preserve">rozumieniu przepisów ustawy o zwalczaniu nieuczciwej konkurencji, co do których </w:t>
      </w:r>
      <w:r w:rsidRPr="001D424E">
        <w:rPr>
          <w:rFonts w:ascii="Arial" w:hAnsi="Arial" w:cs="Arial"/>
        </w:rPr>
        <w:lastRenderedPageBreak/>
        <w:t xml:space="preserve">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Pr="001D424E">
        <w:rPr>
          <w:rFonts w:ascii="Arial" w:hAnsi="Arial" w:cs="Arial"/>
        </w:rPr>
        <w:t xml:space="preserve">o zwalczaniu nieuczciwej konkurencji”. </w:t>
      </w:r>
    </w:p>
    <w:p w14:paraId="1EAFC448" w14:textId="77777777" w:rsidR="008F60CC" w:rsidRDefault="001D424E" w:rsidP="00485588">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5809C437"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ma charakter techniczny, technologiczny, organizacyjny przedsiębiorstwa lub jest to inna informacja mająca wartość gospodarczą, </w:t>
      </w:r>
      <w:r w:rsidR="008F60CC">
        <w:rPr>
          <w:rFonts w:ascii="Arial" w:hAnsi="Arial" w:cs="Arial"/>
        </w:rPr>
        <w:tab/>
      </w:r>
    </w:p>
    <w:p w14:paraId="09B94574"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nie została ujawniona do wiadomości publicznej, </w:t>
      </w:r>
    </w:p>
    <w:p w14:paraId="23AA33F5"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5397F6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Na potrzeby oceny ofert</w:t>
      </w:r>
      <w:r w:rsidR="008E73EC">
        <w:rPr>
          <w:rFonts w:ascii="Arial" w:hAnsi="Arial" w:cs="Arial"/>
        </w:rPr>
        <w:t>,</w:t>
      </w:r>
      <w:r w:rsidRPr="001D424E">
        <w:rPr>
          <w:rFonts w:ascii="Arial" w:hAnsi="Arial" w:cs="Arial"/>
        </w:rPr>
        <w:t xml:space="preserve"> oferta musi zawierać: </w:t>
      </w:r>
    </w:p>
    <w:p w14:paraId="07C72578"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Formularz Ofertowy sporządzony i wypełn</w:t>
      </w:r>
      <w:r w:rsidR="003964DB">
        <w:rPr>
          <w:rFonts w:ascii="Arial" w:hAnsi="Arial" w:cs="Arial"/>
        </w:rPr>
        <w:t>iony według wzoru stanowiącego z</w:t>
      </w:r>
      <w:r w:rsidRPr="001D424E">
        <w:rPr>
          <w:rFonts w:ascii="Arial" w:hAnsi="Arial" w:cs="Arial"/>
        </w:rPr>
        <w:t xml:space="preserve">ałącznik </w:t>
      </w:r>
      <w:r w:rsidR="00C37636">
        <w:rPr>
          <w:rFonts w:ascii="Arial" w:hAnsi="Arial" w:cs="Arial"/>
        </w:rPr>
        <w:t xml:space="preserve">nr 3 </w:t>
      </w:r>
      <w:r w:rsidRPr="001D424E">
        <w:rPr>
          <w:rFonts w:ascii="Arial" w:hAnsi="Arial" w:cs="Arial"/>
        </w:rPr>
        <w:t xml:space="preserve">do SIWZ, </w:t>
      </w:r>
    </w:p>
    <w:p w14:paraId="7DF530C6" w14:textId="77777777" w:rsidR="007B725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do SIWZ,</w:t>
      </w:r>
    </w:p>
    <w:p w14:paraId="425D275F" w14:textId="77777777" w:rsidR="008F60CC" w:rsidRDefault="00485588" w:rsidP="00B43C3B">
      <w:pPr>
        <w:pStyle w:val="Akapitzlist"/>
        <w:numPr>
          <w:ilvl w:val="2"/>
          <w:numId w:val="11"/>
        </w:numPr>
        <w:tabs>
          <w:tab w:val="left" w:pos="1276"/>
        </w:tabs>
        <w:spacing w:after="0" w:line="360" w:lineRule="auto"/>
        <w:ind w:left="1276"/>
        <w:jc w:val="both"/>
        <w:rPr>
          <w:rFonts w:ascii="Arial" w:hAnsi="Arial" w:cs="Arial"/>
        </w:rPr>
      </w:pPr>
      <w:r>
        <w:rPr>
          <w:rFonts w:ascii="Arial" w:hAnsi="Arial" w:cs="Arial"/>
        </w:rPr>
        <w:t>p</w:t>
      </w:r>
      <w:r w:rsidR="001D424E" w:rsidRPr="001D424E">
        <w:rPr>
          <w:rFonts w:ascii="Arial" w:hAnsi="Arial" w:cs="Arial"/>
        </w:rPr>
        <w:t xml:space="preserve">ełnomocnictwo do reprezentowania wykonawcy (wykonawców występujących wspólnie), o ile ofertę składa pełnomocnik, </w:t>
      </w:r>
    </w:p>
    <w:p w14:paraId="0ABC42B4" w14:textId="77777777" w:rsidR="006C3C7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7357A909"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14:paraId="04FCC093"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Na kopercie/opakowaniu należy umieścić następujące oznaczenia: </w:t>
      </w:r>
    </w:p>
    <w:p w14:paraId="6F747615"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nazwa, adres, numer telefonu, faksu, adres e-mail wykonawcy, </w:t>
      </w:r>
    </w:p>
    <w:p w14:paraId="61E2E3AF"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Ministerstwo </w:t>
      </w:r>
      <w:r w:rsidR="0048114F" w:rsidRPr="00485588">
        <w:rPr>
          <w:rFonts w:ascii="Arial" w:hAnsi="Arial" w:cs="Arial"/>
        </w:rPr>
        <w:t>Zdrowia</w:t>
      </w:r>
      <w:r w:rsidRPr="00485588">
        <w:rPr>
          <w:rFonts w:ascii="Arial" w:hAnsi="Arial" w:cs="Arial"/>
        </w:rPr>
        <w:t xml:space="preserve">, </w:t>
      </w:r>
      <w:r w:rsidR="0048114F" w:rsidRPr="00485588">
        <w:rPr>
          <w:rFonts w:ascii="Arial" w:hAnsi="Arial" w:cs="Arial"/>
        </w:rPr>
        <w:t xml:space="preserve">Kancelaria pok. Nr </w:t>
      </w:r>
      <w:r w:rsidR="007A4CBF" w:rsidRPr="00485588">
        <w:rPr>
          <w:rFonts w:ascii="Arial" w:hAnsi="Arial" w:cs="Arial"/>
        </w:rPr>
        <w:t>1</w:t>
      </w:r>
      <w:r w:rsidR="0048114F" w:rsidRPr="00485588">
        <w:rPr>
          <w:rFonts w:ascii="Arial" w:hAnsi="Arial" w:cs="Arial"/>
        </w:rPr>
        <w:t>3</w:t>
      </w:r>
      <w:r w:rsidRPr="00485588">
        <w:rPr>
          <w:rFonts w:ascii="Arial" w:hAnsi="Arial" w:cs="Arial"/>
        </w:rPr>
        <w:t xml:space="preserve">, </w:t>
      </w:r>
      <w:r w:rsidR="0048114F" w:rsidRPr="00485588">
        <w:rPr>
          <w:rFonts w:ascii="Arial" w:hAnsi="Arial" w:cs="Arial"/>
        </w:rPr>
        <w:t>ul. Miodowa 15</w:t>
      </w:r>
      <w:r w:rsidRPr="00485588">
        <w:rPr>
          <w:rFonts w:ascii="Arial" w:hAnsi="Arial" w:cs="Arial"/>
        </w:rPr>
        <w:t>, 00-</w:t>
      </w:r>
      <w:r w:rsidR="0048114F" w:rsidRPr="00485588">
        <w:rPr>
          <w:rFonts w:ascii="Arial" w:hAnsi="Arial" w:cs="Arial"/>
        </w:rPr>
        <w:t>952</w:t>
      </w:r>
      <w:r w:rsidRPr="00485588">
        <w:rPr>
          <w:rFonts w:ascii="Arial" w:hAnsi="Arial" w:cs="Arial"/>
        </w:rPr>
        <w:t xml:space="preserve"> Warszawa</w:t>
      </w:r>
    </w:p>
    <w:p w14:paraId="5845ABAE" w14:textId="6077E748" w:rsidR="00485588" w:rsidRPr="00485588" w:rsidRDefault="004E7FF5" w:rsidP="00D3340E">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OFERTA </w:t>
      </w:r>
      <w:r w:rsidRPr="00485588">
        <w:rPr>
          <w:rFonts w:ascii="Arial" w:hAnsi="Arial" w:cs="Arial"/>
          <w:b/>
          <w:i/>
        </w:rPr>
        <w:t xml:space="preserve">– </w:t>
      </w:r>
      <w:r w:rsidR="00C37636" w:rsidRPr="00485588">
        <w:rPr>
          <w:rStyle w:val="Wyrnieniedelikatne"/>
          <w:color w:val="auto"/>
        </w:rPr>
        <w:t xml:space="preserve"> </w:t>
      </w:r>
      <w:r w:rsidR="00D3340E" w:rsidRPr="00D3340E">
        <w:rPr>
          <w:rStyle w:val="Wyrnieniedelikatne"/>
          <w:rFonts w:ascii="Arial" w:hAnsi="Arial" w:cs="Arial"/>
          <w:b/>
          <w:color w:val="auto"/>
          <w:u w:val="single"/>
        </w:rPr>
        <w:t xml:space="preserve">Opracowanie i realizacja ogólnopolskiej kampanii promującej działania i efekty w ramach </w:t>
      </w:r>
      <w:proofErr w:type="spellStart"/>
      <w:r w:rsidR="00D3340E" w:rsidRPr="00D3340E">
        <w:rPr>
          <w:rStyle w:val="Wyrnieniedelikatne"/>
          <w:rFonts w:ascii="Arial" w:hAnsi="Arial" w:cs="Arial"/>
          <w:b/>
          <w:color w:val="auto"/>
          <w:u w:val="single"/>
        </w:rPr>
        <w:t>POIiŚ</w:t>
      </w:r>
      <w:proofErr w:type="spellEnd"/>
      <w:r w:rsidR="00D3340E" w:rsidRPr="00D3340E">
        <w:rPr>
          <w:rStyle w:val="Wyrnieniedelikatne"/>
          <w:rFonts w:ascii="Arial" w:hAnsi="Arial" w:cs="Arial"/>
          <w:b/>
          <w:color w:val="auto"/>
          <w:u w:val="single"/>
        </w:rPr>
        <w:t xml:space="preserve"> i POWER</w:t>
      </w:r>
      <w:r w:rsidR="00AF5453">
        <w:rPr>
          <w:rStyle w:val="Wyrnieniedelikatne"/>
          <w:rFonts w:ascii="Arial" w:hAnsi="Arial" w:cs="Arial"/>
          <w:b/>
          <w:color w:val="auto"/>
        </w:rPr>
        <w:t xml:space="preserve"> </w:t>
      </w:r>
      <w:r w:rsidR="002F7E74" w:rsidRPr="00485588">
        <w:rPr>
          <w:rFonts w:ascii="Arial" w:eastAsia="Times New Roman" w:hAnsi="Arial" w:cs="Arial"/>
          <w:lang w:eastAsia="pl-PL"/>
        </w:rPr>
        <w:t xml:space="preserve">(znak </w:t>
      </w:r>
      <w:r w:rsidR="0005280C" w:rsidRPr="00485588">
        <w:rPr>
          <w:rFonts w:ascii="Arial" w:eastAsia="Times New Roman" w:hAnsi="Arial" w:cs="Arial"/>
          <w:lang w:eastAsia="pl-PL"/>
        </w:rPr>
        <w:t>p</w:t>
      </w:r>
      <w:r w:rsidR="002F7E74" w:rsidRPr="00485588">
        <w:rPr>
          <w:rFonts w:ascii="Arial" w:eastAsia="Times New Roman" w:hAnsi="Arial" w:cs="Arial"/>
          <w:lang w:eastAsia="pl-PL"/>
        </w:rPr>
        <w:t>ostępowania</w:t>
      </w:r>
      <w:r w:rsidR="00AF5453">
        <w:rPr>
          <w:rFonts w:ascii="Arial" w:eastAsia="Times New Roman" w:hAnsi="Arial" w:cs="Arial"/>
          <w:lang w:eastAsia="pl-PL"/>
        </w:rPr>
        <w:t xml:space="preserve"> </w:t>
      </w:r>
      <w:r w:rsidR="00B16644" w:rsidRPr="00485588">
        <w:rPr>
          <w:rFonts w:ascii="Arial" w:eastAsia="Times New Roman" w:hAnsi="Arial" w:cs="Arial"/>
          <w:b/>
          <w:lang w:eastAsia="pl-PL"/>
        </w:rPr>
        <w:t>FGZ</w:t>
      </w:r>
      <w:r w:rsidR="008041C4" w:rsidRPr="00485588">
        <w:rPr>
          <w:rFonts w:ascii="Arial" w:eastAsia="Times New Roman" w:hAnsi="Arial" w:cs="Arial"/>
          <w:b/>
          <w:lang w:eastAsia="pl-PL"/>
        </w:rPr>
        <w:t>.270.</w:t>
      </w:r>
      <w:r w:rsidR="00D3340E">
        <w:rPr>
          <w:rFonts w:ascii="Arial" w:eastAsia="Times New Roman" w:hAnsi="Arial" w:cs="Arial"/>
          <w:b/>
          <w:lang w:eastAsia="pl-PL"/>
        </w:rPr>
        <w:t>31</w:t>
      </w:r>
      <w:r w:rsidR="006C3C72" w:rsidRPr="00485588">
        <w:rPr>
          <w:rFonts w:ascii="Arial" w:eastAsia="Times New Roman" w:hAnsi="Arial" w:cs="Arial"/>
          <w:b/>
          <w:lang w:eastAsia="pl-PL"/>
        </w:rPr>
        <w:t>.201</w:t>
      </w:r>
      <w:r w:rsidR="00702345" w:rsidRPr="00485588">
        <w:rPr>
          <w:rFonts w:ascii="Arial" w:eastAsia="Times New Roman" w:hAnsi="Arial" w:cs="Arial"/>
          <w:b/>
          <w:lang w:eastAsia="pl-PL"/>
        </w:rPr>
        <w:t>8</w:t>
      </w:r>
      <w:r w:rsidR="002F7E74" w:rsidRPr="00485588">
        <w:rPr>
          <w:rFonts w:ascii="Arial" w:eastAsia="Times New Roman" w:hAnsi="Arial" w:cs="Arial"/>
          <w:b/>
          <w:lang w:eastAsia="pl-PL"/>
        </w:rPr>
        <w:t>.</w:t>
      </w:r>
      <w:r w:rsidR="00485588">
        <w:rPr>
          <w:rFonts w:ascii="Arial" w:eastAsia="Times New Roman" w:hAnsi="Arial" w:cs="Arial"/>
          <w:b/>
          <w:lang w:eastAsia="pl-PL"/>
        </w:rPr>
        <w:t>SB</w:t>
      </w:r>
      <w:r w:rsidR="002F7E74" w:rsidRPr="00485588">
        <w:rPr>
          <w:rFonts w:ascii="Arial" w:eastAsia="Times New Roman" w:hAnsi="Arial" w:cs="Arial"/>
          <w:lang w:eastAsia="pl-PL"/>
        </w:rPr>
        <w:t>)</w:t>
      </w:r>
    </w:p>
    <w:p w14:paraId="03D81CC3" w14:textId="46267E02" w:rsidR="00DF31FF" w:rsidRDefault="00C37636"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Nie otwierać przed </w:t>
      </w:r>
      <w:r w:rsidR="003E5529" w:rsidRPr="00485588">
        <w:rPr>
          <w:rFonts w:ascii="Arial" w:hAnsi="Arial" w:cs="Arial"/>
        </w:rPr>
        <w:t xml:space="preserve">dniem </w:t>
      </w:r>
      <w:r w:rsidR="00CB72A3">
        <w:rPr>
          <w:rFonts w:ascii="Arial" w:hAnsi="Arial" w:cs="Arial"/>
          <w:b/>
        </w:rPr>
        <w:t xml:space="preserve">29 czerwca </w:t>
      </w:r>
      <w:r w:rsidR="006C3C72" w:rsidRPr="00485588">
        <w:rPr>
          <w:rFonts w:ascii="Arial" w:hAnsi="Arial" w:cs="Arial"/>
          <w:b/>
        </w:rPr>
        <w:t>201</w:t>
      </w:r>
      <w:r w:rsidR="00B16644" w:rsidRPr="00485588">
        <w:rPr>
          <w:rFonts w:ascii="Arial" w:hAnsi="Arial" w:cs="Arial"/>
          <w:b/>
        </w:rPr>
        <w:t>8</w:t>
      </w:r>
      <w:r w:rsidR="001D424E" w:rsidRPr="00485588">
        <w:rPr>
          <w:rFonts w:ascii="Arial" w:hAnsi="Arial" w:cs="Arial"/>
          <w:b/>
        </w:rPr>
        <w:t xml:space="preserve"> r.</w:t>
      </w:r>
      <w:r w:rsidR="00651B91">
        <w:rPr>
          <w:rFonts w:ascii="Arial" w:hAnsi="Arial" w:cs="Arial"/>
        </w:rPr>
        <w:t xml:space="preserve"> do godz. </w:t>
      </w:r>
      <w:r w:rsidR="00651B91" w:rsidRPr="00D3340E">
        <w:rPr>
          <w:rFonts w:ascii="Arial" w:hAnsi="Arial" w:cs="Arial"/>
          <w:b/>
        </w:rPr>
        <w:t>1</w:t>
      </w:r>
      <w:r w:rsidR="00CB72A3">
        <w:rPr>
          <w:rFonts w:ascii="Arial" w:hAnsi="Arial" w:cs="Arial"/>
          <w:b/>
        </w:rPr>
        <w:t>0</w:t>
      </w:r>
      <w:r w:rsidR="001D424E" w:rsidRPr="00D3340E">
        <w:rPr>
          <w:rFonts w:ascii="Arial" w:hAnsi="Arial" w:cs="Arial"/>
          <w:b/>
        </w:rPr>
        <w:t>:</w:t>
      </w:r>
      <w:r w:rsidR="00096D81" w:rsidRPr="00D3340E">
        <w:rPr>
          <w:rFonts w:ascii="Arial" w:hAnsi="Arial" w:cs="Arial"/>
          <w:b/>
        </w:rPr>
        <w:t>3</w:t>
      </w:r>
      <w:r w:rsidR="001D424E" w:rsidRPr="00D3340E">
        <w:rPr>
          <w:rFonts w:ascii="Arial" w:hAnsi="Arial" w:cs="Arial"/>
          <w:b/>
        </w:rPr>
        <w:t>0.</w:t>
      </w:r>
      <w:r w:rsidR="001D424E" w:rsidRPr="00485588">
        <w:rPr>
          <w:rFonts w:ascii="Arial" w:hAnsi="Arial" w:cs="Arial"/>
        </w:rPr>
        <w:t xml:space="preserve"> </w:t>
      </w:r>
    </w:p>
    <w:p w14:paraId="049930D8" w14:textId="77777777" w:rsidR="00527F3B" w:rsidRPr="00485588" w:rsidRDefault="00527F3B" w:rsidP="00527F3B">
      <w:pPr>
        <w:pStyle w:val="Akapitzlist"/>
        <w:tabs>
          <w:tab w:val="left" w:pos="1276"/>
        </w:tabs>
        <w:spacing w:after="0" w:line="360" w:lineRule="auto"/>
        <w:ind w:left="1276"/>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2964D9B3" w14:textId="77777777" w:rsidTr="00C51F0F">
        <w:trPr>
          <w:jc w:val="center"/>
        </w:trPr>
        <w:tc>
          <w:tcPr>
            <w:tcW w:w="9062" w:type="dxa"/>
            <w:shd w:val="clear" w:color="auto" w:fill="BFBFBF" w:themeFill="background1" w:themeFillShade="BF"/>
          </w:tcPr>
          <w:p w14:paraId="14D4238F"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36CAFB99" w14:textId="77777777" w:rsidTr="00C51F0F">
        <w:trPr>
          <w:jc w:val="center"/>
        </w:trPr>
        <w:tc>
          <w:tcPr>
            <w:tcW w:w="9062" w:type="dxa"/>
            <w:shd w:val="clear" w:color="auto" w:fill="BFBFBF" w:themeFill="background1" w:themeFillShade="BF"/>
          </w:tcPr>
          <w:p w14:paraId="1D007D13"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2422F12E" w14:textId="77777777" w:rsidR="00B364B2" w:rsidRDefault="00B364B2" w:rsidP="005015B9">
      <w:pPr>
        <w:jc w:val="both"/>
        <w:rPr>
          <w:rFonts w:ascii="Arial" w:hAnsi="Arial" w:cs="Arial"/>
        </w:rPr>
      </w:pPr>
    </w:p>
    <w:p w14:paraId="6B8B27F5"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5488CF53" w14:textId="54B2059C"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Ofertę wraz z dokumentami, o których mowa w Rozdziale 5 należy złożyć w terminie do dnia</w:t>
      </w:r>
      <w:r w:rsidR="00B20086">
        <w:rPr>
          <w:rFonts w:ascii="Arial" w:hAnsi="Arial" w:cs="Arial"/>
        </w:rPr>
        <w:br/>
      </w:r>
      <w:r w:rsidR="00CB72A3">
        <w:rPr>
          <w:rFonts w:ascii="Arial" w:hAnsi="Arial" w:cs="Arial"/>
          <w:b/>
        </w:rPr>
        <w:t xml:space="preserve">29 czerwca </w:t>
      </w:r>
      <w:r w:rsidR="00B16644" w:rsidRPr="006833F6">
        <w:rPr>
          <w:rFonts w:ascii="Arial" w:hAnsi="Arial" w:cs="Arial"/>
          <w:b/>
        </w:rPr>
        <w:t>2018 r.</w:t>
      </w:r>
      <w:r w:rsidRPr="006833F6">
        <w:rPr>
          <w:rFonts w:ascii="Arial" w:hAnsi="Arial" w:cs="Arial"/>
          <w:b/>
        </w:rPr>
        <w:t xml:space="preserve"> do godziny 1</w:t>
      </w:r>
      <w:r w:rsidR="00CB72A3">
        <w:rPr>
          <w:rFonts w:ascii="Arial" w:hAnsi="Arial" w:cs="Arial"/>
          <w:b/>
        </w:rPr>
        <w:t>0</w:t>
      </w:r>
      <w:r w:rsidRPr="006833F6">
        <w:rPr>
          <w:rFonts w:ascii="Arial" w:hAnsi="Arial" w:cs="Arial"/>
          <w:b/>
        </w:rPr>
        <w:t>:00</w:t>
      </w:r>
      <w:r w:rsidRPr="00334CE5">
        <w:rPr>
          <w:rFonts w:ascii="Arial" w:hAnsi="Arial" w:cs="Arial"/>
        </w:rPr>
        <w:t xml:space="preserve"> </w:t>
      </w:r>
      <w:r w:rsidRPr="001D424E">
        <w:rPr>
          <w:rFonts w:ascii="Arial" w:hAnsi="Arial" w:cs="Arial"/>
        </w:rPr>
        <w:t xml:space="preserve">w Ministerstwie </w:t>
      </w:r>
      <w:r w:rsidR="0048114F">
        <w:rPr>
          <w:rFonts w:ascii="Arial" w:hAnsi="Arial" w:cs="Arial"/>
        </w:rPr>
        <w:t>Zdrowia</w:t>
      </w:r>
      <w:r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Pr="001D424E">
        <w:rPr>
          <w:rFonts w:ascii="Arial" w:hAnsi="Arial" w:cs="Arial"/>
        </w:rPr>
        <w:t xml:space="preserve">, </w:t>
      </w:r>
      <w:r w:rsidR="00357156">
        <w:rPr>
          <w:rFonts w:ascii="Arial" w:hAnsi="Arial" w:cs="Arial"/>
        </w:rPr>
        <w:t>pok. </w:t>
      </w:r>
      <w:r w:rsidRPr="001D424E">
        <w:rPr>
          <w:rFonts w:ascii="Arial" w:hAnsi="Arial" w:cs="Arial"/>
        </w:rPr>
        <w:t>13 (Kancelaria Główna). Oferty można sk</w:t>
      </w:r>
      <w:r w:rsidR="00DE1BFF">
        <w:rPr>
          <w:rFonts w:ascii="Arial" w:hAnsi="Arial" w:cs="Arial"/>
        </w:rPr>
        <w:t xml:space="preserve">ładać od poniedziałku do piątku </w:t>
      </w:r>
      <w:r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Pr="001D424E">
        <w:rPr>
          <w:rFonts w:ascii="Arial" w:hAnsi="Arial" w:cs="Arial"/>
        </w:rPr>
        <w:t xml:space="preserve"> 8:15 -16:15. </w:t>
      </w:r>
    </w:p>
    <w:p w14:paraId="1F867D98"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Decydujące znaczenie dla zachowania terminu składania ofert ma data i godzina wpływu o</w:t>
      </w:r>
      <w:r w:rsidR="00784D39">
        <w:rPr>
          <w:rFonts w:ascii="Arial" w:hAnsi="Arial" w:cs="Arial"/>
        </w:rPr>
        <w:t>ferty w miejsce wskazane w pkt 7</w:t>
      </w:r>
      <w:r w:rsidRPr="001D424E">
        <w:rPr>
          <w:rFonts w:ascii="Arial" w:hAnsi="Arial" w:cs="Arial"/>
        </w:rPr>
        <w:t xml:space="preserve">.1, a nie data jej wysłania przesyłką pocztową lub kurierską. </w:t>
      </w:r>
    </w:p>
    <w:p w14:paraId="058CECEA" w14:textId="1A9506B2" w:rsidR="00B364B2" w:rsidRPr="00485588" w:rsidRDefault="004E7FF5"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Otwarc</w:t>
      </w:r>
      <w:r w:rsidR="00D17F11" w:rsidRPr="00485588">
        <w:rPr>
          <w:rFonts w:ascii="Arial" w:hAnsi="Arial" w:cs="Arial"/>
        </w:rPr>
        <w:t>i</w:t>
      </w:r>
      <w:r w:rsidR="00A337DB" w:rsidRPr="00485588">
        <w:rPr>
          <w:rFonts w:ascii="Arial" w:hAnsi="Arial" w:cs="Arial"/>
        </w:rPr>
        <w:t>e ofe</w:t>
      </w:r>
      <w:r w:rsidR="003E5529" w:rsidRPr="00485588">
        <w:rPr>
          <w:rFonts w:ascii="Arial" w:hAnsi="Arial" w:cs="Arial"/>
        </w:rPr>
        <w:t xml:space="preserve">rt nastąpi w </w:t>
      </w:r>
      <w:r w:rsidR="003E5529" w:rsidRPr="006833F6">
        <w:rPr>
          <w:rFonts w:ascii="Arial" w:hAnsi="Arial" w:cs="Arial"/>
          <w:b/>
        </w:rPr>
        <w:t xml:space="preserve">dniu </w:t>
      </w:r>
      <w:r w:rsidR="00CB72A3">
        <w:rPr>
          <w:rFonts w:ascii="Arial" w:hAnsi="Arial" w:cs="Arial"/>
          <w:b/>
        </w:rPr>
        <w:t xml:space="preserve">29 czerwca </w:t>
      </w:r>
      <w:r w:rsidR="00B16644" w:rsidRPr="006833F6">
        <w:rPr>
          <w:rFonts w:ascii="Arial" w:hAnsi="Arial" w:cs="Arial"/>
          <w:b/>
        </w:rPr>
        <w:t>2018 r.</w:t>
      </w:r>
      <w:r w:rsidR="001D424E" w:rsidRPr="006833F6">
        <w:rPr>
          <w:rFonts w:ascii="Arial" w:hAnsi="Arial" w:cs="Arial"/>
          <w:b/>
        </w:rPr>
        <w:t xml:space="preserve"> o godzinie </w:t>
      </w:r>
      <w:r w:rsidR="006875A8" w:rsidRPr="006833F6">
        <w:rPr>
          <w:rFonts w:ascii="Arial" w:hAnsi="Arial" w:cs="Arial"/>
          <w:b/>
        </w:rPr>
        <w:t>1</w:t>
      </w:r>
      <w:r w:rsidR="00CB72A3">
        <w:rPr>
          <w:rFonts w:ascii="Arial" w:hAnsi="Arial" w:cs="Arial"/>
          <w:b/>
        </w:rPr>
        <w:t>0</w:t>
      </w:r>
      <w:r w:rsidR="001D424E" w:rsidRPr="006833F6">
        <w:rPr>
          <w:rFonts w:ascii="Arial" w:hAnsi="Arial" w:cs="Arial"/>
          <w:b/>
        </w:rPr>
        <w:t>:</w:t>
      </w:r>
      <w:r w:rsidR="00096D81" w:rsidRPr="006833F6">
        <w:rPr>
          <w:rFonts w:ascii="Arial" w:hAnsi="Arial" w:cs="Arial"/>
          <w:b/>
        </w:rPr>
        <w:t>3</w:t>
      </w:r>
      <w:r w:rsidR="007A4CBF" w:rsidRPr="006833F6">
        <w:rPr>
          <w:rFonts w:ascii="Arial" w:hAnsi="Arial" w:cs="Arial"/>
          <w:b/>
        </w:rPr>
        <w:t>0</w:t>
      </w:r>
      <w:r w:rsidR="001D424E" w:rsidRPr="00485588">
        <w:rPr>
          <w:rFonts w:ascii="Arial" w:hAnsi="Arial" w:cs="Arial"/>
        </w:rPr>
        <w:t xml:space="preserve"> w siedzibie Ministerstwa </w:t>
      </w:r>
      <w:r w:rsidR="007A4CBF" w:rsidRPr="00485588">
        <w:rPr>
          <w:rFonts w:ascii="Arial" w:hAnsi="Arial" w:cs="Arial"/>
        </w:rPr>
        <w:t>Zdrowia</w:t>
      </w:r>
      <w:r w:rsidR="001D424E" w:rsidRPr="00485588">
        <w:rPr>
          <w:rFonts w:ascii="Arial" w:hAnsi="Arial" w:cs="Arial"/>
        </w:rPr>
        <w:t xml:space="preserve">, Warszawa, ul. </w:t>
      </w:r>
      <w:r w:rsidR="007A4CBF" w:rsidRPr="00485588">
        <w:rPr>
          <w:rFonts w:ascii="Arial" w:hAnsi="Arial" w:cs="Arial"/>
        </w:rPr>
        <w:t>Miodowa 15</w:t>
      </w:r>
      <w:r w:rsidR="001D424E" w:rsidRPr="00485588">
        <w:rPr>
          <w:rFonts w:ascii="Arial" w:hAnsi="Arial" w:cs="Arial"/>
        </w:rPr>
        <w:t xml:space="preserve">, </w:t>
      </w:r>
      <w:r w:rsidR="007A4CBF" w:rsidRPr="00485588">
        <w:rPr>
          <w:rFonts w:ascii="Arial" w:hAnsi="Arial" w:cs="Arial"/>
        </w:rPr>
        <w:t xml:space="preserve">pok. </w:t>
      </w:r>
      <w:r w:rsidR="00851F60" w:rsidRPr="00485588">
        <w:rPr>
          <w:rFonts w:ascii="Arial" w:hAnsi="Arial" w:cs="Arial"/>
        </w:rPr>
        <w:t>0</w:t>
      </w:r>
      <w:r w:rsidR="00702345" w:rsidRPr="00485588">
        <w:rPr>
          <w:rFonts w:ascii="Arial" w:hAnsi="Arial" w:cs="Arial"/>
        </w:rPr>
        <w:t>4</w:t>
      </w:r>
      <w:r w:rsidR="001D3B54" w:rsidRPr="00485588">
        <w:rPr>
          <w:rFonts w:ascii="Arial" w:hAnsi="Arial" w:cs="Arial"/>
        </w:rPr>
        <w:t>3</w:t>
      </w:r>
      <w:r w:rsidR="001D424E" w:rsidRPr="00485588">
        <w:rPr>
          <w:rFonts w:ascii="Arial" w:hAnsi="Arial" w:cs="Arial"/>
        </w:rPr>
        <w:t xml:space="preserve">. </w:t>
      </w:r>
    </w:p>
    <w:p w14:paraId="0A69856F"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Pr="001D424E">
        <w:rPr>
          <w:rFonts w:ascii="Arial" w:hAnsi="Arial" w:cs="Arial"/>
        </w:rPr>
        <w:t xml:space="preserve">.17 z dodatkowym oznaczeniem „ZMIANA”. </w:t>
      </w:r>
    </w:p>
    <w:p w14:paraId="0D309E30"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14:paraId="1D314705"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Otwarcie ofert jest jawne. Wykonawcy mogą uczestniczyć w sesji otwarcia ofert. </w:t>
      </w:r>
    </w:p>
    <w:p w14:paraId="067E4B69" w14:textId="7C0DA3C6" w:rsidR="00B364B2" w:rsidRPr="00485588" w:rsidRDefault="001D424E" w:rsidP="007D169D">
      <w:pPr>
        <w:pStyle w:val="Akapitzlist"/>
        <w:numPr>
          <w:ilvl w:val="1"/>
          <w:numId w:val="11"/>
        </w:numPr>
        <w:spacing w:after="0" w:line="360" w:lineRule="auto"/>
        <w:ind w:left="567" w:hanging="567"/>
        <w:jc w:val="both"/>
        <w:rPr>
          <w:rFonts w:ascii="Arial" w:hAnsi="Arial" w:cs="Arial"/>
        </w:rPr>
      </w:pPr>
      <w:r w:rsidRPr="00485588">
        <w:rPr>
          <w:rFonts w:ascii="Arial" w:hAnsi="Arial" w:cs="Arial"/>
        </w:rPr>
        <w:t>Niezwłocznie po otwarciu ofert</w:t>
      </w:r>
      <w:r w:rsidR="00F44BFA" w:rsidRPr="00485588">
        <w:rPr>
          <w:rFonts w:ascii="Arial" w:hAnsi="Arial" w:cs="Arial"/>
        </w:rPr>
        <w:t>,</w:t>
      </w:r>
      <w:r w:rsidRPr="00485588">
        <w:rPr>
          <w:rFonts w:ascii="Arial" w:hAnsi="Arial" w:cs="Arial"/>
        </w:rPr>
        <w:t xml:space="preserve"> zamawiający zamieści na własnej stronie internetowej </w:t>
      </w:r>
      <w:r w:rsidRPr="007D169D">
        <w:rPr>
          <w:rFonts w:ascii="Arial" w:hAnsi="Arial" w:cs="Arial"/>
        </w:rPr>
        <w:t>(</w:t>
      </w:r>
      <w:hyperlink r:id="rId9" w:history="1">
        <w:r w:rsidR="007D169D" w:rsidRPr="00C02634">
          <w:rPr>
            <w:rStyle w:val="Hipercze"/>
            <w:rFonts w:ascii="Arial" w:hAnsi="Arial" w:cs="Arial"/>
          </w:rPr>
          <w:t>https://www.gov.pl/zdrowie/zamowienia-publiczne</w:t>
        </w:r>
      </w:hyperlink>
      <w:r w:rsidR="007D169D">
        <w:rPr>
          <w:rFonts w:ascii="Arial" w:hAnsi="Arial" w:cs="Arial"/>
        </w:rPr>
        <w:t xml:space="preserve">) </w:t>
      </w:r>
      <w:r w:rsidRPr="00485588">
        <w:rPr>
          <w:rFonts w:ascii="Arial" w:hAnsi="Arial" w:cs="Arial"/>
        </w:rPr>
        <w:t xml:space="preserve">informacje dotyczące: </w:t>
      </w:r>
    </w:p>
    <w:p w14:paraId="361F9E49"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kwoty, jaką zamierza przeznaczyć na sfinansowanie zamówienia; </w:t>
      </w:r>
    </w:p>
    <w:p w14:paraId="760837A0" w14:textId="77777777" w:rsidR="00B364B2" w:rsidRPr="00175AD7"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firm oraz adresów wykonawców, którzy złoży</w:t>
      </w:r>
      <w:r w:rsidRPr="00175AD7">
        <w:rPr>
          <w:rFonts w:ascii="Arial" w:hAnsi="Arial" w:cs="Arial"/>
        </w:rPr>
        <w:t xml:space="preserve">li oferty w terminie; </w:t>
      </w:r>
    </w:p>
    <w:p w14:paraId="344ADE8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75AD7">
        <w:rPr>
          <w:rFonts w:ascii="Arial" w:hAnsi="Arial" w:cs="Arial"/>
        </w:rPr>
        <w:t xml:space="preserve">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3748909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Oferty złożone po ter</w:t>
      </w:r>
      <w:r w:rsidR="00432A1D">
        <w:rPr>
          <w:rFonts w:ascii="Arial" w:hAnsi="Arial" w:cs="Arial"/>
        </w:rPr>
        <w:t>minie, o którym mowa w punkcie 7</w:t>
      </w:r>
      <w:r w:rsidRPr="001D424E">
        <w:rPr>
          <w:rFonts w:ascii="Arial" w:hAnsi="Arial" w:cs="Arial"/>
        </w:rPr>
        <w:t xml:space="preserve">.1, zostaną niezwłocznie zwrócone wykonawcom. </w:t>
      </w:r>
    </w:p>
    <w:p w14:paraId="7DEEEC9F" w14:textId="77777777" w:rsidR="004A74E7" w:rsidRDefault="004A74E7" w:rsidP="004A7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1330D27E" w14:textId="77777777" w:rsidTr="00C51F0F">
        <w:trPr>
          <w:jc w:val="center"/>
        </w:trPr>
        <w:tc>
          <w:tcPr>
            <w:tcW w:w="9062" w:type="dxa"/>
            <w:shd w:val="clear" w:color="auto" w:fill="BFBFBF" w:themeFill="background1" w:themeFillShade="BF"/>
          </w:tcPr>
          <w:p w14:paraId="75DF50EF"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73370773" w14:textId="77777777" w:rsidTr="00C51F0F">
        <w:trPr>
          <w:jc w:val="center"/>
        </w:trPr>
        <w:tc>
          <w:tcPr>
            <w:tcW w:w="9062" w:type="dxa"/>
            <w:shd w:val="clear" w:color="auto" w:fill="BFBFBF" w:themeFill="background1" w:themeFillShade="BF"/>
          </w:tcPr>
          <w:p w14:paraId="5307F46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2125BB4B" w14:textId="77777777" w:rsidR="00B364B2" w:rsidRDefault="00B364B2" w:rsidP="005015B9">
      <w:pPr>
        <w:jc w:val="both"/>
        <w:rPr>
          <w:rFonts w:ascii="Arial" w:hAnsi="Arial" w:cs="Arial"/>
        </w:rPr>
      </w:pPr>
    </w:p>
    <w:p w14:paraId="3F8EF11B"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69C46FDF"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jest związany ofertą przez okres 30 dni od terminu składania ofert. </w:t>
      </w:r>
    </w:p>
    <w:p w14:paraId="3004C0C3"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Bieg terminu związania ofertą rozpoczyna się wraz z upływem terminu składania ofert.</w:t>
      </w:r>
    </w:p>
    <w:p w14:paraId="4163D141" w14:textId="77777777" w:rsidR="00432A1D" w:rsidRP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6579191" w14:textId="77777777" w:rsidTr="00C51F0F">
        <w:trPr>
          <w:jc w:val="center"/>
        </w:trPr>
        <w:tc>
          <w:tcPr>
            <w:tcW w:w="9062" w:type="dxa"/>
            <w:shd w:val="clear" w:color="auto" w:fill="BFBFBF" w:themeFill="background1" w:themeFillShade="BF"/>
          </w:tcPr>
          <w:p w14:paraId="2D5F9157"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B6754BE" w14:textId="77777777" w:rsidTr="00C51F0F">
        <w:trPr>
          <w:jc w:val="center"/>
        </w:trPr>
        <w:tc>
          <w:tcPr>
            <w:tcW w:w="9062" w:type="dxa"/>
            <w:shd w:val="clear" w:color="auto" w:fill="BFBFBF" w:themeFill="background1" w:themeFillShade="BF"/>
          </w:tcPr>
          <w:p w14:paraId="28785526"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362AD0DE" w14:textId="77777777" w:rsidR="00B364B2" w:rsidRDefault="00B364B2" w:rsidP="005015B9">
      <w:pPr>
        <w:jc w:val="both"/>
        <w:rPr>
          <w:rFonts w:ascii="Arial" w:hAnsi="Arial" w:cs="Arial"/>
        </w:rPr>
      </w:pPr>
    </w:p>
    <w:p w14:paraId="239BB84E"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27FA522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poda w Formularzu Ofertowym sporządz</w:t>
      </w:r>
      <w:r w:rsidR="009E3106">
        <w:rPr>
          <w:rFonts w:ascii="Arial" w:hAnsi="Arial" w:cs="Arial"/>
        </w:rPr>
        <w:t>onym według wzoru stanowiącego z</w:t>
      </w:r>
      <w:r w:rsidRPr="001D424E">
        <w:rPr>
          <w:rFonts w:ascii="Arial" w:hAnsi="Arial" w:cs="Arial"/>
        </w:rPr>
        <w:t xml:space="preserve">ałącznik </w:t>
      </w:r>
      <w:r w:rsidR="001103B5">
        <w:rPr>
          <w:rFonts w:ascii="Arial" w:hAnsi="Arial" w:cs="Arial"/>
        </w:rPr>
        <w:t>nr</w:t>
      </w:r>
      <w:r w:rsidR="009E3106">
        <w:rPr>
          <w:rFonts w:ascii="Arial" w:hAnsi="Arial" w:cs="Arial"/>
        </w:rPr>
        <w:t xml:space="preserve"> 3 </w:t>
      </w:r>
      <w:r w:rsidR="001103B5">
        <w:rPr>
          <w:rFonts w:ascii="Arial" w:hAnsi="Arial" w:cs="Arial"/>
        </w:rPr>
        <w:t xml:space="preserve">do SIWZ </w:t>
      </w:r>
      <w:r w:rsidRPr="001D424E">
        <w:rPr>
          <w:rFonts w:ascii="Arial" w:hAnsi="Arial" w:cs="Arial"/>
        </w:rPr>
        <w:t>cenę oferty</w:t>
      </w:r>
      <w:r w:rsidR="001D3B54">
        <w:rPr>
          <w:rFonts w:ascii="Arial" w:hAnsi="Arial" w:cs="Arial"/>
        </w:rPr>
        <w:t>.</w:t>
      </w:r>
      <w:r w:rsidRPr="001D424E">
        <w:rPr>
          <w:rFonts w:ascii="Arial" w:hAnsi="Arial" w:cs="Arial"/>
        </w:rPr>
        <w:t xml:space="preserve"> </w:t>
      </w:r>
    </w:p>
    <w:p w14:paraId="492E05B2"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lastRenderedPageBreak/>
        <w:t xml:space="preserve">Cena musi być wyrażona w złotych polskich (PLN), z dokładnością nie większą niż dwa miejsca po przecinku. </w:t>
      </w:r>
    </w:p>
    <w:p w14:paraId="059D569C"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musi uwzględnić w cenie oferty wszelkie ko</w:t>
      </w:r>
      <w:r w:rsidR="009E3106">
        <w:rPr>
          <w:rFonts w:ascii="Arial" w:hAnsi="Arial" w:cs="Arial"/>
        </w:rPr>
        <w:t>szty niezbędne dla prawidłowego</w:t>
      </w:r>
      <w:r w:rsidR="00357156">
        <w:rPr>
          <w:rFonts w:ascii="Arial" w:hAnsi="Arial" w:cs="Arial"/>
        </w:rPr>
        <w:t xml:space="preserve"> </w:t>
      </w:r>
      <w:r w:rsidRPr="001D424E">
        <w:rPr>
          <w:rFonts w:ascii="Arial" w:hAnsi="Arial" w:cs="Arial"/>
        </w:rPr>
        <w:t>i</w:t>
      </w:r>
      <w:r w:rsidR="00357156">
        <w:rPr>
          <w:rFonts w:ascii="Arial" w:hAnsi="Arial" w:cs="Arial"/>
        </w:rPr>
        <w:t> </w:t>
      </w:r>
      <w:r w:rsidRPr="001D424E">
        <w:rPr>
          <w:rFonts w:ascii="Arial" w:hAnsi="Arial" w:cs="Arial"/>
        </w:rPr>
        <w:t xml:space="preserve">pełnego wykonania zamówienia oraz wszelkie opłaty i podatki wynikające z obowiązujących przepisów. </w:t>
      </w:r>
    </w:p>
    <w:p w14:paraId="00104317"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AEA8779" w14:textId="77777777" w:rsidR="006C3C72" w:rsidRPr="00CB63CD" w:rsidRDefault="00CB63CD" w:rsidP="00485588">
      <w:pPr>
        <w:pStyle w:val="Tekstpodstawowy3"/>
        <w:spacing w:after="0"/>
        <w:ind w:left="567"/>
        <w:rPr>
          <w:rFonts w:ascii="Arial" w:hAnsi="Arial" w:cs="Arial"/>
          <w:b w:val="0"/>
          <w:sz w:val="22"/>
          <w:szCs w:val="22"/>
        </w:rPr>
      </w:pPr>
      <w:r w:rsidRPr="00E20BD7">
        <w:rPr>
          <w:rFonts w:ascii="Arial" w:hAnsi="Arial" w:cs="Arial"/>
          <w:sz w:val="22"/>
          <w:szCs w:val="22"/>
        </w:rPr>
        <w:t>UWAGA</w:t>
      </w:r>
      <w:r w:rsidR="00C66619" w:rsidRPr="00E20BD7">
        <w:rPr>
          <w:rFonts w:ascii="Arial" w:hAnsi="Arial" w:cs="Arial"/>
          <w:sz w:val="22"/>
          <w:szCs w:val="22"/>
        </w:rPr>
        <w:t>!</w:t>
      </w:r>
      <w:r w:rsidRPr="00E20BD7">
        <w:rPr>
          <w:rFonts w:ascii="Arial" w:hAnsi="Arial" w:cs="Arial"/>
          <w:sz w:val="22"/>
          <w:szCs w:val="22"/>
        </w:rPr>
        <w:t xml:space="preserve"> </w:t>
      </w:r>
      <w:r w:rsidRPr="00E20BD7">
        <w:rPr>
          <w:rFonts w:ascii="Arial" w:hAnsi="Arial" w:cs="Arial"/>
          <w:b w:val="0"/>
          <w:sz w:val="22"/>
          <w:szCs w:val="22"/>
        </w:rPr>
        <w:t>Zamawiający nie jest podatnikiem podatku od towarów i usług.</w:t>
      </w:r>
    </w:p>
    <w:p w14:paraId="625BF6B0" w14:textId="32707432" w:rsidR="00A337DB"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Rozliczenia między zamawiającym a wykonawcą będą prowadzone w PLN. </w:t>
      </w:r>
    </w:p>
    <w:p w14:paraId="1F267231" w14:textId="77777777" w:rsidR="00527F3B" w:rsidRDefault="00527F3B" w:rsidP="00527F3B">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DF58CAC" w14:textId="77777777" w:rsidTr="00C51F0F">
        <w:trPr>
          <w:jc w:val="center"/>
        </w:trPr>
        <w:tc>
          <w:tcPr>
            <w:tcW w:w="9062" w:type="dxa"/>
            <w:shd w:val="clear" w:color="auto" w:fill="BFBFBF" w:themeFill="background1" w:themeFillShade="BF"/>
          </w:tcPr>
          <w:p w14:paraId="743770F6"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63C967B0" w14:textId="77777777" w:rsidTr="00C51F0F">
        <w:trPr>
          <w:jc w:val="center"/>
        </w:trPr>
        <w:tc>
          <w:tcPr>
            <w:tcW w:w="9062" w:type="dxa"/>
            <w:shd w:val="clear" w:color="auto" w:fill="BFBFBF" w:themeFill="background1" w:themeFillShade="BF"/>
          </w:tcPr>
          <w:p w14:paraId="20226D57"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409BB6E9" w14:textId="77777777" w:rsidR="00B364B2" w:rsidRDefault="00B364B2" w:rsidP="005015B9">
      <w:pPr>
        <w:jc w:val="both"/>
        <w:rPr>
          <w:rFonts w:ascii="Arial" w:hAnsi="Arial" w:cs="Arial"/>
        </w:rPr>
      </w:pPr>
    </w:p>
    <w:p w14:paraId="30C4D8AB"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0AB8F1AA"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14:paraId="741BBC8E" w14:textId="77777777" w:rsidR="00C66619"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671D7D75" w14:textId="77777777" w:rsidR="00B364B2" w:rsidRPr="00C66619" w:rsidRDefault="001D424E" w:rsidP="00B43C3B">
      <w:pPr>
        <w:pStyle w:val="Akapitzlist"/>
        <w:numPr>
          <w:ilvl w:val="1"/>
          <w:numId w:val="11"/>
        </w:numPr>
        <w:spacing w:after="0" w:line="360" w:lineRule="auto"/>
        <w:ind w:left="567" w:hanging="567"/>
        <w:jc w:val="both"/>
        <w:rPr>
          <w:rFonts w:ascii="Arial" w:hAnsi="Arial" w:cs="Arial"/>
        </w:rPr>
      </w:pPr>
      <w:r w:rsidRPr="00C66619">
        <w:rPr>
          <w:rFonts w:ascii="Arial" w:hAnsi="Arial" w:cs="Arial"/>
        </w:rPr>
        <w:t xml:space="preserve">Zamawiający poprawi w ofercie: </w:t>
      </w:r>
    </w:p>
    <w:p w14:paraId="7162E4AA"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oczywiste omyłki pisarskie, </w:t>
      </w:r>
    </w:p>
    <w:p w14:paraId="79EB54E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oczywiste omyłki rachunkowe, z uwzględnieniem konsekwencji rachunkowych dokonanych poprawek, </w:t>
      </w:r>
    </w:p>
    <w:p w14:paraId="5425FC03"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inne omyłki polegające na niezgodności oferty z SIWZ, niepowodujące istotnych zmian w treści oferty, niezwłocznie zawiadamiając o tym wykonawcę, którego oferta została poprawiona. </w:t>
      </w:r>
    </w:p>
    <w:p w14:paraId="5041D8EE" w14:textId="77777777" w:rsidR="00432A1D" w:rsidRDefault="001D424E" w:rsidP="00B43C3B">
      <w:pPr>
        <w:pStyle w:val="Akapitzlist"/>
        <w:numPr>
          <w:ilvl w:val="1"/>
          <w:numId w:val="11"/>
        </w:numPr>
        <w:spacing w:after="0" w:line="360" w:lineRule="auto"/>
        <w:ind w:left="567" w:hanging="567"/>
        <w:jc w:val="both"/>
        <w:rPr>
          <w:rFonts w:ascii="Arial" w:hAnsi="Arial" w:cs="Arial"/>
        </w:rPr>
      </w:pPr>
      <w:r w:rsidRPr="005551C0">
        <w:rPr>
          <w:rFonts w:ascii="Arial" w:hAnsi="Arial" w:cs="Arial"/>
        </w:rPr>
        <w:t xml:space="preserve">Zamawiający zastrzega sobie, że może najpierw dokonać oceny ofert, a następnie zbadać, czy wykonawca, którego oferta została oceniona jako najkorzystniejsza, nie podlega wykluczeniu oraz spełnia warunki udziału w postępowaniu.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1A6840" w14:textId="77777777" w:rsidTr="00C51F0F">
        <w:trPr>
          <w:jc w:val="center"/>
        </w:trPr>
        <w:tc>
          <w:tcPr>
            <w:tcW w:w="9062" w:type="dxa"/>
            <w:shd w:val="clear" w:color="auto" w:fill="BFBFBF" w:themeFill="background1" w:themeFillShade="BF"/>
          </w:tcPr>
          <w:p w14:paraId="764195BD"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65649157" w14:textId="77777777" w:rsidTr="00C51F0F">
        <w:trPr>
          <w:trHeight w:val="722"/>
          <w:jc w:val="center"/>
        </w:trPr>
        <w:tc>
          <w:tcPr>
            <w:tcW w:w="9062" w:type="dxa"/>
            <w:shd w:val="clear" w:color="auto" w:fill="BFBFBF" w:themeFill="background1" w:themeFillShade="BF"/>
          </w:tcPr>
          <w:p w14:paraId="091E2B02"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28977C" w14:textId="77777777" w:rsidR="00B364B2" w:rsidRDefault="00B364B2" w:rsidP="005015B9">
      <w:pPr>
        <w:jc w:val="both"/>
        <w:rPr>
          <w:rFonts w:ascii="Arial" w:hAnsi="Arial" w:cs="Arial"/>
        </w:rPr>
      </w:pPr>
    </w:p>
    <w:p w14:paraId="56486AEE"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333B021B" w14:textId="77777777" w:rsidR="000A4E4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416"/>
        <w:gridCol w:w="1984"/>
      </w:tblGrid>
      <w:tr w:rsidR="001D1623" w:rsidRPr="001D1623" w14:paraId="680131C4" w14:textId="77777777" w:rsidTr="00387D1A">
        <w:trPr>
          <w:trHeight w:val="520"/>
        </w:trPr>
        <w:tc>
          <w:tcPr>
            <w:tcW w:w="546" w:type="dxa"/>
            <w:vAlign w:val="center"/>
          </w:tcPr>
          <w:p w14:paraId="79CC90E2"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4416" w:type="dxa"/>
            <w:vAlign w:val="center"/>
          </w:tcPr>
          <w:p w14:paraId="37DF2E7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1984" w:type="dxa"/>
            <w:vAlign w:val="center"/>
          </w:tcPr>
          <w:p w14:paraId="0805F7D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14:paraId="6B53B113" w14:textId="77777777" w:rsidTr="00387D1A">
        <w:trPr>
          <w:trHeight w:val="387"/>
        </w:trPr>
        <w:tc>
          <w:tcPr>
            <w:tcW w:w="546" w:type="dxa"/>
            <w:vAlign w:val="center"/>
          </w:tcPr>
          <w:p w14:paraId="10DF1D6C" w14:textId="77777777" w:rsidR="001D1623" w:rsidRPr="001D1623" w:rsidRDefault="001D1623" w:rsidP="00AF5453">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4416" w:type="dxa"/>
            <w:vAlign w:val="center"/>
          </w:tcPr>
          <w:p w14:paraId="5A787D51" w14:textId="77777777" w:rsidR="001D1623" w:rsidRPr="001D1623" w:rsidRDefault="009B5FC2" w:rsidP="00AF5453">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1984" w:type="dxa"/>
            <w:vAlign w:val="center"/>
          </w:tcPr>
          <w:p w14:paraId="5B6C7865" w14:textId="0693BEC1" w:rsidR="001D1623" w:rsidRPr="001D1623" w:rsidRDefault="00D3340E" w:rsidP="00AF5453">
            <w:pPr>
              <w:autoSpaceDE w:val="0"/>
              <w:autoSpaceDN w:val="0"/>
              <w:adjustRightInd w:val="0"/>
              <w:spacing w:after="0" w:line="360" w:lineRule="auto"/>
              <w:contextualSpacing/>
              <w:jc w:val="center"/>
              <w:rPr>
                <w:rFonts w:ascii="Arial" w:hAnsi="Arial" w:cs="Arial"/>
              </w:rPr>
            </w:pPr>
            <w:r>
              <w:rPr>
                <w:rFonts w:ascii="Arial" w:hAnsi="Arial" w:cs="Arial"/>
              </w:rPr>
              <w:t>4</w:t>
            </w:r>
            <w:r w:rsidR="001D1623" w:rsidRPr="001D1623">
              <w:rPr>
                <w:rFonts w:ascii="Arial" w:hAnsi="Arial" w:cs="Arial"/>
              </w:rPr>
              <w:t>0%</w:t>
            </w:r>
          </w:p>
        </w:tc>
      </w:tr>
      <w:tr w:rsidR="001D1623" w:rsidRPr="001D1623" w14:paraId="40FA3B35" w14:textId="77777777" w:rsidTr="00387D1A">
        <w:trPr>
          <w:trHeight w:val="227"/>
        </w:trPr>
        <w:tc>
          <w:tcPr>
            <w:tcW w:w="546" w:type="dxa"/>
            <w:vAlign w:val="center"/>
          </w:tcPr>
          <w:p w14:paraId="04BD25CF" w14:textId="45EB16D8" w:rsidR="001D1623" w:rsidRPr="001D1623" w:rsidRDefault="001D1623" w:rsidP="00AF5453">
            <w:pPr>
              <w:autoSpaceDE w:val="0"/>
              <w:autoSpaceDN w:val="0"/>
              <w:adjustRightInd w:val="0"/>
              <w:spacing w:after="0" w:line="360" w:lineRule="auto"/>
              <w:contextualSpacing/>
              <w:jc w:val="center"/>
              <w:rPr>
                <w:rFonts w:ascii="Arial" w:hAnsi="Arial" w:cs="Arial"/>
              </w:rPr>
            </w:pPr>
            <w:r w:rsidRPr="001D1623">
              <w:rPr>
                <w:rFonts w:ascii="Arial" w:hAnsi="Arial" w:cs="Arial"/>
              </w:rPr>
              <w:t>2.</w:t>
            </w:r>
          </w:p>
        </w:tc>
        <w:tc>
          <w:tcPr>
            <w:tcW w:w="4416" w:type="dxa"/>
            <w:vAlign w:val="center"/>
          </w:tcPr>
          <w:p w14:paraId="67602C12" w14:textId="53CA9229" w:rsidR="001D1623" w:rsidRPr="001D1623" w:rsidRDefault="00D3340E" w:rsidP="00AF5453">
            <w:pPr>
              <w:spacing w:after="0" w:line="360" w:lineRule="auto"/>
              <w:contextualSpacing/>
              <w:rPr>
                <w:rFonts w:ascii="Arial" w:hAnsi="Arial" w:cs="Arial"/>
              </w:rPr>
            </w:pPr>
            <w:r>
              <w:rPr>
                <w:rFonts w:ascii="Arial" w:hAnsi="Arial" w:cs="Arial"/>
              </w:rPr>
              <w:t>Spójność zarysu strategii z SOPZ</w:t>
            </w:r>
            <w:r w:rsidR="00AF5453">
              <w:rPr>
                <w:rFonts w:ascii="Arial" w:hAnsi="Arial" w:cs="Arial"/>
              </w:rPr>
              <w:t>.</w:t>
            </w:r>
          </w:p>
        </w:tc>
        <w:tc>
          <w:tcPr>
            <w:tcW w:w="1984" w:type="dxa"/>
            <w:vAlign w:val="center"/>
          </w:tcPr>
          <w:p w14:paraId="6F879F61" w14:textId="2FEFAD64" w:rsidR="001D1623" w:rsidRPr="001D1623" w:rsidRDefault="00D3340E" w:rsidP="00AF5453">
            <w:pPr>
              <w:autoSpaceDE w:val="0"/>
              <w:autoSpaceDN w:val="0"/>
              <w:adjustRightInd w:val="0"/>
              <w:spacing w:after="0" w:line="360" w:lineRule="auto"/>
              <w:contextualSpacing/>
              <w:jc w:val="center"/>
              <w:rPr>
                <w:rFonts w:ascii="Arial" w:hAnsi="Arial" w:cs="Arial"/>
              </w:rPr>
            </w:pPr>
            <w:r>
              <w:rPr>
                <w:rFonts w:ascii="Arial" w:hAnsi="Arial" w:cs="Arial"/>
              </w:rPr>
              <w:t>3</w:t>
            </w:r>
            <w:r w:rsidR="001D1623" w:rsidRPr="001D1623">
              <w:rPr>
                <w:rFonts w:ascii="Arial" w:hAnsi="Arial" w:cs="Arial"/>
              </w:rPr>
              <w:t>0%</w:t>
            </w:r>
          </w:p>
        </w:tc>
      </w:tr>
      <w:tr w:rsidR="002847BA" w:rsidRPr="001D1623" w14:paraId="4ED8FF49" w14:textId="77777777" w:rsidTr="00387D1A">
        <w:trPr>
          <w:trHeight w:val="403"/>
        </w:trPr>
        <w:tc>
          <w:tcPr>
            <w:tcW w:w="546" w:type="dxa"/>
            <w:vAlign w:val="center"/>
          </w:tcPr>
          <w:p w14:paraId="5ABE3A8B" w14:textId="77777777" w:rsidR="002847BA" w:rsidRPr="001D1623" w:rsidRDefault="002847BA" w:rsidP="00AF5453">
            <w:pPr>
              <w:autoSpaceDE w:val="0"/>
              <w:autoSpaceDN w:val="0"/>
              <w:adjustRightInd w:val="0"/>
              <w:spacing w:after="0" w:line="360" w:lineRule="auto"/>
              <w:contextualSpacing/>
              <w:jc w:val="center"/>
              <w:rPr>
                <w:rFonts w:ascii="Arial" w:hAnsi="Arial" w:cs="Arial"/>
              </w:rPr>
            </w:pPr>
            <w:r>
              <w:rPr>
                <w:rFonts w:ascii="Arial" w:hAnsi="Arial" w:cs="Arial"/>
              </w:rPr>
              <w:t>3.</w:t>
            </w:r>
          </w:p>
        </w:tc>
        <w:tc>
          <w:tcPr>
            <w:tcW w:w="4416" w:type="dxa"/>
            <w:vAlign w:val="center"/>
          </w:tcPr>
          <w:p w14:paraId="4ED8BB9D" w14:textId="42904A9F" w:rsidR="002847BA" w:rsidRDefault="00D3340E" w:rsidP="00C8744F">
            <w:pPr>
              <w:spacing w:after="0" w:line="360" w:lineRule="auto"/>
              <w:contextualSpacing/>
              <w:rPr>
                <w:rFonts w:ascii="Arial" w:hAnsi="Arial" w:cs="Arial"/>
              </w:rPr>
            </w:pPr>
            <w:r>
              <w:rPr>
                <w:rFonts w:ascii="Arial" w:hAnsi="Arial" w:cs="Arial"/>
              </w:rPr>
              <w:t>Linia kreacyjna</w:t>
            </w:r>
          </w:p>
        </w:tc>
        <w:tc>
          <w:tcPr>
            <w:tcW w:w="1984" w:type="dxa"/>
            <w:vAlign w:val="center"/>
          </w:tcPr>
          <w:p w14:paraId="6BA25D0F" w14:textId="3E717B14" w:rsidR="002847BA" w:rsidRDefault="00D3340E" w:rsidP="00AF5453">
            <w:pPr>
              <w:autoSpaceDE w:val="0"/>
              <w:autoSpaceDN w:val="0"/>
              <w:adjustRightInd w:val="0"/>
              <w:spacing w:after="0" w:line="360" w:lineRule="auto"/>
              <w:contextualSpacing/>
              <w:jc w:val="center"/>
              <w:rPr>
                <w:rFonts w:ascii="Arial" w:hAnsi="Arial" w:cs="Arial"/>
              </w:rPr>
            </w:pPr>
            <w:r>
              <w:rPr>
                <w:rFonts w:ascii="Arial" w:hAnsi="Arial" w:cs="Arial"/>
              </w:rPr>
              <w:t>3</w:t>
            </w:r>
            <w:r w:rsidR="002847BA">
              <w:rPr>
                <w:rFonts w:ascii="Arial" w:hAnsi="Arial" w:cs="Arial"/>
              </w:rPr>
              <w:t>0%</w:t>
            </w:r>
          </w:p>
        </w:tc>
      </w:tr>
    </w:tbl>
    <w:p w14:paraId="4FC5E5E0" w14:textId="77777777" w:rsidR="00E31237" w:rsidRDefault="00E31237" w:rsidP="00612246">
      <w:pPr>
        <w:spacing w:after="0" w:line="360" w:lineRule="auto"/>
        <w:jc w:val="both"/>
        <w:rPr>
          <w:rFonts w:ascii="Arial" w:hAnsi="Arial" w:cs="Arial"/>
        </w:rPr>
      </w:pPr>
    </w:p>
    <w:p w14:paraId="58DCAE67" w14:textId="77777777" w:rsidR="00B348A9" w:rsidRDefault="00B348A9" w:rsidP="00B43C3B">
      <w:pPr>
        <w:pStyle w:val="Akapitzlist"/>
        <w:numPr>
          <w:ilvl w:val="1"/>
          <w:numId w:val="11"/>
        </w:numPr>
        <w:spacing w:after="0" w:line="360" w:lineRule="auto"/>
        <w:ind w:left="567" w:hanging="567"/>
        <w:jc w:val="both"/>
        <w:rPr>
          <w:rFonts w:ascii="Arial" w:hAnsi="Arial" w:cs="Arial"/>
        </w:rPr>
      </w:pPr>
      <w:r w:rsidRPr="004D7A37">
        <w:rPr>
          <w:rFonts w:ascii="Arial" w:hAnsi="Arial" w:cs="Arial"/>
        </w:rPr>
        <w:t>SPOSÓB OBLICZANIA WARTOŚCI PUNKTOWEJ:</w:t>
      </w:r>
    </w:p>
    <w:p w14:paraId="2C74C710" w14:textId="77777777" w:rsidR="001D1623" w:rsidRPr="00387D1A" w:rsidRDefault="001D1623" w:rsidP="002847BA">
      <w:pPr>
        <w:spacing w:after="0" w:line="360" w:lineRule="auto"/>
        <w:jc w:val="both"/>
        <w:rPr>
          <w:rFonts w:ascii="Arial" w:hAnsi="Arial" w:cs="Arial"/>
        </w:rPr>
      </w:pPr>
      <w:r w:rsidRPr="00387D1A">
        <w:rPr>
          <w:rFonts w:ascii="Arial" w:hAnsi="Arial" w:cs="Arial"/>
        </w:rPr>
        <w:t>Zamawiający dokona oceny ofert na podstawie wyniku osiągniętej liczby punktów przyznanych w oparciu o następujące kryteria i ustaloną punktację do 100 (100% = 100 pkt):</w:t>
      </w:r>
    </w:p>
    <w:p w14:paraId="170572D4" w14:textId="77777777" w:rsidR="001D1623" w:rsidRPr="00387D1A" w:rsidRDefault="001D1623" w:rsidP="002847BA">
      <w:pPr>
        <w:numPr>
          <w:ilvl w:val="0"/>
          <w:numId w:val="7"/>
        </w:numPr>
        <w:tabs>
          <w:tab w:val="clear" w:pos="360"/>
        </w:tabs>
        <w:spacing w:after="0" w:line="360" w:lineRule="auto"/>
        <w:ind w:left="993" w:hanging="426"/>
        <w:jc w:val="both"/>
        <w:rPr>
          <w:rFonts w:ascii="Arial" w:hAnsi="Arial" w:cs="Arial"/>
        </w:rPr>
      </w:pPr>
      <w:r w:rsidRPr="00387D1A">
        <w:rPr>
          <w:rFonts w:ascii="Arial" w:hAnsi="Arial" w:cs="Arial"/>
        </w:rPr>
        <w:t>Punkty za kryterium „cena” zostaną obliczone wg następującego wzoru:</w:t>
      </w:r>
    </w:p>
    <w:p w14:paraId="4712E377" w14:textId="77777777" w:rsidR="003B10CD" w:rsidRPr="00387D1A" w:rsidRDefault="003B10CD" w:rsidP="002847BA">
      <w:pPr>
        <w:autoSpaceDE w:val="0"/>
        <w:autoSpaceDN w:val="0"/>
        <w:adjustRightInd w:val="0"/>
        <w:spacing w:after="0" w:line="360" w:lineRule="auto"/>
        <w:ind w:left="993"/>
        <w:rPr>
          <w:rFonts w:ascii="Arial" w:hAnsi="Arial" w:cs="Arial"/>
        </w:rPr>
      </w:pPr>
      <w:r w:rsidRPr="00387D1A">
        <w:rPr>
          <w:rFonts w:ascii="Arial" w:hAnsi="Arial" w:cs="Arial"/>
          <w:noProof/>
          <w:lang w:eastAsia="pl-PL"/>
        </w:rPr>
        <mc:AlternateContent>
          <mc:Choice Requires="wps">
            <w:drawing>
              <wp:anchor distT="0" distB="0" distL="114300" distR="114300" simplePos="0" relativeHeight="251659264" behindDoc="0" locked="0" layoutInCell="1" allowOverlap="1" wp14:anchorId="260BD21D" wp14:editId="3060DF14">
                <wp:simplePos x="0" y="0"/>
                <wp:positionH relativeFrom="column">
                  <wp:posOffset>590550</wp:posOffset>
                </wp:positionH>
                <wp:positionV relativeFrom="paragraph">
                  <wp:posOffset>100965</wp:posOffset>
                </wp:positionV>
                <wp:extent cx="4096512" cy="952500"/>
                <wp:effectExtent l="0" t="0" r="18415" b="19050"/>
                <wp:wrapNone/>
                <wp:docPr id="2" name="Prostokąt 2"/>
                <wp:cNvGraphicFramePr/>
                <a:graphic xmlns:a="http://schemas.openxmlformats.org/drawingml/2006/main">
                  <a:graphicData uri="http://schemas.microsoft.com/office/word/2010/wordprocessingShape">
                    <wps:wsp>
                      <wps:cNvSpPr/>
                      <wps:spPr>
                        <a:xfrm>
                          <a:off x="0" y="0"/>
                          <a:ext cx="4096512"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C353E" id="Prostokąt 2" o:spid="_x0000_s1026" style="position:absolute;margin-left:46.5pt;margin-top:7.95pt;width:322.5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" filled="f" strokecolor="black [3213]" strokeweight="1pt"/>
            </w:pict>
          </mc:Fallback>
        </mc:AlternateContent>
      </w:r>
    </w:p>
    <w:p w14:paraId="3AAD2BC4" w14:textId="77777777" w:rsidR="001D1623" w:rsidRPr="00387D1A" w:rsidRDefault="001D1623" w:rsidP="002847BA">
      <w:pPr>
        <w:autoSpaceDE w:val="0"/>
        <w:autoSpaceDN w:val="0"/>
        <w:adjustRightInd w:val="0"/>
        <w:spacing w:after="0" w:line="360" w:lineRule="auto"/>
        <w:ind w:left="993"/>
        <w:rPr>
          <w:rFonts w:ascii="Arial" w:hAnsi="Arial" w:cs="Arial"/>
        </w:rPr>
      </w:pPr>
      <w:r w:rsidRPr="00387D1A">
        <w:rPr>
          <w:rFonts w:ascii="Arial" w:hAnsi="Arial" w:cs="Arial"/>
        </w:rPr>
        <w:t>Cena ofertowa brutto oferty najtańszej</w:t>
      </w:r>
    </w:p>
    <w:p w14:paraId="2074C862" w14:textId="2910A1C6" w:rsidR="001D1623" w:rsidRPr="00387D1A" w:rsidRDefault="001D1623" w:rsidP="002847BA">
      <w:pPr>
        <w:autoSpaceDE w:val="0"/>
        <w:autoSpaceDN w:val="0"/>
        <w:adjustRightInd w:val="0"/>
        <w:spacing w:after="0" w:line="360" w:lineRule="auto"/>
        <w:ind w:left="993"/>
        <w:rPr>
          <w:rFonts w:ascii="Arial" w:hAnsi="Arial" w:cs="Arial"/>
        </w:rPr>
      </w:pPr>
      <w:r w:rsidRPr="00387D1A">
        <w:rPr>
          <w:rFonts w:ascii="Arial" w:hAnsi="Arial" w:cs="Arial"/>
        </w:rPr>
        <w:t xml:space="preserve">----------------------------------------------------- x </w:t>
      </w:r>
      <w:r w:rsidR="00D3340E" w:rsidRPr="00387D1A">
        <w:rPr>
          <w:rFonts w:ascii="Arial" w:hAnsi="Arial" w:cs="Arial"/>
        </w:rPr>
        <w:t>4</w:t>
      </w:r>
      <w:r w:rsidRPr="00387D1A">
        <w:rPr>
          <w:rFonts w:ascii="Arial" w:hAnsi="Arial" w:cs="Arial"/>
        </w:rPr>
        <w:t>0 = liczba punktów</w:t>
      </w:r>
    </w:p>
    <w:p w14:paraId="3B382AB3" w14:textId="77777777" w:rsidR="001D1623" w:rsidRPr="00387D1A" w:rsidRDefault="001D1623" w:rsidP="002847BA">
      <w:pPr>
        <w:autoSpaceDE w:val="0"/>
        <w:autoSpaceDN w:val="0"/>
        <w:adjustRightInd w:val="0"/>
        <w:spacing w:after="0" w:line="360" w:lineRule="auto"/>
        <w:ind w:left="993"/>
        <w:rPr>
          <w:rFonts w:ascii="Arial" w:hAnsi="Arial" w:cs="Arial"/>
        </w:rPr>
      </w:pPr>
      <w:r w:rsidRPr="00387D1A">
        <w:rPr>
          <w:rFonts w:ascii="Arial" w:hAnsi="Arial" w:cs="Arial"/>
        </w:rPr>
        <w:t>Cena ofertowa brutto oferty badanej</w:t>
      </w:r>
    </w:p>
    <w:p w14:paraId="74CAD95C" w14:textId="77777777" w:rsidR="003B10CD" w:rsidRPr="00387D1A" w:rsidRDefault="003B10CD" w:rsidP="00387D1A">
      <w:pPr>
        <w:spacing w:after="0" w:line="360" w:lineRule="auto"/>
        <w:jc w:val="both"/>
        <w:rPr>
          <w:rFonts w:ascii="Arial" w:hAnsi="Arial" w:cs="Arial"/>
        </w:rPr>
      </w:pPr>
    </w:p>
    <w:p w14:paraId="3F304B9D" w14:textId="15890C83" w:rsidR="002847BA" w:rsidRPr="00387D1A" w:rsidRDefault="002847BA" w:rsidP="00D3340E">
      <w:pPr>
        <w:numPr>
          <w:ilvl w:val="0"/>
          <w:numId w:val="7"/>
        </w:numPr>
        <w:tabs>
          <w:tab w:val="clear" w:pos="360"/>
        </w:tabs>
        <w:spacing w:after="0" w:line="360" w:lineRule="auto"/>
        <w:ind w:left="993" w:hanging="426"/>
        <w:jc w:val="both"/>
        <w:rPr>
          <w:rFonts w:ascii="Arial" w:hAnsi="Arial" w:cs="Arial"/>
        </w:rPr>
      </w:pPr>
      <w:r w:rsidRPr="00387D1A">
        <w:rPr>
          <w:rFonts w:ascii="Arial" w:hAnsi="Arial" w:cs="Arial"/>
        </w:rPr>
        <w:t>Punkty za kryterium „</w:t>
      </w:r>
      <w:r w:rsidR="00D3340E" w:rsidRPr="00387D1A">
        <w:rPr>
          <w:rFonts w:ascii="Arial" w:hAnsi="Arial" w:cs="Arial"/>
        </w:rPr>
        <w:t>Spójność zarysu strategii z SOPZ</w:t>
      </w:r>
      <w:r w:rsidR="00AF5453" w:rsidRPr="00387D1A">
        <w:rPr>
          <w:rFonts w:ascii="Arial" w:hAnsi="Arial" w:cs="Arial"/>
        </w:rPr>
        <w:t>”</w:t>
      </w:r>
      <w:r w:rsidR="00C8744F" w:rsidRPr="00387D1A">
        <w:rPr>
          <w:rFonts w:ascii="Arial" w:hAnsi="Arial" w:cs="Arial"/>
        </w:rPr>
        <w:t xml:space="preserve"> zostaną przyznane Wykonawcy</w:t>
      </w:r>
      <w:r w:rsidR="00D3340E" w:rsidRPr="00387D1A">
        <w:rPr>
          <w:rFonts w:ascii="Arial" w:hAnsi="Arial" w:cs="Arial"/>
        </w:rPr>
        <w:t xml:space="preserve"> </w:t>
      </w:r>
      <w:r w:rsidR="00E31237" w:rsidRPr="00387D1A">
        <w:rPr>
          <w:rFonts w:ascii="Arial" w:hAnsi="Arial" w:cs="Arial"/>
        </w:rPr>
        <w:t xml:space="preserve">na podstawie załączonego do oferty </w:t>
      </w:r>
      <w:r w:rsidR="00527F3B" w:rsidRPr="00387D1A">
        <w:rPr>
          <w:rFonts w:ascii="Arial" w:hAnsi="Arial" w:cs="Arial"/>
        </w:rPr>
        <w:t xml:space="preserve">ogólnego </w:t>
      </w:r>
      <w:r w:rsidR="00E31237" w:rsidRPr="00387D1A">
        <w:rPr>
          <w:rFonts w:ascii="Arial" w:hAnsi="Arial" w:cs="Arial"/>
        </w:rPr>
        <w:t xml:space="preserve">zarysu strategii kampanii oraz linii kreacyjnej opartą na zaproponowanym haśle kampanii </w:t>
      </w:r>
      <w:r w:rsidR="00D3340E" w:rsidRPr="00387D1A">
        <w:rPr>
          <w:rFonts w:ascii="Arial" w:hAnsi="Arial" w:cs="Arial"/>
        </w:rPr>
        <w:t>w</w:t>
      </w:r>
      <w:r w:rsidR="009A26B8" w:rsidRPr="00387D1A">
        <w:rPr>
          <w:rFonts w:ascii="Arial" w:hAnsi="Arial" w:cs="Arial"/>
        </w:rPr>
        <w:t> </w:t>
      </w:r>
      <w:r w:rsidR="00D3340E" w:rsidRPr="00387D1A">
        <w:rPr>
          <w:rFonts w:ascii="Arial" w:hAnsi="Arial" w:cs="Arial"/>
        </w:rPr>
        <w:t>następujący sposób:</w:t>
      </w:r>
      <w:r w:rsidR="00C8744F" w:rsidRPr="00387D1A">
        <w:rPr>
          <w:rFonts w:ascii="Arial" w:hAnsi="Arial" w:cs="Arial"/>
        </w:rPr>
        <w:t xml:space="preserve"> </w:t>
      </w:r>
    </w:p>
    <w:p w14:paraId="6EB3A334" w14:textId="4A1CE8B1" w:rsidR="00D3340E" w:rsidRPr="00387D1A" w:rsidRDefault="00D3340E" w:rsidP="00D3340E">
      <w:pPr>
        <w:pStyle w:val="Akapitzlist"/>
        <w:numPr>
          <w:ilvl w:val="0"/>
          <w:numId w:val="31"/>
        </w:numPr>
        <w:spacing w:after="0" w:line="360" w:lineRule="auto"/>
        <w:jc w:val="both"/>
        <w:rPr>
          <w:rFonts w:ascii="Arial" w:hAnsi="Arial" w:cs="Arial"/>
        </w:rPr>
      </w:pPr>
      <w:r w:rsidRPr="00387D1A">
        <w:rPr>
          <w:rFonts w:ascii="Arial" w:hAnsi="Arial" w:cs="Arial"/>
        </w:rPr>
        <w:t xml:space="preserve">dostosowanie kanałów (narzędzi) do potrzeb i możliwości percepcyjnych odbiorców, </w:t>
      </w:r>
      <w:r w:rsidRPr="00387D1A">
        <w:rPr>
          <w:rFonts w:ascii="Arial" w:hAnsi="Arial" w:cs="Arial"/>
        </w:rPr>
        <w:br/>
        <w:t xml:space="preserve">a także uwzględnienie specyfiki informacji, którą Zamawiający chce przekazać do grupy docelowej – </w:t>
      </w:r>
      <w:r w:rsidRPr="00387D1A">
        <w:rPr>
          <w:rFonts w:ascii="Arial" w:hAnsi="Arial" w:cs="Arial"/>
          <w:b/>
        </w:rPr>
        <w:t>do 15 pkt.</w:t>
      </w:r>
    </w:p>
    <w:tbl>
      <w:tblPr>
        <w:tblStyle w:val="Tabela-Siatka"/>
        <w:tblW w:w="0" w:type="auto"/>
        <w:tblInd w:w="1413" w:type="dxa"/>
        <w:tblLook w:val="04A0" w:firstRow="1" w:lastRow="0" w:firstColumn="1" w:lastColumn="0" w:noHBand="0" w:noVBand="1"/>
      </w:tblPr>
      <w:tblGrid>
        <w:gridCol w:w="6662"/>
        <w:gridCol w:w="1661"/>
      </w:tblGrid>
      <w:tr w:rsidR="00955F78" w:rsidRPr="00527F3B" w14:paraId="29BB0326" w14:textId="77777777" w:rsidTr="00955F78">
        <w:tc>
          <w:tcPr>
            <w:tcW w:w="6662" w:type="dxa"/>
            <w:shd w:val="clear" w:color="auto" w:fill="F2F2F2" w:themeFill="background1" w:themeFillShade="F2"/>
          </w:tcPr>
          <w:p w14:paraId="1BBD5510" w14:textId="752C9F9C" w:rsidR="00955F78" w:rsidRPr="00387D1A" w:rsidRDefault="00955F78" w:rsidP="00955F78">
            <w:pPr>
              <w:spacing w:line="360" w:lineRule="auto"/>
              <w:jc w:val="center"/>
              <w:rPr>
                <w:rFonts w:ascii="Arial" w:hAnsi="Arial" w:cs="Arial"/>
                <w:b/>
              </w:rPr>
            </w:pPr>
            <w:r w:rsidRPr="00387D1A">
              <w:rPr>
                <w:rFonts w:ascii="Arial" w:hAnsi="Arial" w:cs="Arial"/>
                <w:b/>
              </w:rPr>
              <w:t>Kryterium</w:t>
            </w:r>
          </w:p>
        </w:tc>
        <w:tc>
          <w:tcPr>
            <w:tcW w:w="1661" w:type="dxa"/>
            <w:shd w:val="clear" w:color="auto" w:fill="F2F2F2" w:themeFill="background1" w:themeFillShade="F2"/>
          </w:tcPr>
          <w:p w14:paraId="497507DA" w14:textId="4BF4084D" w:rsidR="00955F78" w:rsidRPr="00387D1A" w:rsidRDefault="00955F78" w:rsidP="00955F78">
            <w:pPr>
              <w:spacing w:line="360" w:lineRule="auto"/>
              <w:jc w:val="center"/>
              <w:rPr>
                <w:rFonts w:ascii="Arial" w:hAnsi="Arial" w:cs="Arial"/>
                <w:b/>
              </w:rPr>
            </w:pPr>
            <w:r w:rsidRPr="00387D1A">
              <w:rPr>
                <w:rFonts w:ascii="Arial" w:hAnsi="Arial" w:cs="Arial"/>
                <w:b/>
              </w:rPr>
              <w:t>Punkty</w:t>
            </w:r>
          </w:p>
        </w:tc>
      </w:tr>
      <w:tr w:rsidR="00955F78" w:rsidRPr="00527F3B" w14:paraId="3780B0E7" w14:textId="77777777" w:rsidTr="00B35C76">
        <w:tc>
          <w:tcPr>
            <w:tcW w:w="6662" w:type="dxa"/>
          </w:tcPr>
          <w:p w14:paraId="06749130" w14:textId="4E2879E9" w:rsidR="00955F78" w:rsidRPr="00387D1A" w:rsidRDefault="00955F78" w:rsidP="00387D1A">
            <w:pPr>
              <w:spacing w:line="276" w:lineRule="auto"/>
              <w:jc w:val="both"/>
              <w:rPr>
                <w:rFonts w:ascii="Arial" w:hAnsi="Arial" w:cs="Arial"/>
              </w:rPr>
            </w:pPr>
            <w:r w:rsidRPr="00387D1A">
              <w:rPr>
                <w:rFonts w:ascii="Arial" w:hAnsi="Arial" w:cs="Arial"/>
              </w:rPr>
              <w:t>Zasady i częstotliwość komunikacji z mediami i sposób przekazywania materiałów i informacji</w:t>
            </w:r>
          </w:p>
        </w:tc>
        <w:tc>
          <w:tcPr>
            <w:tcW w:w="1661" w:type="dxa"/>
          </w:tcPr>
          <w:p w14:paraId="40F2A3BF" w14:textId="022F1A73" w:rsidR="00955F78" w:rsidRPr="00387D1A" w:rsidRDefault="00955F78" w:rsidP="00B35C76">
            <w:pPr>
              <w:spacing w:line="360" w:lineRule="auto"/>
              <w:jc w:val="both"/>
              <w:rPr>
                <w:rFonts w:ascii="Arial" w:hAnsi="Arial" w:cs="Arial"/>
              </w:rPr>
            </w:pPr>
            <w:r w:rsidRPr="00387D1A">
              <w:rPr>
                <w:rFonts w:ascii="Arial" w:hAnsi="Arial" w:cs="Arial"/>
              </w:rPr>
              <w:t>0 – 5 pkt</w:t>
            </w:r>
          </w:p>
        </w:tc>
      </w:tr>
      <w:tr w:rsidR="00955F78" w:rsidRPr="00527F3B" w14:paraId="0ADACE90" w14:textId="77777777" w:rsidTr="00B35C76">
        <w:tc>
          <w:tcPr>
            <w:tcW w:w="6662" w:type="dxa"/>
          </w:tcPr>
          <w:p w14:paraId="5F0F5194" w14:textId="55EBBFDB" w:rsidR="00955F78" w:rsidRPr="00387D1A" w:rsidRDefault="00955F78" w:rsidP="00387D1A">
            <w:pPr>
              <w:spacing w:line="276" w:lineRule="auto"/>
              <w:jc w:val="both"/>
              <w:rPr>
                <w:rFonts w:ascii="Arial" w:hAnsi="Arial" w:cs="Arial"/>
              </w:rPr>
            </w:pPr>
            <w:r w:rsidRPr="00387D1A">
              <w:rPr>
                <w:rFonts w:ascii="Arial" w:hAnsi="Arial" w:cs="Arial"/>
              </w:rPr>
              <w:t>Plan działań PR w prasie oraz Internecie</w:t>
            </w:r>
          </w:p>
        </w:tc>
        <w:tc>
          <w:tcPr>
            <w:tcW w:w="1661" w:type="dxa"/>
          </w:tcPr>
          <w:p w14:paraId="69B9756D" w14:textId="7C9181C7" w:rsidR="00955F78" w:rsidRPr="00387D1A" w:rsidRDefault="00955F78" w:rsidP="00B35C76">
            <w:pPr>
              <w:spacing w:line="360" w:lineRule="auto"/>
              <w:jc w:val="both"/>
              <w:rPr>
                <w:rFonts w:ascii="Arial" w:hAnsi="Arial" w:cs="Arial"/>
              </w:rPr>
            </w:pPr>
            <w:r w:rsidRPr="00387D1A">
              <w:rPr>
                <w:rFonts w:ascii="Arial" w:hAnsi="Arial" w:cs="Arial"/>
              </w:rPr>
              <w:t>0 – 5 pkt</w:t>
            </w:r>
          </w:p>
        </w:tc>
      </w:tr>
      <w:tr w:rsidR="00955F78" w:rsidRPr="00527F3B" w14:paraId="40701F4D" w14:textId="77777777" w:rsidTr="00B35C76">
        <w:tc>
          <w:tcPr>
            <w:tcW w:w="6662" w:type="dxa"/>
          </w:tcPr>
          <w:p w14:paraId="07331660" w14:textId="7FF0302B" w:rsidR="00955F78" w:rsidRPr="00387D1A" w:rsidRDefault="00955F78" w:rsidP="00387D1A">
            <w:pPr>
              <w:spacing w:line="276" w:lineRule="auto"/>
              <w:jc w:val="both"/>
              <w:rPr>
                <w:rFonts w:ascii="Arial" w:hAnsi="Arial" w:cs="Arial"/>
              </w:rPr>
            </w:pPr>
            <w:r w:rsidRPr="00387D1A">
              <w:rPr>
                <w:rFonts w:ascii="Arial" w:hAnsi="Arial" w:cs="Arial"/>
              </w:rPr>
              <w:t>Kreatywność w sposobie wykorzystania kanałów (narzędzi) do potrzeb i możliwości percepcyjnych odbiorców</w:t>
            </w:r>
          </w:p>
        </w:tc>
        <w:tc>
          <w:tcPr>
            <w:tcW w:w="1661" w:type="dxa"/>
          </w:tcPr>
          <w:p w14:paraId="4DEE0CDB" w14:textId="0B2728F7" w:rsidR="00955F78" w:rsidRPr="00387D1A" w:rsidRDefault="00955F78" w:rsidP="00B35C76">
            <w:pPr>
              <w:spacing w:line="360" w:lineRule="auto"/>
              <w:jc w:val="both"/>
              <w:rPr>
                <w:rFonts w:ascii="Arial" w:hAnsi="Arial" w:cs="Arial"/>
              </w:rPr>
            </w:pPr>
            <w:r w:rsidRPr="00387D1A">
              <w:rPr>
                <w:rFonts w:ascii="Arial" w:hAnsi="Arial" w:cs="Arial"/>
              </w:rPr>
              <w:t>0 – 5 pkt</w:t>
            </w:r>
          </w:p>
        </w:tc>
      </w:tr>
    </w:tbl>
    <w:p w14:paraId="5217AF08" w14:textId="77777777" w:rsidR="009A26B8" w:rsidRPr="00387D1A" w:rsidRDefault="009A26B8" w:rsidP="009A26B8">
      <w:pPr>
        <w:pStyle w:val="Akapitzlist"/>
        <w:spacing w:after="0" w:line="360" w:lineRule="auto"/>
        <w:ind w:left="1353"/>
        <w:jc w:val="both"/>
        <w:rPr>
          <w:rFonts w:ascii="Arial" w:hAnsi="Arial" w:cs="Arial"/>
        </w:rPr>
      </w:pPr>
    </w:p>
    <w:p w14:paraId="6D9D19B5" w14:textId="77777777" w:rsidR="009A26B8" w:rsidRPr="00387D1A" w:rsidRDefault="00D3340E" w:rsidP="00D3340E">
      <w:pPr>
        <w:pStyle w:val="Akapitzlist"/>
        <w:numPr>
          <w:ilvl w:val="0"/>
          <w:numId w:val="31"/>
        </w:numPr>
        <w:spacing w:after="0" w:line="360" w:lineRule="auto"/>
        <w:jc w:val="both"/>
        <w:rPr>
          <w:rFonts w:ascii="Arial" w:hAnsi="Arial" w:cs="Arial"/>
        </w:rPr>
      </w:pPr>
      <w:r w:rsidRPr="00387D1A">
        <w:rPr>
          <w:rFonts w:ascii="Arial" w:hAnsi="Arial" w:cs="Arial"/>
        </w:rPr>
        <w:t xml:space="preserve">wskazanie komplementarności działań promocyjnych, tj. uzupełnianie się kanałów dotarcia do różnych segmentów odbiorców z grupy docelowej – </w:t>
      </w:r>
      <w:r w:rsidRPr="00387D1A">
        <w:rPr>
          <w:rFonts w:ascii="Arial" w:hAnsi="Arial" w:cs="Arial"/>
          <w:b/>
        </w:rPr>
        <w:t>do 15 pkt.,</w:t>
      </w:r>
    </w:p>
    <w:tbl>
      <w:tblPr>
        <w:tblStyle w:val="Tabela-Siatka"/>
        <w:tblW w:w="0" w:type="auto"/>
        <w:tblInd w:w="1413" w:type="dxa"/>
        <w:tblLook w:val="04A0" w:firstRow="1" w:lastRow="0" w:firstColumn="1" w:lastColumn="0" w:noHBand="0" w:noVBand="1"/>
      </w:tblPr>
      <w:tblGrid>
        <w:gridCol w:w="6662"/>
        <w:gridCol w:w="1661"/>
      </w:tblGrid>
      <w:tr w:rsidR="00955F78" w:rsidRPr="00527F3B" w14:paraId="0F451603" w14:textId="77777777" w:rsidTr="00955F78">
        <w:tc>
          <w:tcPr>
            <w:tcW w:w="6662" w:type="dxa"/>
            <w:shd w:val="clear" w:color="auto" w:fill="F2F2F2" w:themeFill="background1" w:themeFillShade="F2"/>
          </w:tcPr>
          <w:p w14:paraId="1EB99D83" w14:textId="2DA56218" w:rsidR="00955F78" w:rsidRPr="00387D1A" w:rsidRDefault="00955F78" w:rsidP="00955F78">
            <w:pPr>
              <w:spacing w:line="360" w:lineRule="auto"/>
              <w:jc w:val="center"/>
              <w:rPr>
                <w:rFonts w:ascii="Arial" w:hAnsi="Arial" w:cs="Arial"/>
                <w:b/>
              </w:rPr>
            </w:pPr>
            <w:r w:rsidRPr="00387D1A">
              <w:rPr>
                <w:rFonts w:ascii="Arial" w:hAnsi="Arial" w:cs="Arial"/>
                <w:b/>
              </w:rPr>
              <w:t>Kryterium</w:t>
            </w:r>
          </w:p>
        </w:tc>
        <w:tc>
          <w:tcPr>
            <w:tcW w:w="1661" w:type="dxa"/>
            <w:shd w:val="clear" w:color="auto" w:fill="F2F2F2" w:themeFill="background1" w:themeFillShade="F2"/>
          </w:tcPr>
          <w:p w14:paraId="51DC6615" w14:textId="3CB0F0FC" w:rsidR="00955F78" w:rsidRPr="00387D1A" w:rsidRDefault="00955F78" w:rsidP="00955F78">
            <w:pPr>
              <w:spacing w:line="360" w:lineRule="auto"/>
              <w:jc w:val="center"/>
              <w:rPr>
                <w:rFonts w:ascii="Arial" w:hAnsi="Arial" w:cs="Arial"/>
              </w:rPr>
            </w:pPr>
            <w:r w:rsidRPr="00387D1A">
              <w:rPr>
                <w:rFonts w:ascii="Arial" w:hAnsi="Arial" w:cs="Arial"/>
                <w:b/>
              </w:rPr>
              <w:t>Punkty</w:t>
            </w:r>
          </w:p>
        </w:tc>
      </w:tr>
      <w:tr w:rsidR="009A26B8" w:rsidRPr="00527F3B" w14:paraId="1C3B839E" w14:textId="77777777" w:rsidTr="009A26B8">
        <w:tc>
          <w:tcPr>
            <w:tcW w:w="6662" w:type="dxa"/>
          </w:tcPr>
          <w:p w14:paraId="61187708" w14:textId="45B1C5E5" w:rsidR="009A26B8" w:rsidRPr="00387D1A" w:rsidRDefault="00955F78" w:rsidP="00387D1A">
            <w:pPr>
              <w:spacing w:line="276" w:lineRule="auto"/>
              <w:jc w:val="both"/>
              <w:rPr>
                <w:rFonts w:ascii="Arial" w:hAnsi="Arial" w:cs="Arial"/>
              </w:rPr>
            </w:pPr>
            <w:r w:rsidRPr="00387D1A">
              <w:rPr>
                <w:rFonts w:ascii="Arial" w:hAnsi="Arial" w:cs="Arial"/>
              </w:rPr>
              <w:t>D</w:t>
            </w:r>
            <w:r w:rsidR="009A26B8" w:rsidRPr="00387D1A">
              <w:rPr>
                <w:rFonts w:ascii="Arial" w:hAnsi="Arial" w:cs="Arial"/>
              </w:rPr>
              <w:t xml:space="preserve">obór narzędzi do potrzeb grupy docelowej, zapewniające jak najszerszy zasięg kampanii oraz </w:t>
            </w:r>
            <w:r w:rsidR="00527F3B">
              <w:rPr>
                <w:rFonts w:ascii="Arial" w:hAnsi="Arial" w:cs="Arial"/>
              </w:rPr>
              <w:t xml:space="preserve">ich </w:t>
            </w:r>
            <w:r w:rsidR="009A26B8" w:rsidRPr="00387D1A">
              <w:rPr>
                <w:rFonts w:ascii="Arial" w:hAnsi="Arial" w:cs="Arial"/>
              </w:rPr>
              <w:t>skuteczność</w:t>
            </w:r>
          </w:p>
        </w:tc>
        <w:tc>
          <w:tcPr>
            <w:tcW w:w="1661" w:type="dxa"/>
          </w:tcPr>
          <w:p w14:paraId="029B55E9" w14:textId="2F196A1C" w:rsidR="009A26B8" w:rsidRPr="00387D1A" w:rsidRDefault="00955F78" w:rsidP="009A26B8">
            <w:pPr>
              <w:spacing w:line="360" w:lineRule="auto"/>
              <w:jc w:val="both"/>
              <w:rPr>
                <w:rFonts w:ascii="Arial" w:hAnsi="Arial" w:cs="Arial"/>
              </w:rPr>
            </w:pPr>
            <w:r w:rsidRPr="00387D1A">
              <w:rPr>
                <w:rFonts w:ascii="Arial" w:hAnsi="Arial" w:cs="Arial"/>
              </w:rPr>
              <w:t xml:space="preserve">0 – 3 pkt </w:t>
            </w:r>
          </w:p>
        </w:tc>
      </w:tr>
      <w:tr w:rsidR="00955F78" w:rsidRPr="00527F3B" w14:paraId="46EFF60F" w14:textId="77777777" w:rsidTr="009A26B8">
        <w:tc>
          <w:tcPr>
            <w:tcW w:w="6662" w:type="dxa"/>
          </w:tcPr>
          <w:p w14:paraId="686A3785" w14:textId="5001C6E5" w:rsidR="00955F78" w:rsidRPr="00387D1A" w:rsidRDefault="00527F3B" w:rsidP="00387D1A">
            <w:pPr>
              <w:spacing w:line="276" w:lineRule="auto"/>
              <w:jc w:val="both"/>
              <w:rPr>
                <w:rFonts w:ascii="Arial" w:hAnsi="Arial" w:cs="Arial"/>
              </w:rPr>
            </w:pPr>
            <w:r>
              <w:rPr>
                <w:rFonts w:ascii="Arial" w:hAnsi="Arial" w:cs="Arial"/>
              </w:rPr>
              <w:t>D</w:t>
            </w:r>
            <w:r w:rsidR="00955F78" w:rsidRPr="00387D1A">
              <w:rPr>
                <w:rFonts w:ascii="Arial" w:hAnsi="Arial" w:cs="Arial"/>
              </w:rPr>
              <w:t>obór miejsc emisji do grup docelowych</w:t>
            </w:r>
            <w:r>
              <w:rPr>
                <w:rFonts w:ascii="Arial" w:hAnsi="Arial" w:cs="Arial"/>
              </w:rPr>
              <w:t xml:space="preserve"> – trafność i kontekst</w:t>
            </w:r>
          </w:p>
        </w:tc>
        <w:tc>
          <w:tcPr>
            <w:tcW w:w="1661" w:type="dxa"/>
          </w:tcPr>
          <w:p w14:paraId="4DE0DFA1" w14:textId="63802089" w:rsidR="00955F78" w:rsidRPr="00387D1A" w:rsidRDefault="00955F78" w:rsidP="00955F78">
            <w:pPr>
              <w:spacing w:line="360" w:lineRule="auto"/>
              <w:jc w:val="both"/>
              <w:rPr>
                <w:rFonts w:ascii="Arial" w:hAnsi="Arial" w:cs="Arial"/>
              </w:rPr>
            </w:pPr>
            <w:r w:rsidRPr="00387D1A">
              <w:rPr>
                <w:rFonts w:ascii="Arial" w:hAnsi="Arial" w:cs="Arial"/>
              </w:rPr>
              <w:t xml:space="preserve">0 – 3 pkt </w:t>
            </w:r>
          </w:p>
        </w:tc>
      </w:tr>
      <w:tr w:rsidR="00955F78" w:rsidRPr="00527F3B" w14:paraId="33186A93" w14:textId="77777777" w:rsidTr="009A26B8">
        <w:tc>
          <w:tcPr>
            <w:tcW w:w="6662" w:type="dxa"/>
          </w:tcPr>
          <w:p w14:paraId="7EBF7DBB" w14:textId="45EE99CE" w:rsidR="00955F78" w:rsidRPr="00387D1A" w:rsidRDefault="00955F78" w:rsidP="00387D1A">
            <w:pPr>
              <w:spacing w:line="276" w:lineRule="auto"/>
              <w:jc w:val="both"/>
              <w:rPr>
                <w:rFonts w:ascii="Arial" w:hAnsi="Arial" w:cs="Arial"/>
              </w:rPr>
            </w:pPr>
            <w:r w:rsidRPr="00387D1A">
              <w:rPr>
                <w:rFonts w:ascii="Arial" w:hAnsi="Arial" w:cs="Arial"/>
              </w:rPr>
              <w:t>Dobór atrakcyjnych formatów, aktualnych z najnowszymi trendami w komunikacji internetowej</w:t>
            </w:r>
          </w:p>
        </w:tc>
        <w:tc>
          <w:tcPr>
            <w:tcW w:w="1661" w:type="dxa"/>
          </w:tcPr>
          <w:p w14:paraId="13475870" w14:textId="456D1025" w:rsidR="00955F78" w:rsidRPr="00387D1A" w:rsidRDefault="00955F78" w:rsidP="00955F78">
            <w:pPr>
              <w:spacing w:line="360" w:lineRule="auto"/>
              <w:jc w:val="both"/>
              <w:rPr>
                <w:rFonts w:ascii="Arial" w:hAnsi="Arial" w:cs="Arial"/>
              </w:rPr>
            </w:pPr>
            <w:r w:rsidRPr="00387D1A">
              <w:rPr>
                <w:rFonts w:ascii="Arial" w:hAnsi="Arial" w:cs="Arial"/>
              </w:rPr>
              <w:t xml:space="preserve">0 – 3 pkt </w:t>
            </w:r>
          </w:p>
        </w:tc>
      </w:tr>
      <w:tr w:rsidR="00955F78" w:rsidRPr="00527F3B" w14:paraId="00DE3678" w14:textId="77777777" w:rsidTr="009A26B8">
        <w:tc>
          <w:tcPr>
            <w:tcW w:w="6662" w:type="dxa"/>
          </w:tcPr>
          <w:p w14:paraId="4ABD517C" w14:textId="72C76199" w:rsidR="00955F78" w:rsidRPr="00387D1A" w:rsidRDefault="00955F78" w:rsidP="00387D1A">
            <w:pPr>
              <w:spacing w:line="276" w:lineRule="auto"/>
              <w:jc w:val="both"/>
              <w:rPr>
                <w:rFonts w:ascii="Arial" w:hAnsi="Arial" w:cs="Arial"/>
              </w:rPr>
            </w:pPr>
            <w:r w:rsidRPr="00387D1A">
              <w:rPr>
                <w:rFonts w:ascii="Arial" w:hAnsi="Arial" w:cs="Arial"/>
              </w:rPr>
              <w:t xml:space="preserve">Uwzględnienie </w:t>
            </w:r>
            <w:proofErr w:type="spellStart"/>
            <w:r w:rsidRPr="00387D1A">
              <w:rPr>
                <w:rFonts w:ascii="Arial" w:hAnsi="Arial" w:cs="Arial"/>
              </w:rPr>
              <w:t>priorytetyzacji</w:t>
            </w:r>
            <w:proofErr w:type="spellEnd"/>
            <w:r w:rsidRPr="00387D1A">
              <w:rPr>
                <w:rFonts w:ascii="Arial" w:hAnsi="Arial" w:cs="Arial"/>
              </w:rPr>
              <w:t xml:space="preserve"> grup docelowych</w:t>
            </w:r>
          </w:p>
        </w:tc>
        <w:tc>
          <w:tcPr>
            <w:tcW w:w="1661" w:type="dxa"/>
          </w:tcPr>
          <w:p w14:paraId="5BEBD1D8" w14:textId="04113642" w:rsidR="00955F78" w:rsidRPr="00387D1A" w:rsidRDefault="00955F78" w:rsidP="00955F78">
            <w:pPr>
              <w:spacing w:line="360" w:lineRule="auto"/>
              <w:jc w:val="both"/>
              <w:rPr>
                <w:rFonts w:ascii="Arial" w:hAnsi="Arial" w:cs="Arial"/>
              </w:rPr>
            </w:pPr>
            <w:r w:rsidRPr="00387D1A">
              <w:rPr>
                <w:rFonts w:ascii="Arial" w:hAnsi="Arial" w:cs="Arial"/>
              </w:rPr>
              <w:t xml:space="preserve">0 – 3 pkt </w:t>
            </w:r>
          </w:p>
        </w:tc>
      </w:tr>
      <w:tr w:rsidR="00955F78" w:rsidRPr="00527F3B" w14:paraId="4F0A780A" w14:textId="77777777" w:rsidTr="009A26B8">
        <w:tc>
          <w:tcPr>
            <w:tcW w:w="6662" w:type="dxa"/>
          </w:tcPr>
          <w:p w14:paraId="67DC5BC1" w14:textId="7847041C" w:rsidR="00955F78" w:rsidRPr="00387D1A" w:rsidRDefault="00955F78" w:rsidP="00387D1A">
            <w:pPr>
              <w:spacing w:line="276" w:lineRule="auto"/>
              <w:jc w:val="both"/>
              <w:rPr>
                <w:rFonts w:ascii="Arial" w:hAnsi="Arial" w:cs="Arial"/>
              </w:rPr>
            </w:pPr>
            <w:r w:rsidRPr="00387D1A">
              <w:rPr>
                <w:rFonts w:ascii="Arial" w:hAnsi="Arial" w:cs="Arial"/>
              </w:rPr>
              <w:t>Istotny udział mediów społecznościowych</w:t>
            </w:r>
          </w:p>
        </w:tc>
        <w:tc>
          <w:tcPr>
            <w:tcW w:w="1661" w:type="dxa"/>
          </w:tcPr>
          <w:p w14:paraId="0BB8E3DE" w14:textId="235B3B26" w:rsidR="00955F78" w:rsidRPr="00387D1A" w:rsidRDefault="00955F78" w:rsidP="00955F78">
            <w:pPr>
              <w:spacing w:line="360" w:lineRule="auto"/>
              <w:jc w:val="both"/>
              <w:rPr>
                <w:rFonts w:ascii="Arial" w:hAnsi="Arial" w:cs="Arial"/>
              </w:rPr>
            </w:pPr>
            <w:r w:rsidRPr="00387D1A">
              <w:rPr>
                <w:rFonts w:ascii="Arial" w:hAnsi="Arial" w:cs="Arial"/>
              </w:rPr>
              <w:t xml:space="preserve">0 – 3 pkt </w:t>
            </w:r>
          </w:p>
        </w:tc>
      </w:tr>
    </w:tbl>
    <w:p w14:paraId="2562066E" w14:textId="3EF02B4A" w:rsidR="00D3340E" w:rsidRPr="00387D1A" w:rsidRDefault="00D3340E" w:rsidP="009A26B8">
      <w:pPr>
        <w:pStyle w:val="Akapitzlist"/>
        <w:spacing w:after="0" w:line="360" w:lineRule="auto"/>
        <w:ind w:left="1353"/>
        <w:jc w:val="both"/>
        <w:rPr>
          <w:rFonts w:ascii="Arial" w:hAnsi="Arial" w:cs="Arial"/>
        </w:rPr>
      </w:pPr>
      <w:r w:rsidRPr="00387D1A">
        <w:rPr>
          <w:rFonts w:ascii="Arial" w:hAnsi="Arial" w:cs="Arial"/>
        </w:rPr>
        <w:t xml:space="preserve"> </w:t>
      </w:r>
    </w:p>
    <w:p w14:paraId="67270388" w14:textId="156E73CD" w:rsidR="00D3340E" w:rsidRPr="00387D1A" w:rsidRDefault="00955F78" w:rsidP="00D3340E">
      <w:pPr>
        <w:spacing w:after="0" w:line="360" w:lineRule="auto"/>
        <w:ind w:left="993"/>
        <w:jc w:val="both"/>
        <w:rPr>
          <w:rFonts w:ascii="Arial" w:hAnsi="Arial" w:cs="Arial"/>
        </w:rPr>
      </w:pPr>
      <w:r w:rsidRPr="00387D1A">
        <w:rPr>
          <w:rFonts w:ascii="Arial" w:hAnsi="Arial" w:cs="Arial"/>
        </w:rPr>
        <w:lastRenderedPageBreak/>
        <w:t>Punkty w tym kryterium zostaną przyznane na podstawie średniej arytmetycznej z</w:t>
      </w:r>
      <w:r w:rsidR="00E31237" w:rsidRPr="00387D1A">
        <w:rPr>
          <w:rFonts w:ascii="Arial" w:hAnsi="Arial" w:cs="Arial"/>
        </w:rPr>
        <w:t> </w:t>
      </w:r>
      <w:r w:rsidRPr="00387D1A">
        <w:rPr>
          <w:rFonts w:ascii="Arial" w:hAnsi="Arial" w:cs="Arial"/>
        </w:rPr>
        <w:t xml:space="preserve">indywidualnych ocen ofert, dokonanych przez członków komisji przetargowej, z podziałem na </w:t>
      </w:r>
      <w:r w:rsidR="00E31237" w:rsidRPr="00387D1A">
        <w:rPr>
          <w:rFonts w:ascii="Arial" w:hAnsi="Arial" w:cs="Arial"/>
        </w:rPr>
        <w:t xml:space="preserve">powyższe </w:t>
      </w:r>
      <w:proofErr w:type="spellStart"/>
      <w:r w:rsidRPr="00387D1A">
        <w:rPr>
          <w:rFonts w:ascii="Arial" w:hAnsi="Arial" w:cs="Arial"/>
        </w:rPr>
        <w:t>podkryteria</w:t>
      </w:r>
      <w:proofErr w:type="spellEnd"/>
      <w:r w:rsidR="00E31237" w:rsidRPr="00387D1A">
        <w:rPr>
          <w:rFonts w:ascii="Arial" w:hAnsi="Arial" w:cs="Arial"/>
        </w:rPr>
        <w:t xml:space="preserve">. </w:t>
      </w:r>
    </w:p>
    <w:p w14:paraId="35CF7CA7" w14:textId="77777777" w:rsidR="00955F78" w:rsidRPr="00387D1A" w:rsidRDefault="00955F78" w:rsidP="00D3340E">
      <w:pPr>
        <w:spacing w:after="0" w:line="360" w:lineRule="auto"/>
        <w:ind w:left="993"/>
        <w:jc w:val="both"/>
        <w:rPr>
          <w:rFonts w:ascii="Arial" w:hAnsi="Arial" w:cs="Arial"/>
        </w:rPr>
      </w:pPr>
    </w:p>
    <w:p w14:paraId="5DBAA7F0" w14:textId="0DCDA809" w:rsidR="00D3340E" w:rsidRPr="00387D1A" w:rsidRDefault="00D3340E" w:rsidP="00D3340E">
      <w:pPr>
        <w:numPr>
          <w:ilvl w:val="0"/>
          <w:numId w:val="7"/>
        </w:numPr>
        <w:tabs>
          <w:tab w:val="clear" w:pos="360"/>
        </w:tabs>
        <w:spacing w:after="0" w:line="360" w:lineRule="auto"/>
        <w:ind w:left="993" w:hanging="426"/>
        <w:jc w:val="both"/>
        <w:rPr>
          <w:rFonts w:ascii="Arial" w:hAnsi="Arial" w:cs="Arial"/>
        </w:rPr>
      </w:pPr>
      <w:r w:rsidRPr="00387D1A">
        <w:rPr>
          <w:rFonts w:ascii="Arial" w:hAnsi="Arial" w:cs="Arial"/>
        </w:rPr>
        <w:t xml:space="preserve">Punkty za kryterium „Linia kreacyjna” </w:t>
      </w:r>
      <w:r w:rsidR="00E31237" w:rsidRPr="00387D1A">
        <w:rPr>
          <w:rFonts w:ascii="Arial" w:hAnsi="Arial" w:cs="Arial"/>
        </w:rPr>
        <w:t>zostaną przyznane Wykonawcy na podstawie załączonego do oferty Ogólnego zarysu strategii kampanii oraz linii kreacyjnej opartą na zaproponowanym haśle kampanii w następujący sposób:</w:t>
      </w:r>
    </w:p>
    <w:p w14:paraId="0A2EDCA6" w14:textId="77777777" w:rsidR="00D3340E" w:rsidRPr="00387D1A" w:rsidRDefault="00D3340E" w:rsidP="00D3340E">
      <w:pPr>
        <w:pStyle w:val="Akapitzlist"/>
        <w:numPr>
          <w:ilvl w:val="0"/>
          <w:numId w:val="32"/>
        </w:numPr>
        <w:spacing w:after="0" w:line="360" w:lineRule="auto"/>
        <w:jc w:val="both"/>
        <w:rPr>
          <w:rFonts w:ascii="Arial" w:hAnsi="Arial" w:cs="Arial"/>
        </w:rPr>
      </w:pPr>
      <w:r w:rsidRPr="00387D1A">
        <w:rPr>
          <w:rFonts w:ascii="Arial" w:hAnsi="Arial" w:cs="Arial"/>
        </w:rPr>
        <w:t xml:space="preserve">Spójność myśli przewodniej kampanii (big idea) z założonymi przez Zamawiającego celami w SOPZ – </w:t>
      </w:r>
      <w:r w:rsidRPr="00387D1A">
        <w:rPr>
          <w:rFonts w:ascii="Arial" w:hAnsi="Arial" w:cs="Arial"/>
          <w:b/>
        </w:rPr>
        <w:t>do 10 pkt.,</w:t>
      </w:r>
      <w:r w:rsidRPr="00387D1A">
        <w:rPr>
          <w:rFonts w:ascii="Arial" w:hAnsi="Arial" w:cs="Arial"/>
        </w:rPr>
        <w:t xml:space="preserve"> </w:t>
      </w:r>
    </w:p>
    <w:tbl>
      <w:tblPr>
        <w:tblStyle w:val="Tabela-Siatka"/>
        <w:tblW w:w="0" w:type="auto"/>
        <w:tblInd w:w="1413" w:type="dxa"/>
        <w:tblLook w:val="04A0" w:firstRow="1" w:lastRow="0" w:firstColumn="1" w:lastColumn="0" w:noHBand="0" w:noVBand="1"/>
      </w:tblPr>
      <w:tblGrid>
        <w:gridCol w:w="6662"/>
        <w:gridCol w:w="1661"/>
      </w:tblGrid>
      <w:tr w:rsidR="00955F78" w:rsidRPr="00527F3B" w14:paraId="0C54BF34" w14:textId="77777777" w:rsidTr="00955F78">
        <w:tc>
          <w:tcPr>
            <w:tcW w:w="6662" w:type="dxa"/>
            <w:shd w:val="clear" w:color="auto" w:fill="F2F2F2" w:themeFill="background1" w:themeFillShade="F2"/>
          </w:tcPr>
          <w:p w14:paraId="3EE490E5" w14:textId="495C6FA0" w:rsidR="00955F78" w:rsidRPr="00387D1A" w:rsidRDefault="00955F78" w:rsidP="00955F78">
            <w:pPr>
              <w:spacing w:line="360" w:lineRule="auto"/>
              <w:jc w:val="center"/>
              <w:rPr>
                <w:rFonts w:ascii="Arial" w:hAnsi="Arial" w:cs="Arial"/>
              </w:rPr>
            </w:pPr>
            <w:r w:rsidRPr="00387D1A">
              <w:rPr>
                <w:rFonts w:ascii="Arial" w:hAnsi="Arial" w:cs="Arial"/>
                <w:b/>
              </w:rPr>
              <w:t>Kryterium</w:t>
            </w:r>
          </w:p>
        </w:tc>
        <w:tc>
          <w:tcPr>
            <w:tcW w:w="1661" w:type="dxa"/>
            <w:shd w:val="clear" w:color="auto" w:fill="F2F2F2" w:themeFill="background1" w:themeFillShade="F2"/>
          </w:tcPr>
          <w:p w14:paraId="619781A0" w14:textId="7A33350C" w:rsidR="00955F78" w:rsidRPr="00387D1A" w:rsidRDefault="00955F78" w:rsidP="00955F78">
            <w:pPr>
              <w:spacing w:line="360" w:lineRule="auto"/>
              <w:jc w:val="center"/>
              <w:rPr>
                <w:rFonts w:ascii="Arial" w:hAnsi="Arial" w:cs="Arial"/>
              </w:rPr>
            </w:pPr>
            <w:r w:rsidRPr="00387D1A">
              <w:rPr>
                <w:rFonts w:ascii="Arial" w:hAnsi="Arial" w:cs="Arial"/>
                <w:b/>
              </w:rPr>
              <w:t>Punkty</w:t>
            </w:r>
          </w:p>
        </w:tc>
      </w:tr>
      <w:tr w:rsidR="00955F78" w:rsidRPr="00527F3B" w14:paraId="2BBA1B92" w14:textId="77777777" w:rsidTr="009A26B8">
        <w:tc>
          <w:tcPr>
            <w:tcW w:w="6662" w:type="dxa"/>
          </w:tcPr>
          <w:p w14:paraId="25769A84" w14:textId="6F381DD3" w:rsidR="00955F78" w:rsidRPr="00387D1A" w:rsidRDefault="00955F78" w:rsidP="00955F78">
            <w:pPr>
              <w:spacing w:line="360" w:lineRule="auto"/>
              <w:jc w:val="both"/>
              <w:rPr>
                <w:rFonts w:ascii="Arial" w:hAnsi="Arial" w:cs="Arial"/>
              </w:rPr>
            </w:pPr>
            <w:r w:rsidRPr="00387D1A">
              <w:rPr>
                <w:rFonts w:ascii="Arial" w:hAnsi="Arial" w:cs="Arial"/>
              </w:rPr>
              <w:t>Spójność przekazu z celami kampanii oraz pozostałymi elementami kampanii</w:t>
            </w:r>
          </w:p>
        </w:tc>
        <w:tc>
          <w:tcPr>
            <w:tcW w:w="1661" w:type="dxa"/>
          </w:tcPr>
          <w:p w14:paraId="52128661" w14:textId="0AFDE459" w:rsidR="00955F78" w:rsidRPr="00387D1A" w:rsidRDefault="00955F78" w:rsidP="00955F78">
            <w:pPr>
              <w:spacing w:line="360" w:lineRule="auto"/>
              <w:jc w:val="both"/>
              <w:rPr>
                <w:rFonts w:ascii="Arial" w:hAnsi="Arial" w:cs="Arial"/>
              </w:rPr>
            </w:pPr>
            <w:r w:rsidRPr="00387D1A">
              <w:rPr>
                <w:rFonts w:ascii="Arial" w:hAnsi="Arial" w:cs="Arial"/>
              </w:rPr>
              <w:t>0 – 5 pkt</w:t>
            </w:r>
          </w:p>
        </w:tc>
      </w:tr>
      <w:tr w:rsidR="00955F78" w:rsidRPr="00527F3B" w14:paraId="12705ACD" w14:textId="77777777" w:rsidTr="009A26B8">
        <w:tc>
          <w:tcPr>
            <w:tcW w:w="6662" w:type="dxa"/>
          </w:tcPr>
          <w:p w14:paraId="412987FD" w14:textId="56DD114D" w:rsidR="00955F78" w:rsidRPr="00387D1A" w:rsidRDefault="00955F78">
            <w:pPr>
              <w:spacing w:line="360" w:lineRule="auto"/>
              <w:jc w:val="both"/>
              <w:rPr>
                <w:rFonts w:ascii="Arial" w:hAnsi="Arial" w:cs="Arial"/>
              </w:rPr>
            </w:pPr>
            <w:r w:rsidRPr="00387D1A">
              <w:rPr>
                <w:rFonts w:ascii="Arial" w:hAnsi="Arial" w:cs="Arial"/>
              </w:rPr>
              <w:t>Podtrzymywanie komunikacji przez cały okres trwania kampanii, a także oryginalność i wielość sposobów komunikacji z grupą docelową</w:t>
            </w:r>
          </w:p>
        </w:tc>
        <w:tc>
          <w:tcPr>
            <w:tcW w:w="1661" w:type="dxa"/>
          </w:tcPr>
          <w:p w14:paraId="7152D989" w14:textId="30B7497A" w:rsidR="00955F78" w:rsidRPr="00387D1A" w:rsidRDefault="00955F78" w:rsidP="00955F78">
            <w:pPr>
              <w:spacing w:line="360" w:lineRule="auto"/>
              <w:jc w:val="both"/>
              <w:rPr>
                <w:rFonts w:ascii="Arial" w:hAnsi="Arial" w:cs="Arial"/>
              </w:rPr>
            </w:pPr>
            <w:r w:rsidRPr="00387D1A">
              <w:rPr>
                <w:rFonts w:ascii="Arial" w:hAnsi="Arial" w:cs="Arial"/>
              </w:rPr>
              <w:t>0 – 5 pkt</w:t>
            </w:r>
          </w:p>
        </w:tc>
      </w:tr>
    </w:tbl>
    <w:p w14:paraId="38651D9E" w14:textId="77777777" w:rsidR="009A26B8" w:rsidRPr="00387D1A" w:rsidRDefault="009A26B8" w:rsidP="009A26B8">
      <w:pPr>
        <w:pStyle w:val="Akapitzlist"/>
        <w:spacing w:after="0" w:line="360" w:lineRule="auto"/>
        <w:ind w:left="1353"/>
        <w:jc w:val="both"/>
        <w:rPr>
          <w:rFonts w:ascii="Arial" w:hAnsi="Arial" w:cs="Arial"/>
        </w:rPr>
      </w:pPr>
    </w:p>
    <w:p w14:paraId="20B7B6BB" w14:textId="77777777" w:rsidR="00D3340E" w:rsidRPr="00387D1A" w:rsidRDefault="00D3340E" w:rsidP="00D3340E">
      <w:pPr>
        <w:pStyle w:val="Akapitzlist"/>
        <w:numPr>
          <w:ilvl w:val="0"/>
          <w:numId w:val="32"/>
        </w:numPr>
        <w:spacing w:after="0" w:line="360" w:lineRule="auto"/>
        <w:jc w:val="both"/>
        <w:rPr>
          <w:rFonts w:ascii="Arial" w:hAnsi="Arial" w:cs="Arial"/>
        </w:rPr>
      </w:pPr>
      <w:r w:rsidRPr="00387D1A">
        <w:rPr>
          <w:rFonts w:ascii="Arial" w:hAnsi="Arial" w:cs="Arial"/>
        </w:rPr>
        <w:t xml:space="preserve">czy linia kreacyjna zaproponowana w ofercie jest nowoczesna i dostosowana do realizacji kampanii wizerunkowej? – </w:t>
      </w:r>
      <w:r w:rsidRPr="00387D1A">
        <w:rPr>
          <w:rFonts w:ascii="Arial" w:hAnsi="Arial" w:cs="Arial"/>
          <w:b/>
        </w:rPr>
        <w:t>do 10 pkt.,</w:t>
      </w:r>
    </w:p>
    <w:tbl>
      <w:tblPr>
        <w:tblStyle w:val="Tabela-Siatka"/>
        <w:tblW w:w="0" w:type="auto"/>
        <w:tblInd w:w="1413" w:type="dxa"/>
        <w:tblLook w:val="04A0" w:firstRow="1" w:lastRow="0" w:firstColumn="1" w:lastColumn="0" w:noHBand="0" w:noVBand="1"/>
      </w:tblPr>
      <w:tblGrid>
        <w:gridCol w:w="6662"/>
        <w:gridCol w:w="1661"/>
      </w:tblGrid>
      <w:tr w:rsidR="00955F78" w:rsidRPr="00527F3B" w14:paraId="6DB0FF6A" w14:textId="77777777" w:rsidTr="00955F78">
        <w:trPr>
          <w:trHeight w:val="338"/>
        </w:trPr>
        <w:tc>
          <w:tcPr>
            <w:tcW w:w="6662" w:type="dxa"/>
            <w:shd w:val="clear" w:color="auto" w:fill="F2F2F2" w:themeFill="background1" w:themeFillShade="F2"/>
          </w:tcPr>
          <w:p w14:paraId="02B058FC" w14:textId="6B252EF5" w:rsidR="00955F78" w:rsidRPr="00387D1A" w:rsidRDefault="00955F78" w:rsidP="00955F78">
            <w:pPr>
              <w:spacing w:line="360" w:lineRule="auto"/>
              <w:jc w:val="center"/>
              <w:rPr>
                <w:rFonts w:ascii="Arial" w:hAnsi="Arial" w:cs="Arial"/>
              </w:rPr>
            </w:pPr>
            <w:r w:rsidRPr="00387D1A">
              <w:rPr>
                <w:rFonts w:ascii="Arial" w:hAnsi="Arial" w:cs="Arial"/>
                <w:b/>
              </w:rPr>
              <w:t>Kryterium</w:t>
            </w:r>
          </w:p>
        </w:tc>
        <w:tc>
          <w:tcPr>
            <w:tcW w:w="1661" w:type="dxa"/>
            <w:shd w:val="clear" w:color="auto" w:fill="F2F2F2" w:themeFill="background1" w:themeFillShade="F2"/>
          </w:tcPr>
          <w:p w14:paraId="4252631C" w14:textId="0C874EA4" w:rsidR="00955F78" w:rsidRPr="00387D1A" w:rsidRDefault="00955F78" w:rsidP="00955F78">
            <w:pPr>
              <w:spacing w:line="360" w:lineRule="auto"/>
              <w:jc w:val="center"/>
              <w:rPr>
                <w:rFonts w:ascii="Arial" w:hAnsi="Arial" w:cs="Arial"/>
              </w:rPr>
            </w:pPr>
            <w:r w:rsidRPr="00387D1A">
              <w:rPr>
                <w:rFonts w:ascii="Arial" w:hAnsi="Arial" w:cs="Arial"/>
                <w:b/>
              </w:rPr>
              <w:t>Punkty</w:t>
            </w:r>
          </w:p>
        </w:tc>
      </w:tr>
      <w:tr w:rsidR="009A26B8" w:rsidRPr="00527F3B" w14:paraId="049A753C" w14:textId="77777777" w:rsidTr="009A26B8">
        <w:trPr>
          <w:trHeight w:val="213"/>
        </w:trPr>
        <w:tc>
          <w:tcPr>
            <w:tcW w:w="6662" w:type="dxa"/>
          </w:tcPr>
          <w:p w14:paraId="3A4378F9" w14:textId="324C1B92" w:rsidR="009A26B8" w:rsidRPr="00387D1A" w:rsidRDefault="00C64B1F" w:rsidP="00387D1A">
            <w:pPr>
              <w:spacing w:line="276" w:lineRule="auto"/>
              <w:jc w:val="both"/>
              <w:rPr>
                <w:rFonts w:ascii="Arial" w:hAnsi="Arial" w:cs="Arial"/>
              </w:rPr>
            </w:pPr>
            <w:r>
              <w:rPr>
                <w:rFonts w:ascii="Arial" w:hAnsi="Arial" w:cs="Arial"/>
              </w:rPr>
              <w:t>S</w:t>
            </w:r>
            <w:r w:rsidR="00955F78" w:rsidRPr="00387D1A">
              <w:rPr>
                <w:rFonts w:ascii="Arial" w:hAnsi="Arial" w:cs="Arial"/>
              </w:rPr>
              <w:t>posób komunikacji z grupą docelową</w:t>
            </w:r>
            <w:r>
              <w:rPr>
                <w:rFonts w:ascii="Arial" w:hAnsi="Arial" w:cs="Arial"/>
              </w:rPr>
              <w:t xml:space="preserve">, tj. </w:t>
            </w:r>
            <w:r w:rsidR="00955F78" w:rsidRPr="00387D1A">
              <w:rPr>
                <w:rFonts w:ascii="Arial" w:hAnsi="Arial" w:cs="Arial"/>
              </w:rPr>
              <w:t>dostosowanie przekazu do grupy docelowej</w:t>
            </w:r>
          </w:p>
        </w:tc>
        <w:tc>
          <w:tcPr>
            <w:tcW w:w="1661" w:type="dxa"/>
          </w:tcPr>
          <w:p w14:paraId="4984BED9" w14:textId="6FDFE559" w:rsidR="009A26B8" w:rsidRPr="00387D1A" w:rsidRDefault="00955F78" w:rsidP="009A26B8">
            <w:pPr>
              <w:spacing w:line="360" w:lineRule="auto"/>
              <w:jc w:val="both"/>
              <w:rPr>
                <w:rFonts w:ascii="Arial" w:hAnsi="Arial" w:cs="Arial"/>
              </w:rPr>
            </w:pPr>
            <w:r w:rsidRPr="00387D1A">
              <w:rPr>
                <w:rFonts w:ascii="Arial" w:hAnsi="Arial" w:cs="Arial"/>
              </w:rPr>
              <w:t>0 – 3 pkt</w:t>
            </w:r>
          </w:p>
        </w:tc>
      </w:tr>
      <w:tr w:rsidR="009A26B8" w:rsidRPr="00527F3B" w14:paraId="6E7CCFC5" w14:textId="77777777" w:rsidTr="009A26B8">
        <w:trPr>
          <w:trHeight w:val="60"/>
        </w:trPr>
        <w:tc>
          <w:tcPr>
            <w:tcW w:w="6662" w:type="dxa"/>
          </w:tcPr>
          <w:p w14:paraId="34902F94" w14:textId="42E4935C" w:rsidR="009A26B8" w:rsidRPr="00387D1A" w:rsidRDefault="00C64B1F" w:rsidP="00387D1A">
            <w:pPr>
              <w:spacing w:line="276" w:lineRule="auto"/>
              <w:jc w:val="both"/>
              <w:rPr>
                <w:rFonts w:ascii="Arial" w:hAnsi="Arial" w:cs="Arial"/>
              </w:rPr>
            </w:pPr>
            <w:r>
              <w:rPr>
                <w:rFonts w:ascii="Arial" w:hAnsi="Arial" w:cs="Arial"/>
              </w:rPr>
              <w:t>Kampania przedstawia korzyści obywatela / pacjenta, linia ma wart</w:t>
            </w:r>
            <w:r w:rsidR="009A26B8" w:rsidRPr="00387D1A">
              <w:rPr>
                <w:rFonts w:ascii="Arial" w:hAnsi="Arial" w:cs="Arial"/>
              </w:rPr>
              <w:t xml:space="preserve">ość </w:t>
            </w:r>
            <w:r>
              <w:rPr>
                <w:rFonts w:ascii="Arial" w:hAnsi="Arial" w:cs="Arial"/>
              </w:rPr>
              <w:t>istotn</w:t>
            </w:r>
            <w:r w:rsidR="00ED382D">
              <w:rPr>
                <w:rFonts w:ascii="Arial" w:hAnsi="Arial" w:cs="Arial"/>
              </w:rPr>
              <w:t>ą</w:t>
            </w:r>
            <w:r>
              <w:rPr>
                <w:rFonts w:ascii="Arial" w:hAnsi="Arial" w:cs="Arial"/>
              </w:rPr>
              <w:t xml:space="preserve"> z punktu widzenia </w:t>
            </w:r>
            <w:r w:rsidR="009A26B8" w:rsidRPr="00387D1A">
              <w:rPr>
                <w:rFonts w:ascii="Arial" w:hAnsi="Arial" w:cs="Arial"/>
              </w:rPr>
              <w:t>społecz</w:t>
            </w:r>
            <w:r>
              <w:rPr>
                <w:rFonts w:ascii="Arial" w:hAnsi="Arial" w:cs="Arial"/>
              </w:rPr>
              <w:t>eństwa</w:t>
            </w:r>
            <w:r w:rsidR="009A26B8" w:rsidRPr="00387D1A">
              <w:rPr>
                <w:rFonts w:ascii="Arial" w:hAnsi="Arial" w:cs="Arial"/>
              </w:rPr>
              <w:t xml:space="preserve"> </w:t>
            </w:r>
          </w:p>
        </w:tc>
        <w:tc>
          <w:tcPr>
            <w:tcW w:w="1661" w:type="dxa"/>
          </w:tcPr>
          <w:p w14:paraId="1A7DFDC3" w14:textId="5D5E8235" w:rsidR="009A26B8" w:rsidRPr="00387D1A" w:rsidRDefault="009A26B8">
            <w:pPr>
              <w:spacing w:line="360" w:lineRule="auto"/>
              <w:jc w:val="both"/>
              <w:rPr>
                <w:rFonts w:ascii="Arial" w:hAnsi="Arial" w:cs="Arial"/>
              </w:rPr>
            </w:pPr>
            <w:r w:rsidRPr="00387D1A">
              <w:rPr>
                <w:rFonts w:ascii="Arial" w:hAnsi="Arial" w:cs="Arial"/>
              </w:rPr>
              <w:t>0 –</w:t>
            </w:r>
            <w:r w:rsidR="00955F78" w:rsidRPr="00387D1A">
              <w:rPr>
                <w:rFonts w:ascii="Arial" w:hAnsi="Arial" w:cs="Arial"/>
              </w:rPr>
              <w:t xml:space="preserve"> </w:t>
            </w:r>
            <w:r w:rsidR="00ED382D">
              <w:rPr>
                <w:rFonts w:ascii="Arial" w:hAnsi="Arial" w:cs="Arial"/>
              </w:rPr>
              <w:t>4</w:t>
            </w:r>
            <w:r w:rsidR="00ED382D" w:rsidRPr="00387D1A">
              <w:rPr>
                <w:rFonts w:ascii="Arial" w:hAnsi="Arial" w:cs="Arial"/>
              </w:rPr>
              <w:t xml:space="preserve"> </w:t>
            </w:r>
            <w:r w:rsidRPr="00387D1A">
              <w:rPr>
                <w:rFonts w:ascii="Arial" w:hAnsi="Arial" w:cs="Arial"/>
              </w:rPr>
              <w:t>pkt</w:t>
            </w:r>
          </w:p>
        </w:tc>
      </w:tr>
      <w:tr w:rsidR="00955F78" w:rsidRPr="00527F3B" w14:paraId="73EB3032" w14:textId="77777777" w:rsidTr="009A26B8">
        <w:trPr>
          <w:trHeight w:val="60"/>
        </w:trPr>
        <w:tc>
          <w:tcPr>
            <w:tcW w:w="6662" w:type="dxa"/>
          </w:tcPr>
          <w:p w14:paraId="03E9DBB3" w14:textId="20A4F57D" w:rsidR="00955F78" w:rsidRPr="00387D1A" w:rsidRDefault="00955F78" w:rsidP="00387D1A">
            <w:pPr>
              <w:spacing w:line="276" w:lineRule="auto"/>
              <w:jc w:val="both"/>
              <w:rPr>
                <w:rFonts w:ascii="Arial" w:hAnsi="Arial" w:cs="Arial"/>
              </w:rPr>
            </w:pPr>
            <w:r w:rsidRPr="00387D1A">
              <w:rPr>
                <w:rFonts w:ascii="Arial" w:hAnsi="Arial" w:cs="Arial"/>
              </w:rPr>
              <w:t>Projekt posiada walor unikalności, jest wyjątkowy i wyróżnia się od innych kampanii promocyjnych.</w:t>
            </w:r>
          </w:p>
        </w:tc>
        <w:tc>
          <w:tcPr>
            <w:tcW w:w="1661" w:type="dxa"/>
          </w:tcPr>
          <w:p w14:paraId="3D9E107C" w14:textId="0DB600FA" w:rsidR="00955F78" w:rsidRPr="00387D1A" w:rsidRDefault="00955F78">
            <w:pPr>
              <w:spacing w:line="360" w:lineRule="auto"/>
              <w:jc w:val="both"/>
              <w:rPr>
                <w:rFonts w:ascii="Arial" w:hAnsi="Arial" w:cs="Arial"/>
              </w:rPr>
            </w:pPr>
            <w:r w:rsidRPr="00387D1A">
              <w:rPr>
                <w:rFonts w:ascii="Arial" w:hAnsi="Arial" w:cs="Arial"/>
              </w:rPr>
              <w:t xml:space="preserve">0 – </w:t>
            </w:r>
            <w:r w:rsidR="00ED382D">
              <w:rPr>
                <w:rFonts w:ascii="Arial" w:hAnsi="Arial" w:cs="Arial"/>
              </w:rPr>
              <w:t>3</w:t>
            </w:r>
            <w:r w:rsidR="00ED382D" w:rsidRPr="00387D1A">
              <w:rPr>
                <w:rFonts w:ascii="Arial" w:hAnsi="Arial" w:cs="Arial"/>
              </w:rPr>
              <w:t xml:space="preserve"> </w:t>
            </w:r>
            <w:r w:rsidRPr="00387D1A">
              <w:rPr>
                <w:rFonts w:ascii="Arial" w:hAnsi="Arial" w:cs="Arial"/>
              </w:rPr>
              <w:t xml:space="preserve">pkt </w:t>
            </w:r>
          </w:p>
        </w:tc>
      </w:tr>
    </w:tbl>
    <w:p w14:paraId="31AF97F3" w14:textId="77777777" w:rsidR="009A26B8" w:rsidRPr="00387D1A" w:rsidRDefault="009A26B8" w:rsidP="009A26B8">
      <w:pPr>
        <w:pStyle w:val="Akapitzlist"/>
        <w:spacing w:after="0" w:line="360" w:lineRule="auto"/>
        <w:ind w:left="1353"/>
        <w:jc w:val="both"/>
        <w:rPr>
          <w:rFonts w:ascii="Arial" w:hAnsi="Arial" w:cs="Arial"/>
        </w:rPr>
      </w:pPr>
    </w:p>
    <w:p w14:paraId="3A4F0614" w14:textId="19A252F5" w:rsidR="00D3340E" w:rsidRPr="00387D1A" w:rsidRDefault="00D3340E" w:rsidP="00D3340E">
      <w:pPr>
        <w:pStyle w:val="Akapitzlist"/>
        <w:numPr>
          <w:ilvl w:val="0"/>
          <w:numId w:val="32"/>
        </w:numPr>
        <w:spacing w:after="0" w:line="360" w:lineRule="auto"/>
        <w:jc w:val="both"/>
        <w:rPr>
          <w:rFonts w:ascii="Arial" w:hAnsi="Arial" w:cs="Arial"/>
        </w:rPr>
      </w:pPr>
      <w:r w:rsidRPr="00387D1A">
        <w:rPr>
          <w:rFonts w:ascii="Arial" w:hAnsi="Arial" w:cs="Arial"/>
        </w:rPr>
        <w:t xml:space="preserve">czy linia kreacyjna przedstawia przemyślaną strategię wdrażania środków unijnych w sektorze zdrowia przez Zamawiającego jednocześnie wskazując na wpływ środków unijnych na zdrowie i jakość życia zwykłego człowieka? – </w:t>
      </w:r>
      <w:r w:rsidRPr="00387D1A">
        <w:rPr>
          <w:rFonts w:ascii="Arial" w:hAnsi="Arial" w:cs="Arial"/>
          <w:b/>
        </w:rPr>
        <w:t>do 10 pkt.</w:t>
      </w:r>
    </w:p>
    <w:tbl>
      <w:tblPr>
        <w:tblStyle w:val="Tabela-Siatka"/>
        <w:tblW w:w="0" w:type="auto"/>
        <w:tblInd w:w="1413" w:type="dxa"/>
        <w:tblLook w:val="04A0" w:firstRow="1" w:lastRow="0" w:firstColumn="1" w:lastColumn="0" w:noHBand="0" w:noVBand="1"/>
      </w:tblPr>
      <w:tblGrid>
        <w:gridCol w:w="6662"/>
        <w:gridCol w:w="1661"/>
      </w:tblGrid>
      <w:tr w:rsidR="00955F78" w:rsidRPr="00527F3B" w14:paraId="2791E2F3" w14:textId="77777777" w:rsidTr="00387D1A">
        <w:tc>
          <w:tcPr>
            <w:tcW w:w="6662" w:type="dxa"/>
            <w:shd w:val="clear" w:color="auto" w:fill="F2F2F2" w:themeFill="background1" w:themeFillShade="F2"/>
          </w:tcPr>
          <w:p w14:paraId="0263095F" w14:textId="250A4B56" w:rsidR="00955F78" w:rsidRPr="00387D1A" w:rsidRDefault="00955F78" w:rsidP="00955F78">
            <w:pPr>
              <w:spacing w:line="360" w:lineRule="auto"/>
              <w:jc w:val="center"/>
              <w:rPr>
                <w:rFonts w:ascii="Arial" w:hAnsi="Arial" w:cs="Arial"/>
              </w:rPr>
            </w:pPr>
            <w:r w:rsidRPr="00387D1A">
              <w:rPr>
                <w:rFonts w:ascii="Arial" w:hAnsi="Arial" w:cs="Arial"/>
                <w:b/>
              </w:rPr>
              <w:t>Kryterium</w:t>
            </w:r>
          </w:p>
        </w:tc>
        <w:tc>
          <w:tcPr>
            <w:tcW w:w="1661" w:type="dxa"/>
            <w:shd w:val="clear" w:color="auto" w:fill="F2F2F2" w:themeFill="background1" w:themeFillShade="F2"/>
          </w:tcPr>
          <w:p w14:paraId="2C6B330A" w14:textId="16F8E348" w:rsidR="00955F78" w:rsidRPr="00387D1A" w:rsidRDefault="00955F78" w:rsidP="00955F78">
            <w:pPr>
              <w:spacing w:line="360" w:lineRule="auto"/>
              <w:jc w:val="center"/>
              <w:rPr>
                <w:rFonts w:ascii="Arial" w:hAnsi="Arial" w:cs="Arial"/>
              </w:rPr>
            </w:pPr>
            <w:r w:rsidRPr="00387D1A">
              <w:rPr>
                <w:rFonts w:ascii="Arial" w:hAnsi="Arial" w:cs="Arial"/>
                <w:b/>
              </w:rPr>
              <w:t>Punkty</w:t>
            </w:r>
          </w:p>
        </w:tc>
      </w:tr>
      <w:tr w:rsidR="009A26B8" w:rsidRPr="00527F3B" w14:paraId="0B1D216D" w14:textId="77777777" w:rsidTr="00387D1A">
        <w:tc>
          <w:tcPr>
            <w:tcW w:w="6662" w:type="dxa"/>
          </w:tcPr>
          <w:p w14:paraId="3CCB4E77" w14:textId="1A502282" w:rsidR="009A26B8" w:rsidRPr="00387D1A" w:rsidRDefault="009A26B8" w:rsidP="00387D1A">
            <w:pPr>
              <w:spacing w:line="276" w:lineRule="auto"/>
              <w:jc w:val="both"/>
              <w:rPr>
                <w:rFonts w:ascii="Arial" w:hAnsi="Arial" w:cs="Arial"/>
              </w:rPr>
            </w:pPr>
            <w:r w:rsidRPr="00387D1A">
              <w:rPr>
                <w:rFonts w:ascii="Arial" w:hAnsi="Arial" w:cs="Arial"/>
              </w:rPr>
              <w:t xml:space="preserve">Projekt zawiera argumenty motywujące grupę docelową do </w:t>
            </w:r>
            <w:r w:rsidR="005478B1">
              <w:rPr>
                <w:rFonts w:ascii="Arial" w:hAnsi="Arial" w:cs="Arial"/>
              </w:rPr>
              <w:t xml:space="preserve">zauważania zmian jakie zaszły dzięki środkom unijnym </w:t>
            </w:r>
            <w:r w:rsidR="005478B1">
              <w:rPr>
                <w:rFonts w:ascii="Arial" w:hAnsi="Arial" w:cs="Arial"/>
              </w:rPr>
              <w:br/>
              <w:t>w sektorze zdrowia</w:t>
            </w:r>
          </w:p>
        </w:tc>
        <w:tc>
          <w:tcPr>
            <w:tcW w:w="1661" w:type="dxa"/>
          </w:tcPr>
          <w:p w14:paraId="5E8E1088" w14:textId="0A0A3E6B" w:rsidR="009A26B8" w:rsidRPr="00387D1A" w:rsidRDefault="00955F78" w:rsidP="009A26B8">
            <w:pPr>
              <w:spacing w:line="360" w:lineRule="auto"/>
              <w:jc w:val="both"/>
              <w:rPr>
                <w:rFonts w:ascii="Arial" w:hAnsi="Arial" w:cs="Arial"/>
              </w:rPr>
            </w:pPr>
            <w:r w:rsidRPr="00387D1A">
              <w:rPr>
                <w:rFonts w:ascii="Arial" w:hAnsi="Arial" w:cs="Arial"/>
              </w:rPr>
              <w:t>0 – 5 pkt</w:t>
            </w:r>
          </w:p>
        </w:tc>
      </w:tr>
      <w:tr w:rsidR="009A26B8" w:rsidRPr="00527F3B" w14:paraId="6E677916" w14:textId="77777777" w:rsidTr="00387D1A">
        <w:tc>
          <w:tcPr>
            <w:tcW w:w="6662" w:type="dxa"/>
          </w:tcPr>
          <w:p w14:paraId="22BC465E" w14:textId="106CDA00" w:rsidR="009A26B8" w:rsidRPr="00387D1A" w:rsidRDefault="009A26B8" w:rsidP="00387D1A">
            <w:pPr>
              <w:spacing w:line="276" w:lineRule="auto"/>
              <w:jc w:val="both"/>
              <w:rPr>
                <w:rFonts w:ascii="Arial" w:hAnsi="Arial" w:cs="Arial"/>
              </w:rPr>
            </w:pPr>
            <w:r w:rsidRPr="00387D1A">
              <w:rPr>
                <w:rFonts w:ascii="Arial" w:hAnsi="Arial" w:cs="Arial"/>
              </w:rPr>
              <w:t xml:space="preserve">Projekt zawiera nowatorskie pomysły i </w:t>
            </w:r>
            <w:r w:rsidR="005478B1">
              <w:rPr>
                <w:rFonts w:ascii="Arial" w:hAnsi="Arial" w:cs="Arial"/>
              </w:rPr>
              <w:t xml:space="preserve">niestandardowe narzędzia </w:t>
            </w:r>
            <w:r w:rsidRPr="00387D1A">
              <w:rPr>
                <w:rFonts w:ascii="Arial" w:hAnsi="Arial" w:cs="Arial"/>
              </w:rPr>
              <w:t>promujące</w:t>
            </w:r>
            <w:r w:rsidR="005478B1">
              <w:rPr>
                <w:rFonts w:ascii="Arial" w:hAnsi="Arial" w:cs="Arial"/>
              </w:rPr>
              <w:t xml:space="preserve"> / prezentujące dobre praktyki wdrażania FE</w:t>
            </w:r>
          </w:p>
        </w:tc>
        <w:tc>
          <w:tcPr>
            <w:tcW w:w="1661" w:type="dxa"/>
          </w:tcPr>
          <w:p w14:paraId="2BE43F91" w14:textId="207A9CE4" w:rsidR="009A26B8" w:rsidRPr="00387D1A" w:rsidRDefault="00955F78" w:rsidP="009A26B8">
            <w:pPr>
              <w:spacing w:line="360" w:lineRule="auto"/>
              <w:jc w:val="both"/>
              <w:rPr>
                <w:rFonts w:ascii="Arial" w:hAnsi="Arial" w:cs="Arial"/>
              </w:rPr>
            </w:pPr>
            <w:r w:rsidRPr="00387D1A">
              <w:rPr>
                <w:rFonts w:ascii="Arial" w:hAnsi="Arial" w:cs="Arial"/>
              </w:rPr>
              <w:t>0 – 5 pkt</w:t>
            </w:r>
          </w:p>
        </w:tc>
      </w:tr>
    </w:tbl>
    <w:p w14:paraId="3BC5FF9A" w14:textId="77777777" w:rsidR="009A26B8" w:rsidRPr="00387D1A" w:rsidRDefault="009A26B8" w:rsidP="009A26B8">
      <w:pPr>
        <w:pStyle w:val="Akapitzlist"/>
        <w:spacing w:after="0" w:line="360" w:lineRule="auto"/>
        <w:ind w:left="1353"/>
        <w:jc w:val="both"/>
        <w:rPr>
          <w:rFonts w:ascii="Arial" w:hAnsi="Arial" w:cs="Arial"/>
        </w:rPr>
      </w:pPr>
    </w:p>
    <w:p w14:paraId="491D62A9" w14:textId="18F9FA89" w:rsidR="00E31237" w:rsidRDefault="00E31237" w:rsidP="00E31237">
      <w:pPr>
        <w:spacing w:after="0" w:line="360" w:lineRule="auto"/>
        <w:ind w:left="993"/>
        <w:jc w:val="both"/>
        <w:rPr>
          <w:rFonts w:ascii="Arial" w:hAnsi="Arial" w:cs="Arial"/>
        </w:rPr>
      </w:pPr>
      <w:r w:rsidRPr="00387D1A">
        <w:rPr>
          <w:rFonts w:ascii="Arial" w:hAnsi="Arial" w:cs="Arial"/>
        </w:rPr>
        <w:t xml:space="preserve">Punkty w tym kryterium zostaną przyznane na podstawie średniej arytmetycznej z indywidualnych ocen ofert, dokonanych przez członków komisji przetargowej, z podziałem na powyższe </w:t>
      </w:r>
      <w:proofErr w:type="spellStart"/>
      <w:r w:rsidRPr="00387D1A">
        <w:rPr>
          <w:rFonts w:ascii="Arial" w:hAnsi="Arial" w:cs="Arial"/>
        </w:rPr>
        <w:t>podkryteria</w:t>
      </w:r>
      <w:proofErr w:type="spellEnd"/>
      <w:r w:rsidRPr="00387D1A">
        <w:rPr>
          <w:rFonts w:ascii="Arial" w:hAnsi="Arial" w:cs="Arial"/>
        </w:rPr>
        <w:t>.</w:t>
      </w:r>
      <w:r>
        <w:rPr>
          <w:rFonts w:ascii="Arial" w:hAnsi="Arial" w:cs="Arial"/>
        </w:rPr>
        <w:t xml:space="preserve"> </w:t>
      </w:r>
    </w:p>
    <w:p w14:paraId="5277F953" w14:textId="77777777" w:rsidR="009E3106" w:rsidRDefault="00164BD2" w:rsidP="00B43C3B">
      <w:pPr>
        <w:pStyle w:val="Akapitzlist"/>
        <w:numPr>
          <w:ilvl w:val="1"/>
          <w:numId w:val="11"/>
        </w:numPr>
        <w:spacing w:after="0" w:line="360" w:lineRule="auto"/>
        <w:ind w:left="567" w:hanging="567"/>
        <w:jc w:val="both"/>
        <w:rPr>
          <w:rFonts w:ascii="Arial" w:hAnsi="Arial" w:cs="Arial"/>
        </w:rPr>
      </w:pPr>
      <w:r w:rsidRPr="001A05B5">
        <w:rPr>
          <w:rFonts w:ascii="Arial" w:hAnsi="Arial" w:cs="Arial"/>
        </w:rPr>
        <w:t xml:space="preserve">Oferta niepodlegająca odrzuceniu, z najwyższą sumą punktów za ww. kryteria, zostanie uznana za najkorzystniejszą. </w:t>
      </w:r>
      <w:r w:rsidR="00987C54" w:rsidRPr="001A05B5">
        <w:rPr>
          <w:rFonts w:ascii="Arial" w:hAnsi="Arial" w:cs="Arial"/>
        </w:rPr>
        <w:t>Punkty będą liczone do dwóch miejsc po przecinku.  </w:t>
      </w:r>
    </w:p>
    <w:p w14:paraId="224470D8" w14:textId="77777777" w:rsidR="00916D21" w:rsidRDefault="00916D21" w:rsidP="008C04E7">
      <w:pPr>
        <w:pStyle w:val="Akapitzlist"/>
        <w:spacing w:after="0" w:line="360" w:lineRule="auto"/>
        <w:ind w:left="567"/>
        <w:jc w:val="both"/>
        <w:rPr>
          <w:rFonts w:ascii="Arial" w:hAnsi="Arial" w:cs="Arial"/>
        </w:rPr>
      </w:pPr>
    </w:p>
    <w:p w14:paraId="36A9CE75" w14:textId="77777777" w:rsidR="00916D21" w:rsidRDefault="00916D21" w:rsidP="008C04E7">
      <w:pPr>
        <w:pStyle w:val="Akapitzlist"/>
        <w:spacing w:after="0" w:line="360" w:lineRule="auto"/>
        <w:ind w:left="567"/>
        <w:jc w:val="both"/>
        <w:rPr>
          <w:rFonts w:ascii="Arial" w:hAnsi="Arial" w:cs="Arial"/>
        </w:rPr>
      </w:pPr>
    </w:p>
    <w:p w14:paraId="2B623CFD" w14:textId="77777777" w:rsidR="00916D21" w:rsidRDefault="00916D21" w:rsidP="008C04E7">
      <w:pPr>
        <w:pStyle w:val="Akapitzlist"/>
        <w:spacing w:after="0" w:line="360" w:lineRule="auto"/>
        <w:ind w:left="567"/>
        <w:jc w:val="both"/>
        <w:rPr>
          <w:rFonts w:ascii="Arial" w:hAnsi="Arial" w:cs="Arial"/>
        </w:rPr>
      </w:pPr>
    </w:p>
    <w:p w14:paraId="06BB0A03" w14:textId="77777777" w:rsidR="00E31237" w:rsidRPr="001A05B5" w:rsidRDefault="00E31237" w:rsidP="008C0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688001B" w14:textId="77777777" w:rsidTr="00C51F0F">
        <w:trPr>
          <w:jc w:val="center"/>
        </w:trPr>
        <w:tc>
          <w:tcPr>
            <w:tcW w:w="9062" w:type="dxa"/>
            <w:shd w:val="clear" w:color="auto" w:fill="BFBFBF" w:themeFill="background1" w:themeFillShade="BF"/>
          </w:tcPr>
          <w:p w14:paraId="50876DB1"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EF7360B" w14:textId="77777777" w:rsidTr="00C51F0F">
        <w:trPr>
          <w:jc w:val="center"/>
        </w:trPr>
        <w:tc>
          <w:tcPr>
            <w:tcW w:w="9062" w:type="dxa"/>
            <w:shd w:val="clear" w:color="auto" w:fill="BFBFBF" w:themeFill="background1" w:themeFillShade="BF"/>
          </w:tcPr>
          <w:p w14:paraId="5A78FFB9"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1CE13C09" w14:textId="77777777" w:rsidR="008403DD" w:rsidRDefault="008403DD" w:rsidP="005015B9">
      <w:pPr>
        <w:jc w:val="both"/>
        <w:rPr>
          <w:rFonts w:ascii="Arial" w:hAnsi="Arial" w:cs="Arial"/>
        </w:rPr>
      </w:pPr>
    </w:p>
    <w:p w14:paraId="07C8D873"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47CCD5A6"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udzieli zamówienia wykonawcy, którego oferta została wybrana jako najkorzystniejsza. </w:t>
      </w:r>
    </w:p>
    <w:p w14:paraId="72F31646" w14:textId="182D165A"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t>O wyborze najkorzystniejszej oferty zamawiający zawiadomi wykonawców, którzy złożyli oferty w postępowaniu, a także zamieści te informacje na własnej stronie internetowej (</w:t>
      </w:r>
      <w:hyperlink r:id="rId10" w:history="1">
        <w:r w:rsidR="007D169D" w:rsidRPr="007D169D">
          <w:rPr>
            <w:rStyle w:val="Hipercze"/>
            <w:rFonts w:ascii="Arial" w:hAnsi="Arial" w:cs="Arial"/>
          </w:rPr>
          <w:t>https://www.gov.pl/zdrowie/zamowienia-publiczne</w:t>
        </w:r>
      </w:hyperlink>
      <w:r w:rsidR="007D169D" w:rsidRPr="007D169D">
        <w:rPr>
          <w:rFonts w:ascii="Arial" w:hAnsi="Arial" w:cs="Arial"/>
        </w:rPr>
        <w:t>)</w:t>
      </w:r>
      <w:r w:rsidR="001A05B5" w:rsidRPr="007D169D">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F5EBE29" w14:textId="77777777" w:rsidTr="00C51F0F">
        <w:trPr>
          <w:jc w:val="center"/>
        </w:trPr>
        <w:tc>
          <w:tcPr>
            <w:tcW w:w="9062" w:type="dxa"/>
            <w:shd w:val="clear" w:color="auto" w:fill="BFBFBF" w:themeFill="background1" w:themeFillShade="BF"/>
          </w:tcPr>
          <w:p w14:paraId="72AA6E84"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01764228" w14:textId="77777777" w:rsidTr="00C51F0F">
        <w:trPr>
          <w:jc w:val="center"/>
        </w:trPr>
        <w:tc>
          <w:tcPr>
            <w:tcW w:w="9062" w:type="dxa"/>
            <w:shd w:val="clear" w:color="auto" w:fill="BFBFBF" w:themeFill="background1" w:themeFillShade="BF"/>
          </w:tcPr>
          <w:p w14:paraId="40B1D647"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30D49C46" w14:textId="77777777" w:rsidR="008403DD" w:rsidRDefault="008403DD" w:rsidP="005015B9">
      <w:pPr>
        <w:jc w:val="both"/>
        <w:rPr>
          <w:rFonts w:ascii="Arial" w:hAnsi="Arial" w:cs="Arial"/>
        </w:rPr>
      </w:pPr>
    </w:p>
    <w:p w14:paraId="677BF58E"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198842E9"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14:paraId="1B7B993F"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wyboru oferty złożonej przez Wykonawców wspólnie ubiegających się o</w:t>
      </w:r>
      <w:r w:rsidR="001A05B5">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w:t>
      </w:r>
      <w:r w:rsidR="001A05B5">
        <w:rPr>
          <w:rFonts w:ascii="Arial" w:hAnsi="Arial" w:cs="Arial"/>
        </w:rPr>
        <w:t> </w:t>
      </w:r>
      <w:r w:rsidRPr="001D424E">
        <w:rPr>
          <w:rFonts w:ascii="Arial" w:hAnsi="Arial" w:cs="Arial"/>
        </w:rPr>
        <w:t xml:space="preserve">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E77B0E7" w14:textId="0C144AAC" w:rsidR="00C8744F" w:rsidRPr="00C8744F" w:rsidRDefault="00C8744F" w:rsidP="00C8744F">
      <w:pPr>
        <w:pStyle w:val="Akapitzlist"/>
        <w:spacing w:after="0" w:line="360" w:lineRule="auto"/>
        <w:ind w:left="567"/>
        <w:jc w:val="both"/>
        <w:rPr>
          <w:rFonts w:ascii="Arial" w:hAnsi="Arial" w:cs="Arial"/>
          <w:b/>
          <w:i/>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96F1493" w14:textId="77777777" w:rsidTr="00C51F0F">
        <w:trPr>
          <w:jc w:val="center"/>
        </w:trPr>
        <w:tc>
          <w:tcPr>
            <w:tcW w:w="9062" w:type="dxa"/>
            <w:shd w:val="clear" w:color="auto" w:fill="BFBFBF" w:themeFill="background1" w:themeFillShade="BF"/>
          </w:tcPr>
          <w:p w14:paraId="6FB2CCFE"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293C978B" w14:textId="77777777" w:rsidTr="00C51F0F">
        <w:trPr>
          <w:jc w:val="center"/>
        </w:trPr>
        <w:tc>
          <w:tcPr>
            <w:tcW w:w="9062" w:type="dxa"/>
            <w:shd w:val="clear" w:color="auto" w:fill="BFBFBF" w:themeFill="background1" w:themeFillShade="BF"/>
          </w:tcPr>
          <w:p w14:paraId="75751F3F"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148E7974" w14:textId="77777777" w:rsidR="008403DD" w:rsidRPr="008403DD" w:rsidRDefault="008403DD" w:rsidP="005015B9">
      <w:pPr>
        <w:jc w:val="both"/>
        <w:rPr>
          <w:rFonts w:ascii="Arial" w:hAnsi="Arial" w:cs="Arial"/>
          <w:b/>
        </w:rPr>
      </w:pPr>
    </w:p>
    <w:p w14:paraId="38D61555"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07FD2E95" w14:textId="77777777" w:rsidR="00753CAC" w:rsidRDefault="00753CAC" w:rsidP="00B43C3B">
      <w:pPr>
        <w:pStyle w:val="Akapitzlist"/>
        <w:numPr>
          <w:ilvl w:val="1"/>
          <w:numId w:val="11"/>
        </w:numPr>
        <w:spacing w:after="0" w:line="360" w:lineRule="auto"/>
        <w:ind w:left="567" w:hanging="567"/>
        <w:jc w:val="both"/>
        <w:rPr>
          <w:rFonts w:ascii="Arial" w:hAnsi="Arial" w:cs="Arial"/>
        </w:rPr>
      </w:pPr>
      <w:r>
        <w:rPr>
          <w:rFonts w:ascii="Arial" w:hAnsi="Arial" w:cs="Arial"/>
        </w:rPr>
        <w:t>Zamawiający nie wymaga wniesienia wadium.</w:t>
      </w:r>
    </w:p>
    <w:p w14:paraId="16F0AF4C" w14:textId="77777777" w:rsidR="00905445" w:rsidRDefault="00905445" w:rsidP="00B43C3B">
      <w:pPr>
        <w:pStyle w:val="Akapitzlist"/>
        <w:numPr>
          <w:ilvl w:val="1"/>
          <w:numId w:val="11"/>
        </w:numPr>
        <w:spacing w:after="0" w:line="360" w:lineRule="auto"/>
        <w:ind w:left="567" w:hanging="567"/>
        <w:jc w:val="both"/>
        <w:rPr>
          <w:rFonts w:ascii="Arial" w:hAnsi="Arial" w:cs="Arial"/>
        </w:rPr>
      </w:pP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1A05B5">
        <w:rPr>
          <w:rFonts w:ascii="Arial" w:hAnsi="Arial" w:cs="Arial"/>
        </w:rPr>
        <w:t>.</w:t>
      </w:r>
    </w:p>
    <w:p w14:paraId="2A81ADAF" w14:textId="77777777" w:rsidR="00DF31FF" w:rsidRDefault="00DF31FF" w:rsidP="00680621">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1D330E5" w14:textId="77777777" w:rsidTr="00C51F0F">
        <w:trPr>
          <w:jc w:val="center"/>
        </w:trPr>
        <w:tc>
          <w:tcPr>
            <w:tcW w:w="9062" w:type="dxa"/>
            <w:shd w:val="clear" w:color="auto" w:fill="BFBFBF" w:themeFill="background1" w:themeFillShade="BF"/>
          </w:tcPr>
          <w:p w14:paraId="4BF0D975"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1B876660" w14:textId="77777777" w:rsidTr="00C51F0F">
        <w:trPr>
          <w:jc w:val="center"/>
        </w:trPr>
        <w:tc>
          <w:tcPr>
            <w:tcW w:w="9062" w:type="dxa"/>
            <w:shd w:val="clear" w:color="auto" w:fill="BFBFBF" w:themeFill="background1" w:themeFillShade="BF"/>
          </w:tcPr>
          <w:p w14:paraId="4E07C7C3"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346F1EE2" w14:textId="77777777" w:rsidR="00476CF8" w:rsidRDefault="00476CF8" w:rsidP="00476CF8">
      <w:pPr>
        <w:spacing w:after="0" w:line="240" w:lineRule="auto"/>
        <w:jc w:val="both"/>
        <w:rPr>
          <w:rFonts w:ascii="Arial" w:hAnsi="Arial" w:cs="Arial"/>
        </w:rPr>
      </w:pPr>
    </w:p>
    <w:p w14:paraId="26008BCF"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7E005784" w14:textId="77777777" w:rsidR="008403DD" w:rsidRDefault="00F46710" w:rsidP="00B43C3B">
      <w:pPr>
        <w:pStyle w:val="Akapitzlist"/>
        <w:numPr>
          <w:ilvl w:val="1"/>
          <w:numId w:val="11"/>
        </w:numPr>
        <w:spacing w:after="0" w:line="360" w:lineRule="auto"/>
        <w:ind w:left="567" w:hanging="567"/>
        <w:jc w:val="both"/>
        <w:rPr>
          <w:rFonts w:ascii="Arial" w:hAnsi="Arial" w:cs="Arial"/>
        </w:rPr>
      </w:pPr>
      <w:r>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14:paraId="6E2A628E"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0F88019" w14:textId="77777777" w:rsidTr="00C51F0F">
        <w:trPr>
          <w:jc w:val="center"/>
        </w:trPr>
        <w:tc>
          <w:tcPr>
            <w:tcW w:w="9062" w:type="dxa"/>
            <w:shd w:val="clear" w:color="auto" w:fill="BFBFBF" w:themeFill="background1" w:themeFillShade="BF"/>
          </w:tcPr>
          <w:p w14:paraId="6B13C84F"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14633972" w14:textId="77777777" w:rsidTr="004D24FC">
        <w:trPr>
          <w:trHeight w:val="304"/>
          <w:jc w:val="center"/>
        </w:trPr>
        <w:tc>
          <w:tcPr>
            <w:tcW w:w="9062" w:type="dxa"/>
            <w:shd w:val="clear" w:color="auto" w:fill="BFBFBF" w:themeFill="background1" w:themeFillShade="BF"/>
          </w:tcPr>
          <w:p w14:paraId="08573399" w14:textId="77777777" w:rsidR="008403DD" w:rsidRPr="008403DD" w:rsidRDefault="008403DD" w:rsidP="005015B9">
            <w:pPr>
              <w:jc w:val="center"/>
              <w:rPr>
                <w:rFonts w:ascii="Arial" w:hAnsi="Arial" w:cs="Arial"/>
                <w:b/>
              </w:rPr>
            </w:pPr>
            <w:r w:rsidRPr="008403DD">
              <w:rPr>
                <w:rFonts w:ascii="Arial" w:hAnsi="Arial" w:cs="Arial"/>
                <w:b/>
              </w:rPr>
              <w:lastRenderedPageBreak/>
              <w:t>OPIS SPOSOBU UDZIELANIA WYJAŚNIEŃ I ZMIAN TREŚCI SIWZ</w:t>
            </w:r>
          </w:p>
        </w:tc>
      </w:tr>
    </w:tbl>
    <w:p w14:paraId="3D9F7B1E" w14:textId="77777777" w:rsidR="008403DD" w:rsidRDefault="008403DD" w:rsidP="005015B9">
      <w:pPr>
        <w:jc w:val="both"/>
        <w:rPr>
          <w:rFonts w:ascii="Arial" w:hAnsi="Arial" w:cs="Arial"/>
        </w:rPr>
      </w:pPr>
    </w:p>
    <w:p w14:paraId="2A430A49"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25FBFFA5"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zwrócić się do zamawiającego z wnioskiem o wyjaśnienie treści SIWZ. </w:t>
      </w:r>
    </w:p>
    <w:p w14:paraId="1D89398E" w14:textId="16F413D4"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7D169D" w:rsidRPr="007D169D">
          <w:rPr>
            <w:rStyle w:val="Hipercze"/>
            <w:rFonts w:ascii="Arial" w:hAnsi="Arial" w:cs="Arial"/>
          </w:rPr>
          <w:t>https://www.gov.pl/zdrowie/zamowienia-publiczne</w:t>
        </w:r>
      </w:hyperlink>
      <w:r w:rsidR="007D169D" w:rsidRPr="007D169D">
        <w:rPr>
          <w:rFonts w:ascii="Arial" w:hAnsi="Arial" w:cs="Arial"/>
        </w:rPr>
        <w:t>)</w:t>
      </w:r>
      <w:r w:rsidRPr="007D169D">
        <w:rPr>
          <w:rFonts w:ascii="Arial" w:hAnsi="Arial" w:cs="Arial"/>
        </w:rPr>
        <w:t xml:space="preserve">, pod warunkiem, </w:t>
      </w:r>
      <w:r w:rsidR="00916D21">
        <w:rPr>
          <w:rFonts w:ascii="Arial" w:hAnsi="Arial" w:cs="Arial"/>
        </w:rPr>
        <w:br/>
      </w:r>
      <w:r w:rsidRPr="007D169D">
        <w:rPr>
          <w:rFonts w:ascii="Arial" w:hAnsi="Arial" w:cs="Arial"/>
        </w:rPr>
        <w:t xml:space="preserve">że wniosek o wyjaśnienie treści SIWZ wpłynął do zamawiającego nie później niż do końca dnia, w którym upływa połowa wyznaczonego terminu składania ofert. </w:t>
      </w:r>
    </w:p>
    <w:p w14:paraId="4F7EB28A" w14:textId="77777777" w:rsidR="00916D21"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może przed upływem terminu składania ofert zmienić treść SIWZ. Zmianę SIWZ zamawiający udostępni na własnej stronie internetowej</w:t>
      </w:r>
      <w:r w:rsidR="00916D21">
        <w:rPr>
          <w:rFonts w:ascii="Arial" w:hAnsi="Arial" w:cs="Arial"/>
        </w:rPr>
        <w:t>:</w:t>
      </w:r>
    </w:p>
    <w:p w14:paraId="3471B130" w14:textId="43EE9F5F" w:rsidR="008403DD" w:rsidRDefault="001D424E" w:rsidP="00387D1A">
      <w:pPr>
        <w:pStyle w:val="Akapitzlist"/>
        <w:spacing w:after="0" w:line="360" w:lineRule="auto"/>
        <w:ind w:left="567"/>
        <w:jc w:val="both"/>
        <w:rPr>
          <w:rFonts w:ascii="Arial" w:hAnsi="Arial" w:cs="Arial"/>
        </w:rPr>
      </w:pPr>
      <w:r w:rsidRPr="001A05B5">
        <w:rPr>
          <w:rFonts w:ascii="Arial" w:hAnsi="Arial" w:cs="Arial"/>
        </w:rPr>
        <w:t>(</w:t>
      </w:r>
      <w:hyperlink r:id="rId12" w:history="1">
        <w:r w:rsidR="007D169D" w:rsidRPr="00C02634">
          <w:rPr>
            <w:rStyle w:val="Hipercze"/>
            <w:rFonts w:ascii="Arial" w:hAnsi="Arial" w:cs="Arial"/>
          </w:rPr>
          <w:t>https://www.gov.pl/zdrowie/zamowienia-publiczne</w:t>
        </w:r>
      </w:hyperlink>
      <w:r w:rsidRPr="001A05B5">
        <w:rPr>
          <w:rFonts w:ascii="Arial" w:hAnsi="Arial" w:cs="Arial"/>
        </w:rPr>
        <w:t>).</w:t>
      </w:r>
      <w:r w:rsidRPr="001D424E">
        <w:rPr>
          <w:rFonts w:ascii="Arial" w:hAnsi="Arial" w:cs="Arial"/>
        </w:rPr>
        <w:t xml:space="preserve"> </w:t>
      </w:r>
    </w:p>
    <w:p w14:paraId="3544CCFD" w14:textId="0CEA6367" w:rsidR="00916D21" w:rsidRDefault="001D424E" w:rsidP="00387D1A">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Jeżeli w wyniku zmiany treści SIWZ nieprowadzącej do zmiany treści ogłoszenia </w:t>
      </w:r>
      <w:r w:rsidR="00916D21">
        <w:rPr>
          <w:rFonts w:ascii="Arial" w:hAnsi="Arial" w:cs="Arial"/>
        </w:rPr>
        <w:br/>
      </w:r>
      <w:r w:rsidRPr="001D424E">
        <w:rPr>
          <w:rFonts w:ascii="Arial" w:hAnsi="Arial" w:cs="Arial"/>
        </w:rPr>
        <w:t>o zamówieniu jest niezbędny dodatkowy czas na wprowadzenie zmian w ofertach, zamawiający przedłuży termin składania ofert i poinformuje o tym wykonawców, którym przekazano SIWZ oraz zamieści taką informację na własnej stronie internetowej</w:t>
      </w:r>
      <w:r w:rsidR="00916D21">
        <w:rPr>
          <w:rFonts w:ascii="Arial" w:hAnsi="Arial" w:cs="Arial"/>
        </w:rPr>
        <w:t>:</w:t>
      </w:r>
    </w:p>
    <w:p w14:paraId="08A7458C" w14:textId="3464CB57" w:rsidR="008403DD" w:rsidRDefault="001D424E" w:rsidP="00387D1A">
      <w:pPr>
        <w:pStyle w:val="Akapitzlist"/>
        <w:spacing w:after="0" w:line="360" w:lineRule="auto"/>
        <w:ind w:left="567"/>
        <w:jc w:val="both"/>
        <w:rPr>
          <w:rFonts w:ascii="Arial" w:hAnsi="Arial" w:cs="Arial"/>
        </w:rPr>
      </w:pPr>
      <w:r w:rsidRPr="001A05B5">
        <w:rPr>
          <w:rFonts w:ascii="Arial" w:hAnsi="Arial" w:cs="Arial"/>
        </w:rPr>
        <w:t>(</w:t>
      </w:r>
      <w:hyperlink r:id="rId13" w:history="1">
        <w:r w:rsidR="007D169D" w:rsidRPr="00C02634">
          <w:rPr>
            <w:rStyle w:val="Hipercze"/>
            <w:rFonts w:ascii="Arial" w:hAnsi="Arial" w:cs="Arial"/>
          </w:rPr>
          <w:t>https://www.gov.pl/zdrowie/zamowienia-publiczne</w:t>
        </w:r>
      </w:hyperlink>
      <w:r w:rsidR="007D169D">
        <w:rPr>
          <w:rFonts w:ascii="Arial" w:hAnsi="Arial" w:cs="Arial"/>
        </w:rPr>
        <w:t>)</w:t>
      </w:r>
      <w:r w:rsidRPr="001A05B5">
        <w:rPr>
          <w:rFonts w:ascii="Arial" w:hAnsi="Arial" w:cs="Arial"/>
        </w:rPr>
        <w:t>.</w:t>
      </w:r>
      <w:r w:rsidRPr="001D424E">
        <w:rPr>
          <w:rFonts w:ascii="Arial" w:hAnsi="Arial" w:cs="Arial"/>
        </w:rPr>
        <w:t xml:space="preserve"> </w:t>
      </w:r>
    </w:p>
    <w:p w14:paraId="1423CDCD" w14:textId="77777777" w:rsidR="0038411F"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14:paraId="3C9ADEF4" w14:textId="77777777" w:rsidR="00E76FF3" w:rsidRDefault="00E76FF3" w:rsidP="00E76FF3">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60C59F69" w14:textId="77777777" w:rsidTr="00C51F0F">
        <w:trPr>
          <w:jc w:val="center"/>
        </w:trPr>
        <w:tc>
          <w:tcPr>
            <w:tcW w:w="9062" w:type="dxa"/>
            <w:shd w:val="clear" w:color="auto" w:fill="BFBFBF" w:themeFill="background1" w:themeFillShade="BF"/>
          </w:tcPr>
          <w:p w14:paraId="1C681A4C"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3A83B091" w14:textId="77777777" w:rsidTr="00C51F0F">
        <w:trPr>
          <w:jc w:val="center"/>
        </w:trPr>
        <w:tc>
          <w:tcPr>
            <w:tcW w:w="9062" w:type="dxa"/>
            <w:shd w:val="clear" w:color="auto" w:fill="BFBFBF" w:themeFill="background1" w:themeFillShade="BF"/>
          </w:tcPr>
          <w:p w14:paraId="18817C21" w14:textId="77777777"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14:paraId="69197574" w14:textId="77777777" w:rsidR="008403DD" w:rsidRDefault="008403DD" w:rsidP="005015B9">
      <w:pPr>
        <w:jc w:val="both"/>
        <w:rPr>
          <w:rFonts w:ascii="Arial" w:hAnsi="Arial" w:cs="Arial"/>
        </w:rPr>
      </w:pPr>
    </w:p>
    <w:p w14:paraId="10BBC79F"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EE5E87F"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Postępowanie jest prowadzone w języku polskim. </w:t>
      </w:r>
    </w:p>
    <w:p w14:paraId="2514F96D"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14:paraId="30B1814C"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Jeżeli zamawiający lub wykonawca przekazują korespondencję za pomocą faksu lub drogą elektroniczną, każda ze stron na żądanie drugiej strony potwierdza fakt jej otrzymania. </w:t>
      </w:r>
    </w:p>
    <w:p w14:paraId="24BA0B04"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10455A18" w14:textId="77777777" w:rsidR="008403DD" w:rsidRDefault="00E76FF3" w:rsidP="00B43C3B">
      <w:pPr>
        <w:pStyle w:val="Akapitzlist"/>
        <w:numPr>
          <w:ilvl w:val="1"/>
          <w:numId w:val="11"/>
        </w:numPr>
        <w:spacing w:after="0" w:line="360" w:lineRule="auto"/>
        <w:ind w:left="567" w:hanging="567"/>
        <w:jc w:val="both"/>
        <w:rPr>
          <w:rFonts w:ascii="Arial" w:hAnsi="Arial" w:cs="Arial"/>
        </w:rPr>
      </w:pPr>
      <w:r>
        <w:rPr>
          <w:rFonts w:ascii="Arial" w:hAnsi="Arial" w:cs="Arial"/>
        </w:rPr>
        <w:t>K</w:t>
      </w:r>
      <w:r w:rsidR="001D424E" w:rsidRPr="001D424E">
        <w:rPr>
          <w:rFonts w:ascii="Arial" w:hAnsi="Arial" w:cs="Arial"/>
        </w:rPr>
        <w:t xml:space="preserve">orespondencję związaną z niniejszym postępowaniem należy kierować na adres: </w:t>
      </w:r>
      <w:r w:rsidR="00A578F3" w:rsidRPr="00E76FF3">
        <w:rPr>
          <w:rFonts w:ascii="Arial" w:hAnsi="Arial" w:cs="Arial"/>
        </w:rPr>
        <w:t xml:space="preserve">Ministerstwa Zdrowia ul. Miodowa 15, 00-952 Warszawa </w:t>
      </w:r>
      <w:r w:rsidR="001D424E" w:rsidRPr="001D424E">
        <w:rPr>
          <w:rFonts w:ascii="Arial" w:hAnsi="Arial" w:cs="Arial"/>
        </w:rPr>
        <w:t xml:space="preserve"> </w:t>
      </w:r>
    </w:p>
    <w:p w14:paraId="4F9E02B1" w14:textId="35120D9D" w:rsidR="008403DD" w:rsidRPr="00256FEE"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korespondencji związanej z niniejszym postępowaniem wykonawcy powinni posługiwać się znakiem postępowania: </w:t>
      </w:r>
      <w:r w:rsidR="00F46710" w:rsidRPr="00E76FF3">
        <w:rPr>
          <w:rFonts w:ascii="Arial" w:hAnsi="Arial" w:cs="Arial"/>
          <w:b/>
        </w:rPr>
        <w:t>FGZ</w:t>
      </w:r>
      <w:r w:rsidR="000F5E2D" w:rsidRPr="00E76FF3">
        <w:rPr>
          <w:rFonts w:ascii="Arial" w:hAnsi="Arial" w:cs="Arial"/>
          <w:b/>
        </w:rPr>
        <w:t>.270.</w:t>
      </w:r>
      <w:r w:rsidR="00E01DDB">
        <w:rPr>
          <w:rFonts w:ascii="Arial" w:hAnsi="Arial" w:cs="Arial"/>
          <w:b/>
        </w:rPr>
        <w:t>31</w:t>
      </w:r>
      <w:r w:rsidR="00731A21" w:rsidRPr="00E76FF3">
        <w:rPr>
          <w:rFonts w:ascii="Arial" w:hAnsi="Arial" w:cs="Arial"/>
          <w:b/>
        </w:rPr>
        <w:t>.2018</w:t>
      </w:r>
      <w:r w:rsidR="00A578F3" w:rsidRPr="00E76FF3">
        <w:rPr>
          <w:rFonts w:ascii="Arial" w:hAnsi="Arial" w:cs="Arial"/>
          <w:b/>
        </w:rPr>
        <w:t>.</w:t>
      </w:r>
      <w:r w:rsidR="00E76FF3">
        <w:rPr>
          <w:rFonts w:ascii="Arial" w:hAnsi="Arial" w:cs="Arial"/>
          <w:b/>
        </w:rPr>
        <w:t>SB</w:t>
      </w:r>
    </w:p>
    <w:p w14:paraId="7BDA0E13" w14:textId="2C4B320F" w:rsidR="00A578F3" w:rsidRPr="00E76FF3" w:rsidRDefault="00A578F3" w:rsidP="00B43C3B">
      <w:pPr>
        <w:pStyle w:val="Akapitzlist"/>
        <w:numPr>
          <w:ilvl w:val="1"/>
          <w:numId w:val="11"/>
        </w:numPr>
        <w:spacing w:after="0" w:line="360" w:lineRule="auto"/>
        <w:ind w:left="567" w:hanging="567"/>
        <w:jc w:val="both"/>
        <w:rPr>
          <w:rFonts w:ascii="Arial" w:hAnsi="Arial" w:cs="Arial"/>
        </w:rPr>
      </w:pPr>
      <w:r w:rsidRPr="00E76FF3">
        <w:rPr>
          <w:rFonts w:ascii="Arial" w:hAnsi="Arial" w:cs="Arial"/>
        </w:rPr>
        <w:lastRenderedPageBreak/>
        <w:t>Do kontaktu z wykonawcami pr</w:t>
      </w:r>
      <w:r w:rsidR="00E24800">
        <w:rPr>
          <w:rFonts w:ascii="Arial" w:hAnsi="Arial" w:cs="Arial"/>
        </w:rPr>
        <w:t>zeznaczono numer faksu</w:t>
      </w:r>
      <w:r w:rsidR="007335ED" w:rsidRPr="00E76FF3">
        <w:rPr>
          <w:rFonts w:ascii="Arial" w:hAnsi="Arial" w:cs="Arial"/>
        </w:rPr>
        <w:t>: 22 634 </w:t>
      </w:r>
      <w:r w:rsidRPr="00E76FF3">
        <w:rPr>
          <w:rFonts w:ascii="Arial" w:hAnsi="Arial" w:cs="Arial"/>
        </w:rPr>
        <w:t>96</w:t>
      </w:r>
      <w:r w:rsidR="007335ED" w:rsidRPr="00E76FF3">
        <w:rPr>
          <w:rFonts w:ascii="Arial" w:hAnsi="Arial" w:cs="Arial"/>
        </w:rPr>
        <w:t> </w:t>
      </w:r>
      <w:r w:rsidRPr="00E76FF3">
        <w:rPr>
          <w:rFonts w:ascii="Arial" w:hAnsi="Arial" w:cs="Arial"/>
        </w:rPr>
        <w:t>38 oraz adres e-mail:</w:t>
      </w:r>
    </w:p>
    <w:p w14:paraId="775ADD92" w14:textId="77777777" w:rsidR="00A578F3" w:rsidRPr="009B5FC2" w:rsidRDefault="00CB72A3" w:rsidP="00E76FF3">
      <w:pPr>
        <w:pStyle w:val="Akapitzlist"/>
        <w:spacing w:after="0" w:line="360" w:lineRule="auto"/>
        <w:ind w:left="567"/>
        <w:jc w:val="both"/>
        <w:rPr>
          <w:rStyle w:val="Hipercze"/>
          <w:rFonts w:ascii="Arial" w:hAnsi="Arial" w:cs="Arial"/>
        </w:rPr>
      </w:pPr>
      <w:hyperlink r:id="rId14" w:history="1">
        <w:r w:rsidR="003B3A1D" w:rsidRPr="009B5FC2">
          <w:rPr>
            <w:rStyle w:val="Hipercze"/>
            <w:rFonts w:ascii="Arial" w:hAnsi="Arial" w:cs="Arial"/>
          </w:rPr>
          <w:t>zamowieniapubliczne@mz.gov.pl</w:t>
        </w:r>
      </w:hyperlink>
    </w:p>
    <w:p w14:paraId="73F30ED1" w14:textId="77777777" w:rsidR="00E23DFE" w:rsidRDefault="00302F6E" w:rsidP="00E76FF3">
      <w:pPr>
        <w:pStyle w:val="Akapitzlist"/>
        <w:spacing w:after="0" w:line="360" w:lineRule="auto"/>
        <w:ind w:left="567"/>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7789F983" w14:textId="77777777" w:rsidR="00E20BD7" w:rsidRDefault="00E20BD7" w:rsidP="00315019">
      <w:pPr>
        <w:spacing w:after="0" w:line="240" w:lineRule="auto"/>
        <w:jc w:val="both"/>
        <w:rPr>
          <w:rFonts w:ascii="Arial" w:hAnsi="Arial" w:cs="Arial"/>
        </w:rPr>
      </w:pPr>
    </w:p>
    <w:p w14:paraId="05C644A7" w14:textId="77777777" w:rsidR="00916D21" w:rsidRPr="00315019" w:rsidRDefault="00916D21"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4E378E5B" w14:textId="77777777" w:rsidTr="00C51F0F">
        <w:trPr>
          <w:jc w:val="center"/>
        </w:trPr>
        <w:tc>
          <w:tcPr>
            <w:tcW w:w="9062" w:type="dxa"/>
            <w:shd w:val="clear" w:color="auto" w:fill="BFBFBF" w:themeFill="background1" w:themeFillShade="BF"/>
          </w:tcPr>
          <w:p w14:paraId="03361E5D"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4277010C" w14:textId="77777777" w:rsidTr="00C51F0F">
        <w:trPr>
          <w:jc w:val="center"/>
        </w:trPr>
        <w:tc>
          <w:tcPr>
            <w:tcW w:w="9062" w:type="dxa"/>
            <w:shd w:val="clear" w:color="auto" w:fill="BFBFBF" w:themeFill="background1" w:themeFillShade="BF"/>
          </w:tcPr>
          <w:p w14:paraId="445D1838"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7007FE" w14:textId="77777777" w:rsidR="008403DD" w:rsidRDefault="008403DD" w:rsidP="005015B9">
      <w:pPr>
        <w:jc w:val="both"/>
        <w:rPr>
          <w:rFonts w:ascii="Arial" w:hAnsi="Arial" w:cs="Arial"/>
        </w:rPr>
      </w:pPr>
    </w:p>
    <w:p w14:paraId="66EF84EC"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DCB2FEC"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46FA3093"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F44BFA">
      <w:footerReference w:type="default" r:id="rId15"/>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0D8F" w14:textId="77777777" w:rsidR="0067472A" w:rsidRDefault="0067472A" w:rsidP="00525F2A">
      <w:pPr>
        <w:spacing w:after="0" w:line="240" w:lineRule="auto"/>
      </w:pPr>
      <w:r>
        <w:separator/>
      </w:r>
    </w:p>
  </w:endnote>
  <w:endnote w:type="continuationSeparator" w:id="0">
    <w:p w14:paraId="6625098C" w14:textId="77777777" w:rsidR="0067472A" w:rsidRDefault="0067472A"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2A89E9F" w14:textId="77777777" w:rsidR="0099062B" w:rsidRDefault="0099062B">
        <w:pPr>
          <w:pStyle w:val="Stopka"/>
          <w:jc w:val="right"/>
        </w:pPr>
        <w:r>
          <w:fldChar w:fldCharType="begin"/>
        </w:r>
        <w:r>
          <w:instrText>PAGE   \* MERGEFORMAT</w:instrText>
        </w:r>
        <w:r>
          <w:fldChar w:fldCharType="separate"/>
        </w:r>
        <w:r w:rsidR="00CB72A3">
          <w:rPr>
            <w:noProof/>
          </w:rPr>
          <w:t>2</w:t>
        </w:r>
        <w:r>
          <w:fldChar w:fldCharType="end"/>
        </w:r>
      </w:p>
    </w:sdtContent>
  </w:sdt>
  <w:p w14:paraId="69D9E285"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69C5" w14:textId="77777777" w:rsidR="0067472A" w:rsidRDefault="0067472A" w:rsidP="00525F2A">
      <w:pPr>
        <w:spacing w:after="0" w:line="240" w:lineRule="auto"/>
      </w:pPr>
      <w:r>
        <w:separator/>
      </w:r>
    </w:p>
  </w:footnote>
  <w:footnote w:type="continuationSeparator" w:id="0">
    <w:p w14:paraId="3855C842" w14:textId="77777777" w:rsidR="0067472A" w:rsidRDefault="0067472A"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66919E6"/>
    <w:multiLevelType w:val="hybridMultilevel"/>
    <w:tmpl w:val="92A2DBC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E075DA"/>
    <w:multiLevelType w:val="hybridMultilevel"/>
    <w:tmpl w:val="0368FB34"/>
    <w:lvl w:ilvl="0" w:tplc="45D089B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86F3E12"/>
    <w:multiLevelType w:val="hybridMultilevel"/>
    <w:tmpl w:val="0368FB34"/>
    <w:lvl w:ilvl="0" w:tplc="45D089B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96EA3"/>
    <w:multiLevelType w:val="hybridMultilevel"/>
    <w:tmpl w:val="873EC1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B437A4"/>
    <w:multiLevelType w:val="hybridMultilevel"/>
    <w:tmpl w:val="33BC13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3C167C"/>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C5F49"/>
    <w:multiLevelType w:val="hybridMultilevel"/>
    <w:tmpl w:val="6468846A"/>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99B2035"/>
    <w:multiLevelType w:val="hybridMultilevel"/>
    <w:tmpl w:val="0AFE04D8"/>
    <w:lvl w:ilvl="0" w:tplc="4058029C">
      <w:start w:val="1"/>
      <w:numFmt w:val="lowerLetter"/>
      <w:lvlText w:val="%1)"/>
      <w:lvlJc w:val="left"/>
      <w:pPr>
        <w:ind w:left="720" w:hanging="360"/>
      </w:pPr>
      <w:rPr>
        <w:rFonts w:ascii="Arial" w:hAnsi="Arial"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ED5035"/>
    <w:multiLevelType w:val="hybridMultilevel"/>
    <w:tmpl w:val="1D5213A4"/>
    <w:lvl w:ilvl="0" w:tplc="FEFED996">
      <w:start w:val="1"/>
      <w:numFmt w:val="lowerLetter"/>
      <w:lvlText w:val="%1)"/>
      <w:lvlJc w:val="left"/>
      <w:pPr>
        <w:tabs>
          <w:tab w:val="num" w:pos="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36008A9"/>
    <w:multiLevelType w:val="hybridMultilevel"/>
    <w:tmpl w:val="97643EFA"/>
    <w:lvl w:ilvl="0" w:tplc="91A4D03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243390"/>
    <w:multiLevelType w:val="hybridMultilevel"/>
    <w:tmpl w:val="7C24D2B0"/>
    <w:lvl w:ilvl="0" w:tplc="ED323C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4C132B73"/>
    <w:multiLevelType w:val="hybridMultilevel"/>
    <w:tmpl w:val="CD3E8222"/>
    <w:lvl w:ilvl="0" w:tplc="4CACC6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D833DA"/>
    <w:multiLevelType w:val="hybridMultilevel"/>
    <w:tmpl w:val="6468846A"/>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52DE5EEB"/>
    <w:multiLevelType w:val="hybridMultilevel"/>
    <w:tmpl w:val="0FCA09EA"/>
    <w:lvl w:ilvl="0" w:tplc="142667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3406A6"/>
    <w:multiLevelType w:val="hybridMultilevel"/>
    <w:tmpl w:val="CED8E968"/>
    <w:lvl w:ilvl="0" w:tplc="F252F4E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C6BFF"/>
    <w:multiLevelType w:val="singleLevel"/>
    <w:tmpl w:val="426456A0"/>
    <w:lvl w:ilvl="0">
      <w:start w:val="1"/>
      <w:numFmt w:val="decimal"/>
      <w:lvlText w:val="%1."/>
      <w:legacy w:legacy="1" w:legacySpace="120" w:legacyIndent="360"/>
      <w:lvlJc w:val="left"/>
      <w:pPr>
        <w:ind w:left="360" w:hanging="360"/>
      </w:pPr>
      <w:rPr>
        <w:b w:val="0"/>
      </w:rPr>
    </w:lvl>
  </w:abstractNum>
  <w:abstractNum w:abstractNumId="26" w15:restartNumberingAfterBreak="0">
    <w:nsid w:val="66C55149"/>
    <w:multiLevelType w:val="multilevel"/>
    <w:tmpl w:val="FBC08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95289"/>
    <w:multiLevelType w:val="hybridMultilevel"/>
    <w:tmpl w:val="3634C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517D1C"/>
    <w:multiLevelType w:val="hybridMultilevel"/>
    <w:tmpl w:val="BD1A2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E9315C"/>
    <w:multiLevelType w:val="hybridMultilevel"/>
    <w:tmpl w:val="C5E442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E462D0"/>
    <w:multiLevelType w:val="hybridMultilevel"/>
    <w:tmpl w:val="AF2CAC78"/>
    <w:lvl w:ilvl="0" w:tplc="283029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63A58ED"/>
    <w:multiLevelType w:val="hybridMultilevel"/>
    <w:tmpl w:val="92A2DBC0"/>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2" w15:restartNumberingAfterBreak="0">
    <w:nsid w:val="78F81B84"/>
    <w:multiLevelType w:val="hybridMultilevel"/>
    <w:tmpl w:val="56544CC0"/>
    <w:lvl w:ilvl="0" w:tplc="0A9C564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7FB46F09"/>
    <w:multiLevelType w:val="hybridMultilevel"/>
    <w:tmpl w:val="EC726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8"/>
  </w:num>
  <w:num w:numId="3">
    <w:abstractNumId w:val="21"/>
  </w:num>
  <w:num w:numId="4">
    <w:abstractNumId w:val="5"/>
  </w:num>
  <w:num w:numId="5">
    <w:abstractNumId w:val="0"/>
  </w:num>
  <w:num w:numId="6">
    <w:abstractNumId w:val="1"/>
  </w:num>
  <w:num w:numId="7">
    <w:abstractNumId w:val="9"/>
  </w:num>
  <w:num w:numId="8">
    <w:abstractNumId w:val="14"/>
  </w:num>
  <w:num w:numId="9">
    <w:abstractNumId w:val="26"/>
  </w:num>
  <w:num w:numId="10">
    <w:abstractNumId w:val="8"/>
  </w:num>
  <w:num w:numId="11">
    <w:abstractNumId w:val="11"/>
  </w:num>
  <w:num w:numId="12">
    <w:abstractNumId w:val="19"/>
  </w:num>
  <w:num w:numId="13">
    <w:abstractNumId w:val="20"/>
  </w:num>
  <w:num w:numId="14">
    <w:abstractNumId w:val="16"/>
  </w:num>
  <w:num w:numId="15">
    <w:abstractNumId w:val="22"/>
  </w:num>
  <w:num w:numId="16">
    <w:abstractNumId w:val="23"/>
  </w:num>
  <w:num w:numId="17">
    <w:abstractNumId w:val="13"/>
  </w:num>
  <w:num w:numId="18">
    <w:abstractNumId w:val="10"/>
  </w:num>
  <w:num w:numId="19">
    <w:abstractNumId w:val="25"/>
    <w:lvlOverride w:ilvl="0">
      <w:startOverride w:val="1"/>
    </w:lvlOverride>
  </w:num>
  <w:num w:numId="20">
    <w:abstractNumId w:val="15"/>
  </w:num>
  <w:num w:numId="21">
    <w:abstractNumId w:val="31"/>
  </w:num>
  <w:num w:numId="22">
    <w:abstractNumId w:val="27"/>
  </w:num>
  <w:num w:numId="23">
    <w:abstractNumId w:val="2"/>
  </w:num>
  <w:num w:numId="24">
    <w:abstractNumId w:val="28"/>
  </w:num>
  <w:num w:numId="25">
    <w:abstractNumId w:val="17"/>
  </w:num>
  <w:num w:numId="26">
    <w:abstractNumId w:val="33"/>
  </w:num>
  <w:num w:numId="27">
    <w:abstractNumId w:val="24"/>
  </w:num>
  <w:num w:numId="28">
    <w:abstractNumId w:val="7"/>
  </w:num>
  <w:num w:numId="29">
    <w:abstractNumId w:val="6"/>
  </w:num>
  <w:num w:numId="30">
    <w:abstractNumId w:val="29"/>
  </w:num>
  <w:num w:numId="31">
    <w:abstractNumId w:val="3"/>
  </w:num>
  <w:num w:numId="32">
    <w:abstractNumId w:val="4"/>
  </w:num>
  <w:num w:numId="33">
    <w:abstractNumId w:val="32"/>
  </w:num>
  <w:num w:numId="3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21A93"/>
    <w:rsid w:val="00033321"/>
    <w:rsid w:val="00034881"/>
    <w:rsid w:val="00034A3D"/>
    <w:rsid w:val="0004238C"/>
    <w:rsid w:val="0005280C"/>
    <w:rsid w:val="00052C24"/>
    <w:rsid w:val="00053767"/>
    <w:rsid w:val="00064E1A"/>
    <w:rsid w:val="00072500"/>
    <w:rsid w:val="000812E2"/>
    <w:rsid w:val="00082EA6"/>
    <w:rsid w:val="000926AE"/>
    <w:rsid w:val="000936D9"/>
    <w:rsid w:val="00096D81"/>
    <w:rsid w:val="00097FB7"/>
    <w:rsid w:val="000A4E4C"/>
    <w:rsid w:val="000A706A"/>
    <w:rsid w:val="000B5B2C"/>
    <w:rsid w:val="000C33D0"/>
    <w:rsid w:val="000D256D"/>
    <w:rsid w:val="000D432E"/>
    <w:rsid w:val="000D782B"/>
    <w:rsid w:val="000E1D21"/>
    <w:rsid w:val="000E2209"/>
    <w:rsid w:val="000E75B3"/>
    <w:rsid w:val="000F1C15"/>
    <w:rsid w:val="000F5E2D"/>
    <w:rsid w:val="00101D06"/>
    <w:rsid w:val="001103B5"/>
    <w:rsid w:val="001105A3"/>
    <w:rsid w:val="00120F36"/>
    <w:rsid w:val="00125AB8"/>
    <w:rsid w:val="001325DD"/>
    <w:rsid w:val="001420B0"/>
    <w:rsid w:val="00145BD8"/>
    <w:rsid w:val="00146341"/>
    <w:rsid w:val="001479DF"/>
    <w:rsid w:val="001547C5"/>
    <w:rsid w:val="00155116"/>
    <w:rsid w:val="001565FB"/>
    <w:rsid w:val="001627A0"/>
    <w:rsid w:val="00164BD2"/>
    <w:rsid w:val="00170277"/>
    <w:rsid w:val="00170760"/>
    <w:rsid w:val="0017178A"/>
    <w:rsid w:val="00175AD7"/>
    <w:rsid w:val="00184D7F"/>
    <w:rsid w:val="00196E14"/>
    <w:rsid w:val="001A05B5"/>
    <w:rsid w:val="001A2B3F"/>
    <w:rsid w:val="001A3AA2"/>
    <w:rsid w:val="001A3E96"/>
    <w:rsid w:val="001C0C57"/>
    <w:rsid w:val="001C3629"/>
    <w:rsid w:val="001C6783"/>
    <w:rsid w:val="001C69C3"/>
    <w:rsid w:val="001C6E52"/>
    <w:rsid w:val="001C7E8B"/>
    <w:rsid w:val="001D1623"/>
    <w:rsid w:val="001D3B54"/>
    <w:rsid w:val="001D424E"/>
    <w:rsid w:val="001D56E2"/>
    <w:rsid w:val="001D5920"/>
    <w:rsid w:val="001E122E"/>
    <w:rsid w:val="001E18AD"/>
    <w:rsid w:val="001E2176"/>
    <w:rsid w:val="001F2366"/>
    <w:rsid w:val="001F56DF"/>
    <w:rsid w:val="001F73D8"/>
    <w:rsid w:val="0021018C"/>
    <w:rsid w:val="002134B0"/>
    <w:rsid w:val="002223F3"/>
    <w:rsid w:val="0023165C"/>
    <w:rsid w:val="002529A1"/>
    <w:rsid w:val="00256FEE"/>
    <w:rsid w:val="002570AD"/>
    <w:rsid w:val="00260E2B"/>
    <w:rsid w:val="00280B11"/>
    <w:rsid w:val="00282820"/>
    <w:rsid w:val="002847BA"/>
    <w:rsid w:val="00286006"/>
    <w:rsid w:val="0029452C"/>
    <w:rsid w:val="002A08DC"/>
    <w:rsid w:val="002B41BB"/>
    <w:rsid w:val="002C155B"/>
    <w:rsid w:val="002C4061"/>
    <w:rsid w:val="002C455B"/>
    <w:rsid w:val="002D664A"/>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41D51"/>
    <w:rsid w:val="00346F7A"/>
    <w:rsid w:val="00353D8A"/>
    <w:rsid w:val="00357156"/>
    <w:rsid w:val="00361D10"/>
    <w:rsid w:val="003669F8"/>
    <w:rsid w:val="0036751A"/>
    <w:rsid w:val="00374A20"/>
    <w:rsid w:val="0038411F"/>
    <w:rsid w:val="00386297"/>
    <w:rsid w:val="00387D1A"/>
    <w:rsid w:val="00390E85"/>
    <w:rsid w:val="003964DB"/>
    <w:rsid w:val="003A4695"/>
    <w:rsid w:val="003B10CD"/>
    <w:rsid w:val="003B19CF"/>
    <w:rsid w:val="003B3308"/>
    <w:rsid w:val="003B397F"/>
    <w:rsid w:val="003B3A1D"/>
    <w:rsid w:val="003B40E7"/>
    <w:rsid w:val="003B6C86"/>
    <w:rsid w:val="003C1AE4"/>
    <w:rsid w:val="003D0718"/>
    <w:rsid w:val="003D5768"/>
    <w:rsid w:val="003D7B0D"/>
    <w:rsid w:val="003E520E"/>
    <w:rsid w:val="003E5529"/>
    <w:rsid w:val="00404452"/>
    <w:rsid w:val="00406604"/>
    <w:rsid w:val="00412087"/>
    <w:rsid w:val="0042494E"/>
    <w:rsid w:val="004266B3"/>
    <w:rsid w:val="00430DC7"/>
    <w:rsid w:val="00432A1D"/>
    <w:rsid w:val="00435303"/>
    <w:rsid w:val="00441F7E"/>
    <w:rsid w:val="00464697"/>
    <w:rsid w:val="0047310B"/>
    <w:rsid w:val="0047416C"/>
    <w:rsid w:val="00476CF8"/>
    <w:rsid w:val="0048114F"/>
    <w:rsid w:val="00485588"/>
    <w:rsid w:val="00485A31"/>
    <w:rsid w:val="00485A5B"/>
    <w:rsid w:val="00490919"/>
    <w:rsid w:val="00492588"/>
    <w:rsid w:val="00494AC2"/>
    <w:rsid w:val="00495A86"/>
    <w:rsid w:val="00497771"/>
    <w:rsid w:val="004A1FEC"/>
    <w:rsid w:val="004A2824"/>
    <w:rsid w:val="004A6290"/>
    <w:rsid w:val="004A74E7"/>
    <w:rsid w:val="004C2C58"/>
    <w:rsid w:val="004C72BE"/>
    <w:rsid w:val="004D24FC"/>
    <w:rsid w:val="004D2CED"/>
    <w:rsid w:val="004D5CFF"/>
    <w:rsid w:val="004E7FF5"/>
    <w:rsid w:val="004F214D"/>
    <w:rsid w:val="004F48E8"/>
    <w:rsid w:val="004F54D1"/>
    <w:rsid w:val="005015B9"/>
    <w:rsid w:val="00503BDE"/>
    <w:rsid w:val="00506C99"/>
    <w:rsid w:val="0051367A"/>
    <w:rsid w:val="00525DD7"/>
    <w:rsid w:val="00525F2A"/>
    <w:rsid w:val="00527F3B"/>
    <w:rsid w:val="005350D0"/>
    <w:rsid w:val="005443A2"/>
    <w:rsid w:val="005478B1"/>
    <w:rsid w:val="00551E6B"/>
    <w:rsid w:val="005551C0"/>
    <w:rsid w:val="0055710D"/>
    <w:rsid w:val="0057238C"/>
    <w:rsid w:val="00574CAD"/>
    <w:rsid w:val="00577CFA"/>
    <w:rsid w:val="005802BA"/>
    <w:rsid w:val="0058171C"/>
    <w:rsid w:val="0058384A"/>
    <w:rsid w:val="00583E3B"/>
    <w:rsid w:val="005874C9"/>
    <w:rsid w:val="0059539B"/>
    <w:rsid w:val="00597866"/>
    <w:rsid w:val="005C380A"/>
    <w:rsid w:val="005D3E26"/>
    <w:rsid w:val="005E320B"/>
    <w:rsid w:val="005F4FA0"/>
    <w:rsid w:val="00612246"/>
    <w:rsid w:val="00612C81"/>
    <w:rsid w:val="00615168"/>
    <w:rsid w:val="00617AFB"/>
    <w:rsid w:val="00620B3B"/>
    <w:rsid w:val="00624C41"/>
    <w:rsid w:val="00632F42"/>
    <w:rsid w:val="006459F0"/>
    <w:rsid w:val="00651B91"/>
    <w:rsid w:val="00662C17"/>
    <w:rsid w:val="00673389"/>
    <w:rsid w:val="0067472A"/>
    <w:rsid w:val="00680621"/>
    <w:rsid w:val="00682FB3"/>
    <w:rsid w:val="006833F6"/>
    <w:rsid w:val="006875A8"/>
    <w:rsid w:val="00694A6F"/>
    <w:rsid w:val="006A0BE8"/>
    <w:rsid w:val="006B2F1E"/>
    <w:rsid w:val="006B4683"/>
    <w:rsid w:val="006C3C72"/>
    <w:rsid w:val="006C7796"/>
    <w:rsid w:val="006D3211"/>
    <w:rsid w:val="00702345"/>
    <w:rsid w:val="007036BF"/>
    <w:rsid w:val="00707DDF"/>
    <w:rsid w:val="00723DF0"/>
    <w:rsid w:val="00727461"/>
    <w:rsid w:val="00730A2A"/>
    <w:rsid w:val="00731A21"/>
    <w:rsid w:val="007335ED"/>
    <w:rsid w:val="00734D57"/>
    <w:rsid w:val="007350DA"/>
    <w:rsid w:val="00740049"/>
    <w:rsid w:val="007454AB"/>
    <w:rsid w:val="00753CAC"/>
    <w:rsid w:val="0077282B"/>
    <w:rsid w:val="0077450D"/>
    <w:rsid w:val="0077584B"/>
    <w:rsid w:val="00784D39"/>
    <w:rsid w:val="00791259"/>
    <w:rsid w:val="00793EA5"/>
    <w:rsid w:val="007A4CBF"/>
    <w:rsid w:val="007B725D"/>
    <w:rsid w:val="007D169D"/>
    <w:rsid w:val="007D26B5"/>
    <w:rsid w:val="007D7CFB"/>
    <w:rsid w:val="007E4238"/>
    <w:rsid w:val="007F0015"/>
    <w:rsid w:val="007F2C5B"/>
    <w:rsid w:val="007F4905"/>
    <w:rsid w:val="007F5154"/>
    <w:rsid w:val="007F6B5B"/>
    <w:rsid w:val="00800653"/>
    <w:rsid w:val="008041C4"/>
    <w:rsid w:val="00806303"/>
    <w:rsid w:val="00815126"/>
    <w:rsid w:val="00823918"/>
    <w:rsid w:val="008253EB"/>
    <w:rsid w:val="00833EA5"/>
    <w:rsid w:val="00836286"/>
    <w:rsid w:val="008403DD"/>
    <w:rsid w:val="008441A9"/>
    <w:rsid w:val="008455BA"/>
    <w:rsid w:val="00847241"/>
    <w:rsid w:val="00850146"/>
    <w:rsid w:val="00851F60"/>
    <w:rsid w:val="00861822"/>
    <w:rsid w:val="00865CC6"/>
    <w:rsid w:val="00883E63"/>
    <w:rsid w:val="00892738"/>
    <w:rsid w:val="008B34E8"/>
    <w:rsid w:val="008B4683"/>
    <w:rsid w:val="008C04E7"/>
    <w:rsid w:val="008C33EC"/>
    <w:rsid w:val="008C3633"/>
    <w:rsid w:val="008D3FEB"/>
    <w:rsid w:val="008D431F"/>
    <w:rsid w:val="008E2D67"/>
    <w:rsid w:val="008E3E87"/>
    <w:rsid w:val="008E73EC"/>
    <w:rsid w:val="008F60CC"/>
    <w:rsid w:val="008F665D"/>
    <w:rsid w:val="00905445"/>
    <w:rsid w:val="0091047A"/>
    <w:rsid w:val="00912BD5"/>
    <w:rsid w:val="00916D21"/>
    <w:rsid w:val="0092301F"/>
    <w:rsid w:val="009245A5"/>
    <w:rsid w:val="00934B1E"/>
    <w:rsid w:val="009417D5"/>
    <w:rsid w:val="00946456"/>
    <w:rsid w:val="00947CF3"/>
    <w:rsid w:val="00955F78"/>
    <w:rsid w:val="009659B1"/>
    <w:rsid w:val="00986251"/>
    <w:rsid w:val="00987C54"/>
    <w:rsid w:val="0099062B"/>
    <w:rsid w:val="009A26B8"/>
    <w:rsid w:val="009A54D1"/>
    <w:rsid w:val="009B31A1"/>
    <w:rsid w:val="009B5FC2"/>
    <w:rsid w:val="009B6843"/>
    <w:rsid w:val="009C2DC1"/>
    <w:rsid w:val="009C6B9D"/>
    <w:rsid w:val="009D67C9"/>
    <w:rsid w:val="009E3106"/>
    <w:rsid w:val="009E67A6"/>
    <w:rsid w:val="009F26E0"/>
    <w:rsid w:val="00A015B7"/>
    <w:rsid w:val="00A14AA7"/>
    <w:rsid w:val="00A16F89"/>
    <w:rsid w:val="00A1703C"/>
    <w:rsid w:val="00A337DB"/>
    <w:rsid w:val="00A41681"/>
    <w:rsid w:val="00A41E07"/>
    <w:rsid w:val="00A441F5"/>
    <w:rsid w:val="00A45A34"/>
    <w:rsid w:val="00A474B2"/>
    <w:rsid w:val="00A50B76"/>
    <w:rsid w:val="00A578F3"/>
    <w:rsid w:val="00A629B9"/>
    <w:rsid w:val="00A70C7A"/>
    <w:rsid w:val="00A9532C"/>
    <w:rsid w:val="00AC0D94"/>
    <w:rsid w:val="00AC370B"/>
    <w:rsid w:val="00AD132B"/>
    <w:rsid w:val="00AD3932"/>
    <w:rsid w:val="00AD7EFF"/>
    <w:rsid w:val="00AE2CFF"/>
    <w:rsid w:val="00AF36A7"/>
    <w:rsid w:val="00AF470B"/>
    <w:rsid w:val="00AF5453"/>
    <w:rsid w:val="00B16644"/>
    <w:rsid w:val="00B20086"/>
    <w:rsid w:val="00B21175"/>
    <w:rsid w:val="00B348A9"/>
    <w:rsid w:val="00B36372"/>
    <w:rsid w:val="00B364B2"/>
    <w:rsid w:val="00B40A83"/>
    <w:rsid w:val="00B43C3B"/>
    <w:rsid w:val="00B47CDC"/>
    <w:rsid w:val="00B526D3"/>
    <w:rsid w:val="00B53299"/>
    <w:rsid w:val="00B545A6"/>
    <w:rsid w:val="00B55BF0"/>
    <w:rsid w:val="00B570EF"/>
    <w:rsid w:val="00B74B5F"/>
    <w:rsid w:val="00B85E30"/>
    <w:rsid w:val="00B95711"/>
    <w:rsid w:val="00BA21CE"/>
    <w:rsid w:val="00BA2CF1"/>
    <w:rsid w:val="00BA309D"/>
    <w:rsid w:val="00BA4CBD"/>
    <w:rsid w:val="00BA7196"/>
    <w:rsid w:val="00BB5C48"/>
    <w:rsid w:val="00BC554B"/>
    <w:rsid w:val="00BE2336"/>
    <w:rsid w:val="00BE7588"/>
    <w:rsid w:val="00BF0454"/>
    <w:rsid w:val="00BF0A82"/>
    <w:rsid w:val="00C37636"/>
    <w:rsid w:val="00C37A88"/>
    <w:rsid w:val="00C4314C"/>
    <w:rsid w:val="00C51F0F"/>
    <w:rsid w:val="00C612FD"/>
    <w:rsid w:val="00C63BF9"/>
    <w:rsid w:val="00C64B1F"/>
    <w:rsid w:val="00C6513E"/>
    <w:rsid w:val="00C6560E"/>
    <w:rsid w:val="00C66619"/>
    <w:rsid w:val="00C6793F"/>
    <w:rsid w:val="00C7098C"/>
    <w:rsid w:val="00C75290"/>
    <w:rsid w:val="00C7729E"/>
    <w:rsid w:val="00C8250B"/>
    <w:rsid w:val="00C83AFE"/>
    <w:rsid w:val="00C8744F"/>
    <w:rsid w:val="00CA63C1"/>
    <w:rsid w:val="00CB2DCB"/>
    <w:rsid w:val="00CB57B8"/>
    <w:rsid w:val="00CB63CD"/>
    <w:rsid w:val="00CB72A3"/>
    <w:rsid w:val="00CD4C46"/>
    <w:rsid w:val="00CD7A32"/>
    <w:rsid w:val="00CE2CDC"/>
    <w:rsid w:val="00CE68D2"/>
    <w:rsid w:val="00CF04D1"/>
    <w:rsid w:val="00CF0C97"/>
    <w:rsid w:val="00CF1AF8"/>
    <w:rsid w:val="00CF778A"/>
    <w:rsid w:val="00CF7AED"/>
    <w:rsid w:val="00D103D8"/>
    <w:rsid w:val="00D10580"/>
    <w:rsid w:val="00D17F11"/>
    <w:rsid w:val="00D3340E"/>
    <w:rsid w:val="00D408B2"/>
    <w:rsid w:val="00D62FEE"/>
    <w:rsid w:val="00D63D1D"/>
    <w:rsid w:val="00D66D6A"/>
    <w:rsid w:val="00D707F1"/>
    <w:rsid w:val="00D7457D"/>
    <w:rsid w:val="00D8713C"/>
    <w:rsid w:val="00D923E0"/>
    <w:rsid w:val="00D9397B"/>
    <w:rsid w:val="00D97ED4"/>
    <w:rsid w:val="00DA1153"/>
    <w:rsid w:val="00DA1CA9"/>
    <w:rsid w:val="00DB3930"/>
    <w:rsid w:val="00DB5C74"/>
    <w:rsid w:val="00DB79BC"/>
    <w:rsid w:val="00DC3827"/>
    <w:rsid w:val="00DC593E"/>
    <w:rsid w:val="00DC63F6"/>
    <w:rsid w:val="00DD3FEF"/>
    <w:rsid w:val="00DE1BFF"/>
    <w:rsid w:val="00DE5FA4"/>
    <w:rsid w:val="00DF31FF"/>
    <w:rsid w:val="00DF7B7E"/>
    <w:rsid w:val="00E0031D"/>
    <w:rsid w:val="00E01DDB"/>
    <w:rsid w:val="00E03312"/>
    <w:rsid w:val="00E060CD"/>
    <w:rsid w:val="00E1601E"/>
    <w:rsid w:val="00E20BD7"/>
    <w:rsid w:val="00E22AEA"/>
    <w:rsid w:val="00E23DFE"/>
    <w:rsid w:val="00E24800"/>
    <w:rsid w:val="00E31237"/>
    <w:rsid w:val="00E44431"/>
    <w:rsid w:val="00E51C60"/>
    <w:rsid w:val="00E63C27"/>
    <w:rsid w:val="00E66BAD"/>
    <w:rsid w:val="00E727DA"/>
    <w:rsid w:val="00E7613A"/>
    <w:rsid w:val="00E76FF3"/>
    <w:rsid w:val="00E77710"/>
    <w:rsid w:val="00E802A8"/>
    <w:rsid w:val="00E92B81"/>
    <w:rsid w:val="00E94BD2"/>
    <w:rsid w:val="00EA1363"/>
    <w:rsid w:val="00EA5ECD"/>
    <w:rsid w:val="00EB0DF2"/>
    <w:rsid w:val="00EB19AA"/>
    <w:rsid w:val="00EB3794"/>
    <w:rsid w:val="00EB40D2"/>
    <w:rsid w:val="00EB57D2"/>
    <w:rsid w:val="00EC6D14"/>
    <w:rsid w:val="00ED09E7"/>
    <w:rsid w:val="00ED382D"/>
    <w:rsid w:val="00ED4A1A"/>
    <w:rsid w:val="00F15E4B"/>
    <w:rsid w:val="00F20FB3"/>
    <w:rsid w:val="00F24A1A"/>
    <w:rsid w:val="00F265BF"/>
    <w:rsid w:val="00F32E8D"/>
    <w:rsid w:val="00F4114B"/>
    <w:rsid w:val="00F447FA"/>
    <w:rsid w:val="00F44BFA"/>
    <w:rsid w:val="00F44E06"/>
    <w:rsid w:val="00F46710"/>
    <w:rsid w:val="00F54113"/>
    <w:rsid w:val="00F54E70"/>
    <w:rsid w:val="00F6104D"/>
    <w:rsid w:val="00F75F85"/>
    <w:rsid w:val="00F77109"/>
    <w:rsid w:val="00F87B8B"/>
    <w:rsid w:val="00F96C9C"/>
    <w:rsid w:val="00FA05B2"/>
    <w:rsid w:val="00FA2F9B"/>
    <w:rsid w:val="00FA4EF2"/>
    <w:rsid w:val="00FA6DBC"/>
    <w:rsid w:val="00FA750B"/>
    <w:rsid w:val="00FB07E0"/>
    <w:rsid w:val="00FC3FD5"/>
    <w:rsid w:val="00FD27AD"/>
    <w:rsid w:val="00FD401A"/>
    <w:rsid w:val="00FD7A24"/>
    <w:rsid w:val="00FE3D40"/>
    <w:rsid w:val="00FE7369"/>
    <w:rsid w:val="00FF1EAE"/>
    <w:rsid w:val="00FF2AA7"/>
    <w:rsid w:val="00FF47ED"/>
    <w:rsid w:val="00FF5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D702"/>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Akapit z listą4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rzypisudolnego">
    <w:name w:val="footnote text"/>
    <w:basedOn w:val="Normalny"/>
    <w:link w:val="TekstprzypisudolnegoZnak"/>
    <w:semiHidden/>
    <w:rsid w:val="00B40A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0A83"/>
    <w:rPr>
      <w:rFonts w:ascii="Times New Roman" w:eastAsia="Times New Roman" w:hAnsi="Times New Roman" w:cs="Times New Roman"/>
      <w:sz w:val="20"/>
      <w:szCs w:val="20"/>
      <w:lang w:eastAsia="pl-PL"/>
    </w:rPr>
  </w:style>
  <w:style w:type="character" w:styleId="Odwoanieprzypisudolnego">
    <w:name w:val="footnote reference"/>
    <w:semiHidden/>
    <w:rsid w:val="00B40A83"/>
    <w:rPr>
      <w:vertAlign w:val="superscript"/>
    </w:rPr>
  </w:style>
  <w:style w:type="character" w:styleId="UyteHipercze">
    <w:name w:val="FollowedHyperlink"/>
    <w:basedOn w:val="Domylnaczcionkaakapitu"/>
    <w:uiPriority w:val="99"/>
    <w:semiHidden/>
    <w:unhideWhenUsed/>
    <w:rsid w:val="007D169D"/>
    <w:rPr>
      <w:color w:val="954F72" w:themeColor="followedHyperlink"/>
      <w:u w:val="single"/>
    </w:rPr>
  </w:style>
  <w:style w:type="character" w:customStyle="1" w:styleId="Akapitzlist1ZnakZnak">
    <w:name w:val="Akapit z listą1 Znak Znak"/>
    <w:link w:val="Akapitzlist1Znak"/>
    <w:locked/>
    <w:rsid w:val="006B2F1E"/>
    <w:rPr>
      <w:rFonts w:ascii="Arial" w:hAnsi="Arial" w:cs="Arial"/>
      <w:lang w:eastAsia="ar-SA"/>
    </w:rPr>
  </w:style>
  <w:style w:type="paragraph" w:customStyle="1" w:styleId="Akapitzlist1Znak">
    <w:name w:val="Akapit z listą1 Znak"/>
    <w:basedOn w:val="Normalny"/>
    <w:link w:val="Akapitzlist1ZnakZnak"/>
    <w:rsid w:val="006B2F1E"/>
    <w:pPr>
      <w:suppressAutoHyphens/>
      <w:spacing w:before="120" w:after="60" w:line="280" w:lineRule="exact"/>
      <w:ind w:left="720"/>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drowie/zamowienia-publiczne" TargetMode="External"/><Relationship Id="rId13" Type="http://schemas.openxmlformats.org/officeDocument/2006/relationships/hyperlink" Target="https://www.gov.pl/zdrowie/zamowienia-publ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zdrowie/zamowienia-publicz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zdrowie/zamowienia-publicz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hyperlink" Target="https://www.gov.pl/zdrowie/zamowienia-publiczne"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C7FB-7E5B-4521-973A-371D8A75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5464</Words>
  <Characters>32789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Bulwan Szymon</cp:lastModifiedBy>
  <cp:revision>4</cp:revision>
  <cp:lastPrinted>2018-06-18T13:33:00Z</cp:lastPrinted>
  <dcterms:created xsi:type="dcterms:W3CDTF">2018-06-21T10:51:00Z</dcterms:created>
  <dcterms:modified xsi:type="dcterms:W3CDTF">2018-06-21T13:32:00Z</dcterms:modified>
</cp:coreProperties>
</file>