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CF6D0" w14:textId="5F4023B0" w:rsidR="002B4BDF" w:rsidRDefault="002B4BDF" w:rsidP="002B4BDF">
      <w:pPr>
        <w:pStyle w:val="Nagwek"/>
        <w:tabs>
          <w:tab w:val="left" w:pos="708"/>
        </w:tabs>
        <w:jc w:val="right"/>
        <w:outlineLvl w:val="0"/>
        <w:rPr>
          <w:sz w:val="20"/>
        </w:rPr>
      </w:pPr>
      <w:bookmarkStart w:id="0" w:name="_GoBack"/>
      <w:bookmarkEnd w:id="0"/>
      <w:r w:rsidRPr="00CF5B2B">
        <w:rPr>
          <w:sz w:val="20"/>
        </w:rPr>
        <w:t>Warszawa,</w:t>
      </w:r>
      <w:r w:rsidR="001D78EE">
        <w:rPr>
          <w:sz w:val="20"/>
        </w:rPr>
        <w:t xml:space="preserve"> </w:t>
      </w:r>
      <w:r w:rsidR="00A00548" w:rsidRPr="00B153E6">
        <w:rPr>
          <w:sz w:val="22"/>
          <w:szCs w:val="22"/>
        </w:rPr>
        <w:t>dnia</w:t>
      </w:r>
      <w:r w:rsidR="00A00548">
        <w:rPr>
          <w:sz w:val="22"/>
          <w:szCs w:val="22"/>
        </w:rPr>
        <w:t xml:space="preserve"> </w:t>
      </w:r>
      <w:r w:rsidR="0005443E">
        <w:rPr>
          <w:sz w:val="22"/>
          <w:szCs w:val="22"/>
        </w:rPr>
        <w:t>11.01.2023</w:t>
      </w:r>
      <w:r w:rsidR="00A00548">
        <w:rPr>
          <w:sz w:val="22"/>
          <w:szCs w:val="22"/>
        </w:rPr>
        <w:t xml:space="preserve"> r.</w:t>
      </w:r>
    </w:p>
    <w:p w14:paraId="31756E44" w14:textId="77777777" w:rsidR="002B4BDF" w:rsidRPr="00754E15" w:rsidRDefault="002B4BDF" w:rsidP="002B4BDF">
      <w:pPr>
        <w:pStyle w:val="Nagwek"/>
        <w:tabs>
          <w:tab w:val="left" w:pos="708"/>
        </w:tabs>
        <w:jc w:val="right"/>
        <w:outlineLvl w:val="0"/>
        <w:rPr>
          <w:sz w:val="14"/>
        </w:rPr>
      </w:pPr>
    </w:p>
    <w:p w14:paraId="01140557" w14:textId="121CCA9E" w:rsidR="002671BA" w:rsidRPr="00BD26BF" w:rsidRDefault="00533D23" w:rsidP="002671BA">
      <w:pPr>
        <w:pStyle w:val="Nagwek"/>
        <w:tabs>
          <w:tab w:val="left" w:pos="708"/>
        </w:tabs>
        <w:spacing w:before="60"/>
        <w:jc w:val="center"/>
        <w:outlineLvl w:val="0"/>
        <w:rPr>
          <w:b/>
          <w:szCs w:val="24"/>
        </w:rPr>
      </w:pPr>
      <w:r>
        <w:rPr>
          <w:b/>
          <w:szCs w:val="24"/>
        </w:rPr>
        <w:t>Protokół rozbieżności</w:t>
      </w:r>
    </w:p>
    <w:p w14:paraId="781D9DE3" w14:textId="51585FF7" w:rsidR="00420EF8" w:rsidRPr="00BD26BF" w:rsidRDefault="00734A24" w:rsidP="00BD26BF">
      <w:pPr>
        <w:pStyle w:val="Nagwek"/>
        <w:tabs>
          <w:tab w:val="left" w:pos="708"/>
        </w:tabs>
        <w:ind w:left="-567"/>
        <w:jc w:val="center"/>
        <w:rPr>
          <w:b/>
          <w:szCs w:val="24"/>
        </w:rPr>
      </w:pPr>
      <w:r w:rsidRPr="00BD26BF">
        <w:rPr>
          <w:b/>
          <w:szCs w:val="24"/>
        </w:rPr>
        <w:t xml:space="preserve">do </w:t>
      </w:r>
      <w:r w:rsidR="00BD26BF" w:rsidRPr="00BD26BF">
        <w:rPr>
          <w:b/>
          <w:szCs w:val="24"/>
        </w:rPr>
        <w:t xml:space="preserve">projektu rozporządzenia Ministra Cyfryzacji w sprawie </w:t>
      </w:r>
      <w:r w:rsidR="0005443E" w:rsidRPr="0005443E">
        <w:rPr>
          <w:b/>
          <w:szCs w:val="24"/>
        </w:rPr>
        <w:t>informacji o infrastrukturze technicznej i kanałach technologicznych oraz o stawkach opłaty za zajęcie pasa drogowego</w:t>
      </w:r>
    </w:p>
    <w:p w14:paraId="16B410C0" w14:textId="300C7590" w:rsidR="00A00548" w:rsidRDefault="00A00548" w:rsidP="00176D2E">
      <w:pPr>
        <w:pStyle w:val="Nagwek"/>
        <w:tabs>
          <w:tab w:val="left" w:pos="708"/>
        </w:tabs>
        <w:jc w:val="center"/>
        <w:rPr>
          <w:szCs w:val="24"/>
        </w:rPr>
      </w:pPr>
      <w:r>
        <w:rPr>
          <w:szCs w:val="24"/>
        </w:rPr>
        <w:t>(Nr w wykazie –</w:t>
      </w:r>
      <w:r w:rsidR="00BD26BF" w:rsidRPr="00BD26BF">
        <w:rPr>
          <w:rFonts w:eastAsia="Calibri"/>
          <w:color w:val="000000"/>
          <w:szCs w:val="24"/>
          <w:lang w:eastAsia="en-US"/>
        </w:rPr>
        <w:t xml:space="preserve"> </w:t>
      </w:r>
      <w:r w:rsidR="00BD26BF">
        <w:rPr>
          <w:rFonts w:eastAsia="Calibri"/>
          <w:color w:val="000000"/>
          <w:szCs w:val="24"/>
          <w:lang w:eastAsia="en-US"/>
        </w:rPr>
        <w:t xml:space="preserve">WPL MC nr </w:t>
      </w:r>
      <w:r w:rsidR="0005443E">
        <w:rPr>
          <w:rFonts w:eastAsia="Calibri"/>
          <w:color w:val="000000"/>
          <w:szCs w:val="24"/>
          <w:lang w:eastAsia="en-US"/>
        </w:rPr>
        <w:t>194</w:t>
      </w:r>
      <w:r>
        <w:rPr>
          <w:szCs w:val="24"/>
        </w:rPr>
        <w:t>)</w:t>
      </w:r>
    </w:p>
    <w:p w14:paraId="14F360C2" w14:textId="77777777" w:rsidR="00BE3AD4" w:rsidRDefault="00FD6170" w:rsidP="00FD6170">
      <w:pPr>
        <w:pStyle w:val="Nagwek"/>
        <w:tabs>
          <w:tab w:val="left" w:pos="708"/>
        </w:tabs>
        <w:jc w:val="center"/>
        <w:rPr>
          <w:b/>
          <w:szCs w:val="24"/>
        </w:rPr>
      </w:pPr>
      <w:r>
        <w:rPr>
          <w:noProof/>
          <w:sz w:val="16"/>
          <w:szCs w:val="16"/>
        </w:rPr>
        <mc:AlternateContent>
          <mc:Choice Requires="wps">
            <w:drawing>
              <wp:anchor distT="0" distB="0" distL="114300" distR="114300" simplePos="0" relativeHeight="251661312" behindDoc="0" locked="0" layoutInCell="1" allowOverlap="1" wp14:anchorId="6170C68B" wp14:editId="3E7D9CEF">
                <wp:simplePos x="0" y="0"/>
                <wp:positionH relativeFrom="column">
                  <wp:posOffset>5080</wp:posOffset>
                </wp:positionH>
                <wp:positionV relativeFrom="paragraph">
                  <wp:posOffset>36830</wp:posOffset>
                </wp:positionV>
                <wp:extent cx="9635490" cy="0"/>
                <wp:effectExtent l="0" t="0" r="22860" b="1905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35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524F48" id="Łącznik prostoliniowy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pt" to="759.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" strokeweight="1.5pt"/>
            </w:pict>
          </mc:Fallback>
        </mc:AlternateContent>
      </w:r>
    </w:p>
    <w:tbl>
      <w:tblPr>
        <w:tblStyle w:val="Tabela-Siatka1"/>
        <w:tblW w:w="0" w:type="auto"/>
        <w:tblLook w:val="04A0" w:firstRow="1" w:lastRow="0" w:firstColumn="1" w:lastColumn="0" w:noHBand="0" w:noVBand="1"/>
      </w:tblPr>
      <w:tblGrid>
        <w:gridCol w:w="15021"/>
      </w:tblGrid>
      <w:tr w:rsidR="002C6959" w:rsidRPr="00EE6200" w14:paraId="6C8CBF14" w14:textId="77777777" w:rsidTr="00440BCC">
        <w:trPr>
          <w:trHeight w:val="419"/>
        </w:trPr>
        <w:tc>
          <w:tcPr>
            <w:tcW w:w="15021" w:type="dxa"/>
            <w:shd w:val="clear" w:color="auto" w:fill="D9D9D9" w:themeFill="background1" w:themeFillShade="D9"/>
            <w:vAlign w:val="center"/>
          </w:tcPr>
          <w:p w14:paraId="57D39F22" w14:textId="77777777" w:rsidR="002C6959" w:rsidRPr="00EE6200" w:rsidRDefault="00E3522A" w:rsidP="00BD26BF">
            <w:pPr>
              <w:pStyle w:val="Akapitzlist"/>
              <w:numPr>
                <w:ilvl w:val="0"/>
                <w:numId w:val="1"/>
              </w:numPr>
              <w:autoSpaceDE w:val="0"/>
              <w:autoSpaceDN w:val="0"/>
              <w:adjustRightInd w:val="0"/>
              <w:spacing w:line="360" w:lineRule="auto"/>
              <w:ind w:left="0" w:firstLine="0"/>
              <w:jc w:val="center"/>
              <w:rPr>
                <w:rFonts w:eastAsiaTheme="minorHAnsi"/>
                <w:b/>
                <w:bCs w:val="0"/>
                <w:sz w:val="21"/>
                <w:szCs w:val="21"/>
                <w:lang w:eastAsia="en-US"/>
              </w:rPr>
            </w:pPr>
            <w:r>
              <w:rPr>
                <w:rFonts w:eastAsiaTheme="minorHAnsi"/>
                <w:b/>
                <w:bCs w:val="0"/>
                <w:sz w:val="21"/>
                <w:szCs w:val="21"/>
                <w:lang w:eastAsia="en-US"/>
              </w:rPr>
              <w:t xml:space="preserve">Rządowe Centrum Legislacji </w:t>
            </w:r>
          </w:p>
        </w:tc>
      </w:tr>
    </w:tbl>
    <w:tbl>
      <w:tblPr>
        <w:tblStyle w:val="Tabela-Siatka"/>
        <w:tblW w:w="0" w:type="auto"/>
        <w:tblLook w:val="04A0" w:firstRow="1" w:lastRow="0" w:firstColumn="1" w:lastColumn="0" w:noHBand="0" w:noVBand="1"/>
      </w:tblPr>
      <w:tblGrid>
        <w:gridCol w:w="804"/>
        <w:gridCol w:w="6704"/>
        <w:gridCol w:w="7513"/>
      </w:tblGrid>
      <w:tr w:rsidR="002C6959" w:rsidRPr="00EE6200" w14:paraId="7A39B322" w14:textId="77777777" w:rsidTr="00440BCC">
        <w:trPr>
          <w:trHeight w:val="291"/>
        </w:trPr>
        <w:tc>
          <w:tcPr>
            <w:tcW w:w="804" w:type="dxa"/>
            <w:shd w:val="clear" w:color="auto" w:fill="D9D9D9" w:themeFill="background1" w:themeFillShade="D9"/>
          </w:tcPr>
          <w:p w14:paraId="6E8B5966" w14:textId="77777777" w:rsidR="002C6959" w:rsidRPr="00EE6200" w:rsidRDefault="002C6959" w:rsidP="002159C4">
            <w:pPr>
              <w:rPr>
                <w:sz w:val="21"/>
                <w:szCs w:val="21"/>
              </w:rPr>
            </w:pPr>
            <w:r w:rsidRPr="00EE6200">
              <w:rPr>
                <w:sz w:val="21"/>
                <w:szCs w:val="21"/>
              </w:rPr>
              <w:t>Lp.</w:t>
            </w:r>
          </w:p>
        </w:tc>
        <w:tc>
          <w:tcPr>
            <w:tcW w:w="6704" w:type="dxa"/>
            <w:shd w:val="clear" w:color="auto" w:fill="D9D9D9" w:themeFill="background1" w:themeFillShade="D9"/>
            <w:vAlign w:val="center"/>
          </w:tcPr>
          <w:p w14:paraId="72F19710" w14:textId="77777777" w:rsidR="002C6959" w:rsidRPr="00EE6200" w:rsidRDefault="00E3522A" w:rsidP="00E3522A">
            <w:pPr>
              <w:jc w:val="center"/>
              <w:rPr>
                <w:sz w:val="21"/>
                <w:szCs w:val="21"/>
              </w:rPr>
            </w:pPr>
            <w:r>
              <w:rPr>
                <w:sz w:val="21"/>
                <w:szCs w:val="21"/>
              </w:rPr>
              <w:t>Uwaga</w:t>
            </w:r>
          </w:p>
        </w:tc>
        <w:tc>
          <w:tcPr>
            <w:tcW w:w="7513" w:type="dxa"/>
            <w:shd w:val="clear" w:color="auto" w:fill="D9D9D9" w:themeFill="background1" w:themeFillShade="D9"/>
            <w:vAlign w:val="center"/>
          </w:tcPr>
          <w:p w14:paraId="393D2824" w14:textId="77777777" w:rsidR="002C6959" w:rsidRPr="00EE6200" w:rsidRDefault="002C6959" w:rsidP="00E3522A">
            <w:pPr>
              <w:jc w:val="center"/>
              <w:rPr>
                <w:sz w:val="21"/>
                <w:szCs w:val="21"/>
              </w:rPr>
            </w:pPr>
            <w:r w:rsidRPr="00EE6200">
              <w:rPr>
                <w:sz w:val="21"/>
                <w:szCs w:val="21"/>
              </w:rPr>
              <w:t xml:space="preserve">Stanowisko </w:t>
            </w:r>
            <w:r w:rsidR="00E3522A">
              <w:rPr>
                <w:sz w:val="21"/>
                <w:szCs w:val="21"/>
              </w:rPr>
              <w:t>MC</w:t>
            </w:r>
          </w:p>
        </w:tc>
      </w:tr>
      <w:tr w:rsidR="002D0E10" w:rsidRPr="004F7017" w14:paraId="0A16FBEC" w14:textId="77777777" w:rsidTr="00440BCC">
        <w:tc>
          <w:tcPr>
            <w:tcW w:w="804" w:type="dxa"/>
            <w:vAlign w:val="center"/>
          </w:tcPr>
          <w:p w14:paraId="129A1930" w14:textId="77777777" w:rsidR="002D0E10" w:rsidRPr="00EE6200" w:rsidRDefault="002D0E10"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1</w:t>
            </w:r>
            <w:r w:rsidR="002A7F31">
              <w:rPr>
                <w:rFonts w:eastAsiaTheme="minorHAnsi"/>
                <w:b/>
                <w:bCs w:val="0"/>
                <w:sz w:val="21"/>
                <w:szCs w:val="21"/>
                <w:lang w:eastAsia="en-US"/>
              </w:rPr>
              <w:t>.</w:t>
            </w:r>
          </w:p>
        </w:tc>
        <w:tc>
          <w:tcPr>
            <w:tcW w:w="6704" w:type="dxa"/>
          </w:tcPr>
          <w:p w14:paraId="3CC50767" w14:textId="0EC40CAA" w:rsidR="002D0E10" w:rsidRPr="004B0A37" w:rsidRDefault="00A641AB" w:rsidP="004B0A37">
            <w:pPr>
              <w:jc w:val="both"/>
              <w:rPr>
                <w:sz w:val="22"/>
                <w:szCs w:val="22"/>
              </w:rPr>
            </w:pPr>
            <w:r w:rsidRPr="004B0A37">
              <w:rPr>
                <w:sz w:val="22"/>
                <w:szCs w:val="22"/>
              </w:rPr>
              <w:t>Wyjaśnienia wymaga niespójność wewnętrzna formularza z załącznika nr 3. W załączniku nr 3 w polach oznaczonych Z.3.II.3 - Z.3.II.4, Z.3 projektodawca posługuje się  pojęciem „stawka opłaty za zajęcie pasa drogowego w celu umieszczania w nim urządzeń infrastruktury technicznej niezwiązanych z potrzebami zarządzania drogami lub potrzebami ruchu drogowego” (pojęcie sprzed zmiany art. 40 ustawy z dnia 21 marca 1985 r. o drogach publicznych), zaś w polach oznaczonych Z.3.II.5-Z.3.II.6 posługuje się pojęciem „opłat za zajęcie pasa drogowego w celu umieszczenia w nim liniowych urządzeń obcych” (czyli pojęciem wprowadzonym do ustawy o drogach publicznych 21 września 2022 r. przez ustawę z dnia 5 sierpnia 2022 r. o zmianie ustawy o Rządowym Funduszu Rozwoju Dróg oraz niektórych innych ustaw), co wymaga wyjaśnienia.</w:t>
            </w:r>
          </w:p>
        </w:tc>
        <w:tc>
          <w:tcPr>
            <w:tcW w:w="7513" w:type="dxa"/>
          </w:tcPr>
          <w:p w14:paraId="351B7DF2" w14:textId="5F9A64E0" w:rsidR="00A641AB" w:rsidRPr="004B0A37" w:rsidRDefault="00A641AB" w:rsidP="00A641AB">
            <w:pPr>
              <w:autoSpaceDE w:val="0"/>
              <w:autoSpaceDN w:val="0"/>
              <w:adjustRightInd w:val="0"/>
              <w:spacing w:before="60" w:after="60"/>
              <w:jc w:val="both"/>
              <w:rPr>
                <w:rFonts w:eastAsiaTheme="minorHAnsi"/>
                <w:bCs w:val="0"/>
                <w:sz w:val="22"/>
                <w:szCs w:val="22"/>
                <w:lang w:eastAsia="en-US"/>
              </w:rPr>
            </w:pPr>
            <w:r w:rsidRPr="004B0A37">
              <w:rPr>
                <w:rFonts w:eastAsiaTheme="minorHAnsi"/>
                <w:bCs w:val="0"/>
                <w:sz w:val="22"/>
                <w:szCs w:val="22"/>
                <w:lang w:eastAsia="en-US"/>
              </w:rPr>
              <w:t>Konieczność pozostawienia jednego i drugiego</w:t>
            </w:r>
            <w:r w:rsidR="00ED461E">
              <w:rPr>
                <w:rFonts w:eastAsiaTheme="minorHAnsi"/>
                <w:bCs w:val="0"/>
                <w:sz w:val="22"/>
                <w:szCs w:val="22"/>
                <w:lang w:eastAsia="en-US"/>
              </w:rPr>
              <w:t xml:space="preserve"> brzmienia</w:t>
            </w:r>
            <w:r w:rsidRPr="004B0A37">
              <w:rPr>
                <w:rFonts w:eastAsiaTheme="minorHAnsi"/>
                <w:bCs w:val="0"/>
                <w:sz w:val="22"/>
                <w:szCs w:val="22"/>
                <w:lang w:eastAsia="en-US"/>
              </w:rPr>
              <w:t xml:space="preserve"> wynika z tego, że uchwały w wyniku nowelizacji ustawy o drogach nie zostały uchylone ani nie utraciły mocy. </w:t>
            </w:r>
          </w:p>
          <w:p w14:paraId="6DB9C066" w14:textId="2854B7D0" w:rsidR="002D0E10" w:rsidRPr="00E30013" w:rsidRDefault="00A641AB" w:rsidP="00A641AB">
            <w:pPr>
              <w:autoSpaceDE w:val="0"/>
              <w:autoSpaceDN w:val="0"/>
              <w:adjustRightInd w:val="0"/>
              <w:spacing w:before="60" w:after="60"/>
              <w:jc w:val="both"/>
              <w:rPr>
                <w:rFonts w:eastAsiaTheme="minorHAnsi"/>
                <w:b/>
                <w:bCs w:val="0"/>
                <w:sz w:val="21"/>
                <w:szCs w:val="21"/>
                <w:lang w:eastAsia="en-US"/>
              </w:rPr>
            </w:pPr>
            <w:r w:rsidRPr="004B0A37">
              <w:rPr>
                <w:rFonts w:eastAsiaTheme="minorHAnsi"/>
                <w:bCs w:val="0"/>
                <w:sz w:val="22"/>
                <w:szCs w:val="22"/>
                <w:lang w:eastAsia="en-US"/>
              </w:rPr>
              <w:t>Zgodnie z art. 29 ust. 1 ustawy z dnia 5 sierpnia  2022 r. o zmianie ustawy o Rządowym Funduszu Rozwoju Dróg oraz niektórych innych ustaw (Dz.</w:t>
            </w:r>
            <w:r w:rsidR="00ED461E">
              <w:rPr>
                <w:rFonts w:eastAsiaTheme="minorHAnsi"/>
                <w:bCs w:val="0"/>
                <w:sz w:val="22"/>
                <w:szCs w:val="22"/>
                <w:lang w:eastAsia="en-US"/>
              </w:rPr>
              <w:t xml:space="preserve"> </w:t>
            </w:r>
            <w:r w:rsidRPr="004B0A37">
              <w:rPr>
                <w:rFonts w:eastAsiaTheme="minorHAnsi"/>
                <w:bCs w:val="0"/>
                <w:sz w:val="22"/>
                <w:szCs w:val="22"/>
                <w:lang w:eastAsia="en-US"/>
              </w:rPr>
              <w:t>U. poz. 1768), organy stanowiące jednostek samorządu terytorialnego mają dostosować, do dnia 20 września 2026 r., uchwały, o których mowa w art. 40 ust. 8 ustawy z dnia 21 marca 1985 r. o drogach publicznych, do zmian wynikających z art. 3 ww. ustawy, z kolei zgodnie z art. 29 ust. 2 ww. ustawy uchwały te mogą być w tym czasie zmieniane.</w:t>
            </w:r>
          </w:p>
        </w:tc>
      </w:tr>
      <w:tr w:rsidR="00A06753" w:rsidRPr="004F7017" w14:paraId="2CB91319" w14:textId="77777777" w:rsidTr="00440BCC">
        <w:tc>
          <w:tcPr>
            <w:tcW w:w="804" w:type="dxa"/>
            <w:vAlign w:val="center"/>
          </w:tcPr>
          <w:p w14:paraId="62A11F81" w14:textId="77777777" w:rsidR="00A06753" w:rsidRDefault="00A06753" w:rsidP="002159C4">
            <w:pPr>
              <w:autoSpaceDE w:val="0"/>
              <w:autoSpaceDN w:val="0"/>
              <w:adjustRightInd w:val="0"/>
              <w:spacing w:before="60" w:after="60" w:line="264" w:lineRule="auto"/>
              <w:contextualSpacing/>
              <w:jc w:val="center"/>
              <w:rPr>
                <w:rFonts w:eastAsiaTheme="minorHAnsi"/>
                <w:b/>
                <w:bCs w:val="0"/>
                <w:sz w:val="21"/>
                <w:szCs w:val="21"/>
                <w:lang w:eastAsia="en-US"/>
              </w:rPr>
            </w:pPr>
          </w:p>
        </w:tc>
        <w:tc>
          <w:tcPr>
            <w:tcW w:w="6704" w:type="dxa"/>
          </w:tcPr>
          <w:p w14:paraId="5A427B5E" w14:textId="77777777" w:rsidR="00A06753" w:rsidRDefault="00A06753" w:rsidP="00C83532">
            <w:pPr>
              <w:rPr>
                <w:rFonts w:asciiTheme="minorHAnsi" w:hAnsiTheme="minorHAnsi" w:cstheme="minorHAnsi"/>
                <w:sz w:val="22"/>
                <w:szCs w:val="22"/>
              </w:rPr>
            </w:pPr>
          </w:p>
        </w:tc>
        <w:tc>
          <w:tcPr>
            <w:tcW w:w="7513" w:type="dxa"/>
          </w:tcPr>
          <w:p w14:paraId="4383A761" w14:textId="77777777" w:rsidR="00A06753" w:rsidRDefault="00A06753" w:rsidP="00C83532">
            <w:pPr>
              <w:rPr>
                <w:rFonts w:asciiTheme="minorHAnsi" w:hAnsiTheme="minorHAnsi" w:cstheme="minorHAnsi"/>
                <w:sz w:val="22"/>
                <w:szCs w:val="22"/>
              </w:rPr>
            </w:pPr>
          </w:p>
        </w:tc>
      </w:tr>
    </w:tbl>
    <w:tbl>
      <w:tblPr>
        <w:tblStyle w:val="Tabela-Siatka1"/>
        <w:tblW w:w="0" w:type="auto"/>
        <w:tblLook w:val="04A0" w:firstRow="1" w:lastRow="0" w:firstColumn="1" w:lastColumn="0" w:noHBand="0" w:noVBand="1"/>
      </w:tblPr>
      <w:tblGrid>
        <w:gridCol w:w="15021"/>
      </w:tblGrid>
      <w:tr w:rsidR="002C6959" w:rsidRPr="00EE6200" w14:paraId="53DF1540" w14:textId="77777777" w:rsidTr="00440BCC">
        <w:trPr>
          <w:trHeight w:val="419"/>
        </w:trPr>
        <w:tc>
          <w:tcPr>
            <w:tcW w:w="15021" w:type="dxa"/>
            <w:shd w:val="clear" w:color="auto" w:fill="D9D9D9" w:themeFill="background1" w:themeFillShade="D9"/>
            <w:vAlign w:val="center"/>
          </w:tcPr>
          <w:p w14:paraId="531E7E46" w14:textId="0B1A28E5" w:rsidR="002C6959" w:rsidRPr="00EE6200" w:rsidRDefault="004B0A37" w:rsidP="002A0C2E">
            <w:pPr>
              <w:pStyle w:val="Akapitzlist"/>
              <w:numPr>
                <w:ilvl w:val="0"/>
                <w:numId w:val="1"/>
              </w:numPr>
              <w:autoSpaceDE w:val="0"/>
              <w:autoSpaceDN w:val="0"/>
              <w:adjustRightInd w:val="0"/>
              <w:spacing w:line="360" w:lineRule="auto"/>
              <w:jc w:val="center"/>
              <w:rPr>
                <w:rFonts w:eastAsiaTheme="minorHAnsi"/>
                <w:b/>
                <w:bCs w:val="0"/>
                <w:sz w:val="21"/>
                <w:szCs w:val="21"/>
                <w:lang w:eastAsia="en-US"/>
              </w:rPr>
            </w:pPr>
            <w:r>
              <w:rPr>
                <w:rFonts w:eastAsiaTheme="minorHAnsi"/>
                <w:b/>
                <w:bCs w:val="0"/>
                <w:sz w:val="21"/>
                <w:szCs w:val="21"/>
                <w:lang w:eastAsia="en-US"/>
              </w:rPr>
              <w:t>Ministerstwo Infrastruktury</w:t>
            </w:r>
          </w:p>
        </w:tc>
      </w:tr>
    </w:tbl>
    <w:tbl>
      <w:tblPr>
        <w:tblStyle w:val="Tabela-Siatka"/>
        <w:tblW w:w="0" w:type="auto"/>
        <w:tblLook w:val="04A0" w:firstRow="1" w:lastRow="0" w:firstColumn="1" w:lastColumn="0" w:noHBand="0" w:noVBand="1"/>
      </w:tblPr>
      <w:tblGrid>
        <w:gridCol w:w="804"/>
        <w:gridCol w:w="6704"/>
        <w:gridCol w:w="7513"/>
      </w:tblGrid>
      <w:tr w:rsidR="002159C4" w:rsidRPr="00EE6200" w14:paraId="5C27F28C" w14:textId="77777777" w:rsidTr="00440BCC">
        <w:trPr>
          <w:trHeight w:val="185"/>
        </w:trPr>
        <w:tc>
          <w:tcPr>
            <w:tcW w:w="804" w:type="dxa"/>
            <w:shd w:val="clear" w:color="auto" w:fill="D9D9D9" w:themeFill="background1" w:themeFillShade="D9"/>
          </w:tcPr>
          <w:p w14:paraId="303F1F94" w14:textId="77777777" w:rsidR="002159C4" w:rsidRPr="00EE6200" w:rsidRDefault="002159C4" w:rsidP="002159C4">
            <w:pPr>
              <w:rPr>
                <w:sz w:val="21"/>
                <w:szCs w:val="21"/>
              </w:rPr>
            </w:pPr>
            <w:r w:rsidRPr="00EE6200">
              <w:rPr>
                <w:sz w:val="21"/>
                <w:szCs w:val="21"/>
              </w:rPr>
              <w:t>Lp.</w:t>
            </w:r>
          </w:p>
        </w:tc>
        <w:tc>
          <w:tcPr>
            <w:tcW w:w="6704" w:type="dxa"/>
            <w:shd w:val="clear" w:color="auto" w:fill="D9D9D9" w:themeFill="background1" w:themeFillShade="D9"/>
            <w:vAlign w:val="center"/>
          </w:tcPr>
          <w:p w14:paraId="00AB36C1" w14:textId="77777777" w:rsidR="002159C4" w:rsidRPr="00EE6200" w:rsidRDefault="002159C4" w:rsidP="002159C4">
            <w:pPr>
              <w:jc w:val="center"/>
              <w:rPr>
                <w:sz w:val="21"/>
                <w:szCs w:val="21"/>
              </w:rPr>
            </w:pPr>
            <w:r w:rsidRPr="00EE6200">
              <w:rPr>
                <w:sz w:val="21"/>
                <w:szCs w:val="21"/>
              </w:rPr>
              <w:t>Istota uwagi</w:t>
            </w:r>
          </w:p>
        </w:tc>
        <w:tc>
          <w:tcPr>
            <w:tcW w:w="7513" w:type="dxa"/>
            <w:shd w:val="clear" w:color="auto" w:fill="D9D9D9" w:themeFill="background1" w:themeFillShade="D9"/>
            <w:vAlign w:val="center"/>
          </w:tcPr>
          <w:p w14:paraId="43603040" w14:textId="77777777" w:rsidR="002159C4" w:rsidRPr="00EE6200" w:rsidRDefault="002159C4" w:rsidP="002159C4">
            <w:pPr>
              <w:jc w:val="center"/>
              <w:rPr>
                <w:sz w:val="21"/>
                <w:szCs w:val="21"/>
              </w:rPr>
            </w:pPr>
            <w:r w:rsidRPr="00EE6200">
              <w:rPr>
                <w:sz w:val="21"/>
                <w:szCs w:val="21"/>
              </w:rPr>
              <w:t>Stanowisko wnioskodawcy</w:t>
            </w:r>
          </w:p>
        </w:tc>
      </w:tr>
      <w:tr w:rsidR="002159C4" w:rsidRPr="004F7017" w14:paraId="3FD3477A" w14:textId="77777777" w:rsidTr="00440BCC">
        <w:tc>
          <w:tcPr>
            <w:tcW w:w="804" w:type="dxa"/>
            <w:vAlign w:val="center"/>
          </w:tcPr>
          <w:p w14:paraId="0390CE5D" w14:textId="0C888328" w:rsidR="002159C4" w:rsidRPr="00EE6200" w:rsidRDefault="0005443E"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1</w:t>
            </w:r>
            <w:r w:rsidR="00A06753">
              <w:rPr>
                <w:rFonts w:eastAsiaTheme="minorHAnsi"/>
                <w:b/>
                <w:bCs w:val="0"/>
                <w:sz w:val="21"/>
                <w:szCs w:val="21"/>
                <w:lang w:eastAsia="en-US"/>
              </w:rPr>
              <w:t>.</w:t>
            </w:r>
          </w:p>
        </w:tc>
        <w:tc>
          <w:tcPr>
            <w:tcW w:w="6704" w:type="dxa"/>
          </w:tcPr>
          <w:p w14:paraId="65496FAB" w14:textId="389153B5" w:rsidR="002159C4" w:rsidRPr="00021B03" w:rsidRDefault="0005443E" w:rsidP="00ED5EFB">
            <w:pPr>
              <w:autoSpaceDE w:val="0"/>
              <w:autoSpaceDN w:val="0"/>
              <w:adjustRightInd w:val="0"/>
              <w:spacing w:after="60"/>
              <w:jc w:val="both"/>
              <w:rPr>
                <w:rFonts w:ascii="TimesNewRomanPSMT" w:eastAsiaTheme="minorHAnsi" w:hAnsi="TimesNewRomanPSMT" w:cs="TimesNewRomanPSMT"/>
                <w:bCs w:val="0"/>
                <w:sz w:val="22"/>
                <w:szCs w:val="22"/>
                <w:lang w:eastAsia="en-US"/>
              </w:rPr>
            </w:pPr>
            <w:r w:rsidRPr="0005443E">
              <w:rPr>
                <w:rFonts w:ascii="TimesNewRomanPSMT" w:eastAsiaTheme="minorHAnsi" w:hAnsi="TimesNewRomanPSMT" w:cs="TimesNewRomanPSMT"/>
                <w:bCs w:val="0"/>
                <w:sz w:val="22"/>
                <w:szCs w:val="22"/>
                <w:lang w:eastAsia="en-US"/>
              </w:rPr>
              <w:t>W załączniku nr 3 projektu, który określa Wzór formularza służącego do przekazywania informacji, o których mowa w ww. § 4 rozporządzenia, tj. informacji o obowiązujących stawkach opłaty za zajęcie pasa drogowego w odniesieniu do infrastruktury telekomunikacyjnej - wyraz "chodnik" należy zastąpić wyrazami "droga dla pieszych", zaś wyrazy „w innych elementach pasa drogowego” zastąpić wyrazami „w innych częściach drogi”.</w:t>
            </w:r>
          </w:p>
        </w:tc>
        <w:tc>
          <w:tcPr>
            <w:tcW w:w="7513" w:type="dxa"/>
          </w:tcPr>
          <w:p w14:paraId="2925C26D" w14:textId="588D720E" w:rsidR="0005443E" w:rsidRPr="004B0A37" w:rsidRDefault="0005443E" w:rsidP="004B0A37">
            <w:pPr>
              <w:jc w:val="both"/>
              <w:rPr>
                <w:sz w:val="22"/>
                <w:szCs w:val="22"/>
              </w:rPr>
            </w:pPr>
            <w:r w:rsidRPr="004B0A37">
              <w:rPr>
                <w:sz w:val="22"/>
                <w:szCs w:val="22"/>
              </w:rPr>
              <w:t>W części II Załącznika nr 3 wprowadzono wskazywane zmiany za wyjątkiem formularzy odnoszących się do uchwał podjętych w brzmieniu sprzed 22 września 2022 r.</w:t>
            </w:r>
          </w:p>
          <w:p w14:paraId="28A08E50" w14:textId="77777777" w:rsidR="0005443E" w:rsidRPr="004B0A37" w:rsidRDefault="0005443E" w:rsidP="004B0A37">
            <w:pPr>
              <w:jc w:val="both"/>
              <w:rPr>
                <w:sz w:val="22"/>
                <w:szCs w:val="22"/>
              </w:rPr>
            </w:pPr>
            <w:r w:rsidRPr="004B0A37">
              <w:rPr>
                <w:sz w:val="22"/>
                <w:szCs w:val="22"/>
              </w:rPr>
              <w:t xml:space="preserve">W przypadku pojęcia „część drogi” zachodzi merytoryczna kolizja przepisów </w:t>
            </w:r>
            <w:proofErr w:type="spellStart"/>
            <w:r w:rsidRPr="004B0A37">
              <w:rPr>
                <w:sz w:val="22"/>
                <w:szCs w:val="22"/>
              </w:rPr>
              <w:t>megaustawy</w:t>
            </w:r>
            <w:proofErr w:type="spellEnd"/>
            <w:r w:rsidRPr="004B0A37">
              <w:rPr>
                <w:sz w:val="22"/>
                <w:szCs w:val="22"/>
              </w:rPr>
              <w:t xml:space="preserve"> i ustawy o drogach publicznych. W tym przypadku należy posługiwać się regułą kolizyjną Lex </w:t>
            </w:r>
            <w:proofErr w:type="spellStart"/>
            <w:r w:rsidRPr="004B0A37">
              <w:rPr>
                <w:sz w:val="22"/>
                <w:szCs w:val="22"/>
              </w:rPr>
              <w:t>specialis</w:t>
            </w:r>
            <w:proofErr w:type="spellEnd"/>
            <w:r w:rsidRPr="004B0A37">
              <w:rPr>
                <w:sz w:val="22"/>
                <w:szCs w:val="22"/>
              </w:rPr>
              <w:t xml:space="preserve"> derogat legi </w:t>
            </w:r>
            <w:proofErr w:type="spellStart"/>
            <w:r w:rsidRPr="004B0A37">
              <w:rPr>
                <w:sz w:val="22"/>
                <w:szCs w:val="22"/>
              </w:rPr>
              <w:t>generali</w:t>
            </w:r>
            <w:proofErr w:type="spellEnd"/>
            <w:r w:rsidRPr="004B0A37">
              <w:rPr>
                <w:sz w:val="22"/>
                <w:szCs w:val="22"/>
              </w:rPr>
              <w:t xml:space="preserve">. Normą bardziej szczegółowa określającą pojęcie „część drogi” jest ustawa o drogach publicznych i zastępuje definicję pojęcia „element pasa drogowego” w </w:t>
            </w:r>
            <w:proofErr w:type="spellStart"/>
            <w:r w:rsidRPr="004B0A37">
              <w:rPr>
                <w:sz w:val="22"/>
                <w:szCs w:val="22"/>
              </w:rPr>
              <w:t>megaustawie</w:t>
            </w:r>
            <w:proofErr w:type="spellEnd"/>
            <w:r w:rsidRPr="004B0A37">
              <w:rPr>
                <w:sz w:val="22"/>
                <w:szCs w:val="22"/>
              </w:rPr>
              <w:t xml:space="preserve"> jako pojęcia bardziej ogólnego.</w:t>
            </w:r>
          </w:p>
          <w:p w14:paraId="4D4DE191" w14:textId="6316A162" w:rsidR="002159C4" w:rsidRPr="00E30013" w:rsidRDefault="0005443E" w:rsidP="004B0A37">
            <w:pPr>
              <w:autoSpaceDE w:val="0"/>
              <w:autoSpaceDN w:val="0"/>
              <w:adjustRightInd w:val="0"/>
              <w:spacing w:after="120"/>
              <w:jc w:val="both"/>
              <w:rPr>
                <w:rFonts w:eastAsiaTheme="minorHAnsi"/>
                <w:b/>
                <w:bCs w:val="0"/>
                <w:sz w:val="21"/>
                <w:szCs w:val="21"/>
                <w:lang w:eastAsia="en-US"/>
              </w:rPr>
            </w:pPr>
            <w:r w:rsidRPr="004B0A37">
              <w:rPr>
                <w:sz w:val="22"/>
                <w:szCs w:val="22"/>
              </w:rPr>
              <w:lastRenderedPageBreak/>
              <w:t>Zgodnie z definicją „pasa drogowego” z ustawy o drogach publicznych jest to „wydzielony liniami rozgraniczającymi grunt wraz z przestrzenią nad i pod jego powierzchnią, w którym jest lub będzie usytuowana droga”</w:t>
            </w:r>
          </w:p>
        </w:tc>
      </w:tr>
      <w:tr w:rsidR="004B0A37" w:rsidRPr="004F7017" w14:paraId="2ED15B17" w14:textId="77777777" w:rsidTr="003F0758">
        <w:tc>
          <w:tcPr>
            <w:tcW w:w="15021" w:type="dxa"/>
            <w:gridSpan w:val="3"/>
            <w:vAlign w:val="center"/>
          </w:tcPr>
          <w:p w14:paraId="4CA27DB4" w14:textId="77777777" w:rsidR="004B0A37" w:rsidRDefault="004B0A37" w:rsidP="004B0A37">
            <w:pPr>
              <w:jc w:val="center"/>
              <w:rPr>
                <w:b/>
                <w:sz w:val="21"/>
                <w:szCs w:val="21"/>
                <w:highlight w:val="lightGray"/>
              </w:rPr>
            </w:pPr>
          </w:p>
          <w:p w14:paraId="09E199AE" w14:textId="49368BEA" w:rsidR="004B0A37" w:rsidRPr="004B0A37" w:rsidRDefault="004B0A37" w:rsidP="004B0A37">
            <w:pPr>
              <w:jc w:val="center"/>
              <w:rPr>
                <w:b/>
                <w:sz w:val="21"/>
                <w:szCs w:val="21"/>
                <w:highlight w:val="lightGray"/>
              </w:rPr>
            </w:pPr>
            <w:r w:rsidRPr="004B0A37">
              <w:rPr>
                <w:b/>
                <w:sz w:val="21"/>
                <w:szCs w:val="21"/>
                <w:highlight w:val="lightGray"/>
              </w:rPr>
              <w:t xml:space="preserve">3. </w:t>
            </w:r>
            <w:r>
              <w:rPr>
                <w:b/>
                <w:sz w:val="21"/>
                <w:szCs w:val="21"/>
                <w:highlight w:val="lightGray"/>
              </w:rPr>
              <w:t>Ministerstwo Rozwoju i Technologii</w:t>
            </w:r>
          </w:p>
        </w:tc>
      </w:tr>
      <w:tr w:rsidR="004B0A37" w:rsidRPr="00EE6200" w14:paraId="0FFDBD51" w14:textId="77777777" w:rsidTr="00F0628D">
        <w:trPr>
          <w:trHeight w:val="185"/>
        </w:trPr>
        <w:tc>
          <w:tcPr>
            <w:tcW w:w="804" w:type="dxa"/>
            <w:shd w:val="clear" w:color="auto" w:fill="D9D9D9" w:themeFill="background1" w:themeFillShade="D9"/>
          </w:tcPr>
          <w:p w14:paraId="1AEF9DA9" w14:textId="77777777" w:rsidR="004B0A37" w:rsidRPr="00EE6200" w:rsidRDefault="004B0A37" w:rsidP="00F0628D">
            <w:pPr>
              <w:rPr>
                <w:sz w:val="21"/>
                <w:szCs w:val="21"/>
              </w:rPr>
            </w:pPr>
            <w:r w:rsidRPr="00EE6200">
              <w:rPr>
                <w:sz w:val="21"/>
                <w:szCs w:val="21"/>
              </w:rPr>
              <w:t>Lp.</w:t>
            </w:r>
          </w:p>
        </w:tc>
        <w:tc>
          <w:tcPr>
            <w:tcW w:w="6704" w:type="dxa"/>
            <w:shd w:val="clear" w:color="auto" w:fill="D9D9D9" w:themeFill="background1" w:themeFillShade="D9"/>
            <w:vAlign w:val="center"/>
          </w:tcPr>
          <w:p w14:paraId="75802659" w14:textId="77777777" w:rsidR="004B0A37" w:rsidRPr="00EE6200" w:rsidRDefault="004B0A37" w:rsidP="00F0628D">
            <w:pPr>
              <w:jc w:val="center"/>
              <w:rPr>
                <w:sz w:val="21"/>
                <w:szCs w:val="21"/>
              </w:rPr>
            </w:pPr>
            <w:r w:rsidRPr="00EE6200">
              <w:rPr>
                <w:sz w:val="21"/>
                <w:szCs w:val="21"/>
              </w:rPr>
              <w:t>Istota uwagi</w:t>
            </w:r>
          </w:p>
        </w:tc>
        <w:tc>
          <w:tcPr>
            <w:tcW w:w="7513" w:type="dxa"/>
            <w:shd w:val="clear" w:color="auto" w:fill="D9D9D9" w:themeFill="background1" w:themeFillShade="D9"/>
            <w:vAlign w:val="center"/>
          </w:tcPr>
          <w:p w14:paraId="504C08E3" w14:textId="77777777" w:rsidR="004B0A37" w:rsidRPr="00EE6200" w:rsidRDefault="004B0A37" w:rsidP="00F0628D">
            <w:pPr>
              <w:jc w:val="center"/>
              <w:rPr>
                <w:sz w:val="21"/>
                <w:szCs w:val="21"/>
              </w:rPr>
            </w:pPr>
            <w:r w:rsidRPr="00EE6200">
              <w:rPr>
                <w:sz w:val="21"/>
                <w:szCs w:val="21"/>
              </w:rPr>
              <w:t>Stanowisko wnioskodawcy</w:t>
            </w:r>
          </w:p>
        </w:tc>
      </w:tr>
      <w:tr w:rsidR="004B0A37" w:rsidRPr="00E30013" w14:paraId="69899345" w14:textId="77777777" w:rsidTr="00F0628D">
        <w:tc>
          <w:tcPr>
            <w:tcW w:w="804" w:type="dxa"/>
            <w:vAlign w:val="center"/>
          </w:tcPr>
          <w:p w14:paraId="14547F88" w14:textId="77777777" w:rsidR="004B0A37" w:rsidRPr="00EE6200" w:rsidRDefault="004B0A37" w:rsidP="00F0628D">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1.</w:t>
            </w:r>
          </w:p>
        </w:tc>
        <w:tc>
          <w:tcPr>
            <w:tcW w:w="6704" w:type="dxa"/>
          </w:tcPr>
          <w:p w14:paraId="5B701B26" w14:textId="77777777" w:rsidR="004B0A37" w:rsidRPr="004B0A37" w:rsidRDefault="004B0A37" w:rsidP="004B0A37">
            <w:pPr>
              <w:autoSpaceDE w:val="0"/>
              <w:autoSpaceDN w:val="0"/>
              <w:adjustRightInd w:val="0"/>
              <w:spacing w:after="60"/>
              <w:jc w:val="both"/>
              <w:rPr>
                <w:rFonts w:ascii="TimesNewRomanPSMT" w:eastAsiaTheme="minorHAnsi" w:hAnsi="TimesNewRomanPSMT" w:cs="TimesNewRomanPSMT"/>
                <w:bCs w:val="0"/>
                <w:sz w:val="22"/>
                <w:szCs w:val="22"/>
                <w:lang w:eastAsia="en-US"/>
              </w:rPr>
            </w:pPr>
            <w:r w:rsidRPr="004B0A37">
              <w:rPr>
                <w:rFonts w:ascii="TimesNewRomanPSMT" w:eastAsiaTheme="minorHAnsi" w:hAnsi="TimesNewRomanPSMT" w:cs="TimesNewRomanPSMT"/>
                <w:bCs w:val="0"/>
                <w:sz w:val="22"/>
                <w:szCs w:val="22"/>
                <w:lang w:eastAsia="en-US"/>
              </w:rPr>
              <w:t xml:space="preserve">W załączniku nr 1 w Części II. Informacje o elementach punktowych infrastruktury technicznej lub kanału technologicznego, w tabeli w kolumnie "Sposób określania wartości pól" w wierszu "Kategoria elementu infrastruktury technicznej albo wskazanie kanału technologicznego" w </w:t>
            </w:r>
            <w:proofErr w:type="spellStart"/>
            <w:r w:rsidRPr="004B0A37">
              <w:rPr>
                <w:rFonts w:ascii="TimesNewRomanPSMT" w:eastAsiaTheme="minorHAnsi" w:hAnsi="TimesNewRomanPSMT" w:cs="TimesNewRomanPSMT"/>
                <w:bCs w:val="0"/>
                <w:sz w:val="22"/>
                <w:szCs w:val="22"/>
                <w:lang w:eastAsia="en-US"/>
              </w:rPr>
              <w:t>ppkt</w:t>
            </w:r>
            <w:proofErr w:type="spellEnd"/>
            <w:r w:rsidRPr="004B0A37">
              <w:rPr>
                <w:rFonts w:ascii="TimesNewRomanPSMT" w:eastAsiaTheme="minorHAnsi" w:hAnsi="TimesNewRomanPSMT" w:cs="TimesNewRomanPSMT"/>
                <w:bCs w:val="0"/>
                <w:sz w:val="22"/>
                <w:szCs w:val="22"/>
                <w:lang w:eastAsia="en-US"/>
              </w:rPr>
              <w:t xml:space="preserve"> b "punkt o określonej wysokości" proponuje się dodać informację (np. w formie odnośnika), że wysokości punktów określa się w układzie wysokościowym PL-EVRF2007-NH, o którym mowa w przepisach wydanych na podstawie art. 3 ust. 5 ustawy - Prawo geodezyjne i kartograficzne. Analogiczne rozwiązanie proponuje się zastosować również w innych przypadkach, w których występuje przedmiotowe sformułowanie, w tym w załączniku nr 2.</w:t>
            </w:r>
          </w:p>
          <w:p w14:paraId="08AD333D" w14:textId="7EBDD055" w:rsidR="004B0A37" w:rsidRPr="00021B03" w:rsidRDefault="004B0A37" w:rsidP="00F0628D">
            <w:pPr>
              <w:autoSpaceDE w:val="0"/>
              <w:autoSpaceDN w:val="0"/>
              <w:adjustRightInd w:val="0"/>
              <w:spacing w:after="60"/>
              <w:jc w:val="both"/>
              <w:rPr>
                <w:rFonts w:ascii="TimesNewRomanPSMT" w:eastAsiaTheme="minorHAnsi" w:hAnsi="TimesNewRomanPSMT" w:cs="TimesNewRomanPSMT"/>
                <w:bCs w:val="0"/>
                <w:sz w:val="22"/>
                <w:szCs w:val="22"/>
                <w:lang w:eastAsia="en-US"/>
              </w:rPr>
            </w:pPr>
          </w:p>
        </w:tc>
        <w:tc>
          <w:tcPr>
            <w:tcW w:w="7513" w:type="dxa"/>
          </w:tcPr>
          <w:p w14:paraId="30027685" w14:textId="350F02FA" w:rsidR="004B0A37" w:rsidRPr="004B0A37" w:rsidRDefault="004B0A37" w:rsidP="00F0628D">
            <w:pPr>
              <w:autoSpaceDE w:val="0"/>
              <w:autoSpaceDN w:val="0"/>
              <w:adjustRightInd w:val="0"/>
              <w:spacing w:after="120"/>
              <w:jc w:val="both"/>
              <w:rPr>
                <w:rFonts w:eastAsiaTheme="minorHAnsi"/>
                <w:bCs w:val="0"/>
                <w:sz w:val="22"/>
                <w:szCs w:val="22"/>
                <w:lang w:eastAsia="en-US"/>
              </w:rPr>
            </w:pPr>
            <w:r w:rsidRPr="004B0A37">
              <w:rPr>
                <w:rFonts w:eastAsiaTheme="minorHAnsi"/>
                <w:sz w:val="22"/>
                <w:szCs w:val="22"/>
                <w:lang w:eastAsia="en-US"/>
              </w:rPr>
              <w:t xml:space="preserve">Przepisy </w:t>
            </w:r>
            <w:proofErr w:type="spellStart"/>
            <w:r w:rsidRPr="004B0A37">
              <w:rPr>
                <w:rFonts w:eastAsiaTheme="minorHAnsi"/>
                <w:sz w:val="22"/>
                <w:szCs w:val="22"/>
                <w:lang w:eastAsia="en-US"/>
              </w:rPr>
              <w:t>megaustawy</w:t>
            </w:r>
            <w:proofErr w:type="spellEnd"/>
            <w:r w:rsidRPr="004B0A37">
              <w:rPr>
                <w:rFonts w:eastAsiaTheme="minorHAnsi"/>
                <w:sz w:val="22"/>
                <w:szCs w:val="22"/>
                <w:lang w:eastAsia="en-US"/>
              </w:rPr>
              <w:t xml:space="preserve"> nie nakładają obowiązku przekazywania informacji o wysokościach, zarówno bezwzględnych jak i względnych.</w:t>
            </w:r>
          </w:p>
        </w:tc>
      </w:tr>
      <w:tr w:rsidR="004B0A37" w:rsidRPr="00E30013" w14:paraId="15651A8D" w14:textId="77777777" w:rsidTr="00F0628D">
        <w:tc>
          <w:tcPr>
            <w:tcW w:w="804" w:type="dxa"/>
            <w:vAlign w:val="center"/>
          </w:tcPr>
          <w:p w14:paraId="16A0A258" w14:textId="125C83C6" w:rsidR="004B0A37" w:rsidRDefault="004B0A37" w:rsidP="00F0628D">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2.</w:t>
            </w:r>
          </w:p>
        </w:tc>
        <w:tc>
          <w:tcPr>
            <w:tcW w:w="6704" w:type="dxa"/>
          </w:tcPr>
          <w:p w14:paraId="7357256F" w14:textId="77777777" w:rsidR="004B0A37" w:rsidRPr="004B0A37" w:rsidRDefault="004B0A37" w:rsidP="004B0A37">
            <w:pPr>
              <w:autoSpaceDE w:val="0"/>
              <w:autoSpaceDN w:val="0"/>
              <w:adjustRightInd w:val="0"/>
              <w:spacing w:after="60"/>
              <w:jc w:val="both"/>
              <w:rPr>
                <w:rFonts w:ascii="TimesNewRomanPSMT" w:eastAsiaTheme="minorHAnsi" w:hAnsi="TimesNewRomanPSMT" w:cs="TimesNewRomanPSMT"/>
                <w:bCs w:val="0"/>
                <w:sz w:val="22"/>
                <w:szCs w:val="22"/>
                <w:lang w:eastAsia="en-US"/>
              </w:rPr>
            </w:pPr>
            <w:r w:rsidRPr="004B0A37">
              <w:rPr>
                <w:rFonts w:ascii="TimesNewRomanPSMT" w:eastAsiaTheme="minorHAnsi" w:hAnsi="TimesNewRomanPSMT" w:cs="TimesNewRomanPSMT"/>
                <w:bCs w:val="0"/>
                <w:sz w:val="22"/>
                <w:szCs w:val="22"/>
                <w:lang w:eastAsia="en-US"/>
              </w:rPr>
              <w:t>W załączniku nr 1 w Części II. Informacje o elementach punktowych infrastruktury technicznej lub kanału technologicznego, w tabeli w kolumnie "Sposób określania wartości pól", w wierszach: "Kategoria elementu infrastruktury technicznej albo wskazanie kanału technologicznego" i "Typ elementu infrastruktury technicznej lub kanału technologicznego" proponuje się w miarę możliwości ujednolicić nazewnictwo zgodnie z rozporządzeniem Ministra Rozwoju i Technologii z dnia 23 lipca 2021 r. w sprawie geodezyjnej ewidencji sieci uzbrojenia terenu  (Dz.U. z 2021 r. poz. 1374) - zw. dalej "GESUT". Analogicznie w tabelach w Części III i Części IV tego załącznika oraz w załączniku nr 2.</w:t>
            </w:r>
          </w:p>
          <w:p w14:paraId="714405F6" w14:textId="77777777" w:rsidR="004B0A37" w:rsidRPr="004B0A37" w:rsidRDefault="004B0A37" w:rsidP="004B0A37">
            <w:pPr>
              <w:autoSpaceDE w:val="0"/>
              <w:autoSpaceDN w:val="0"/>
              <w:adjustRightInd w:val="0"/>
              <w:spacing w:after="60"/>
              <w:jc w:val="both"/>
              <w:rPr>
                <w:rFonts w:ascii="TimesNewRomanPSMT" w:eastAsiaTheme="minorHAnsi" w:hAnsi="TimesNewRomanPSMT" w:cs="TimesNewRomanPSMT"/>
                <w:bCs w:val="0"/>
                <w:sz w:val="22"/>
                <w:szCs w:val="22"/>
                <w:lang w:eastAsia="en-US"/>
              </w:rPr>
            </w:pPr>
            <w:r w:rsidRPr="004B0A37">
              <w:rPr>
                <w:rFonts w:ascii="TimesNewRomanPSMT" w:eastAsiaTheme="minorHAnsi" w:hAnsi="TimesNewRomanPSMT" w:cs="TimesNewRomanPSMT"/>
                <w:bCs w:val="0"/>
                <w:sz w:val="22"/>
                <w:szCs w:val="22"/>
                <w:lang w:eastAsia="en-US"/>
              </w:rPr>
              <w:t>Zastosowane w projekcie rozporządzenia nazewnictwo funkcjonowało w poprzedniej, nieobowiązującej już wersji rozporządzenia GESUT.</w:t>
            </w:r>
          </w:p>
          <w:p w14:paraId="2B80D293" w14:textId="59A5AB45" w:rsidR="004B0A37" w:rsidRPr="004B0A37" w:rsidRDefault="004B0A37" w:rsidP="004B0A37">
            <w:pPr>
              <w:autoSpaceDE w:val="0"/>
              <w:autoSpaceDN w:val="0"/>
              <w:adjustRightInd w:val="0"/>
              <w:spacing w:after="60"/>
              <w:jc w:val="both"/>
              <w:rPr>
                <w:rFonts w:ascii="TimesNewRomanPSMT" w:eastAsiaTheme="minorHAnsi" w:hAnsi="TimesNewRomanPSMT" w:cs="TimesNewRomanPSMT"/>
                <w:bCs w:val="0"/>
                <w:sz w:val="22"/>
                <w:szCs w:val="22"/>
                <w:lang w:eastAsia="en-US"/>
              </w:rPr>
            </w:pPr>
            <w:r w:rsidRPr="004B0A37">
              <w:rPr>
                <w:rFonts w:ascii="TimesNewRomanPSMT" w:eastAsiaTheme="minorHAnsi" w:hAnsi="TimesNewRomanPSMT" w:cs="TimesNewRomanPSMT"/>
                <w:bCs w:val="0"/>
                <w:sz w:val="22"/>
                <w:szCs w:val="22"/>
                <w:lang w:eastAsia="en-US"/>
              </w:rPr>
              <w:t>Ujednolicenie  nazewnictwa (w przypadku gdzie jest to możliwe) w przedmiotowych bazach danych pozwoli na ich interoperacyjność i ułatwi ewentualną wymianę danych między bazami danych.</w:t>
            </w:r>
          </w:p>
        </w:tc>
        <w:tc>
          <w:tcPr>
            <w:tcW w:w="7513" w:type="dxa"/>
          </w:tcPr>
          <w:p w14:paraId="081B2B9F" w14:textId="34845A62" w:rsidR="004B0A37" w:rsidRPr="004B0A37" w:rsidRDefault="004B0A37" w:rsidP="00F0628D">
            <w:pPr>
              <w:autoSpaceDE w:val="0"/>
              <w:autoSpaceDN w:val="0"/>
              <w:adjustRightInd w:val="0"/>
              <w:spacing w:after="120"/>
              <w:jc w:val="both"/>
              <w:rPr>
                <w:rFonts w:eastAsiaTheme="minorHAnsi"/>
                <w:sz w:val="22"/>
                <w:szCs w:val="22"/>
                <w:lang w:eastAsia="en-US"/>
              </w:rPr>
            </w:pPr>
            <w:r w:rsidRPr="004B0A37">
              <w:rPr>
                <w:rFonts w:eastAsiaTheme="minorHAnsi"/>
                <w:sz w:val="22"/>
                <w:szCs w:val="22"/>
                <w:lang w:eastAsia="en-US"/>
              </w:rPr>
              <w:t>Zmiana rozporządzenia „GESUT” znacznie zredukowała liczbę elementów sieci uzbrojenia, częściowo przez agregację pojęć. Ze względu na specyficzne potrzeby procesu projektowania lokalizacji elementów infrastruktury telekomunikacyjnej, zwłaszcza elementów sieci 5G, celowym jest pozostawienie w projektowanym rozporządzeniu określeń dotychczas obowiązujących dla elementów infrastruktury technicznej. Interoperacyjność między bazami danych GESUT a bazą danych uzyskanych z rozporządzenia można uzyskać przez procedury agregacji danych drugiej z tych baz.</w:t>
            </w:r>
          </w:p>
        </w:tc>
      </w:tr>
    </w:tbl>
    <w:p w14:paraId="762E188D" w14:textId="77777777" w:rsidR="009B1840" w:rsidRDefault="009B1840" w:rsidP="00ED461E">
      <w:pPr>
        <w:pStyle w:val="Nagwek"/>
        <w:tabs>
          <w:tab w:val="left" w:pos="708"/>
        </w:tabs>
        <w:rPr>
          <w:b/>
          <w:sz w:val="21"/>
          <w:szCs w:val="21"/>
        </w:rPr>
      </w:pPr>
    </w:p>
    <w:sectPr w:rsidR="009B1840" w:rsidSect="009A082B">
      <w:footerReference w:type="even" r:id="rId8"/>
      <w:footerReference w:type="default" r:id="rId9"/>
      <w:pgSz w:w="16838" w:h="11906" w:orient="landscape"/>
      <w:pgMar w:top="1304"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965DC3" w14:textId="77777777" w:rsidR="000E6459" w:rsidRDefault="000E6459">
      <w:r>
        <w:separator/>
      </w:r>
    </w:p>
  </w:endnote>
  <w:endnote w:type="continuationSeparator" w:id="0">
    <w:p w14:paraId="1E324F9E" w14:textId="77777777" w:rsidR="000E6459" w:rsidRDefault="000E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EBE7E" w14:textId="77777777" w:rsidR="00563958" w:rsidRDefault="00563958" w:rsidP="00E54AD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98EEAF8" w14:textId="77777777" w:rsidR="00563958" w:rsidRDefault="00563958" w:rsidP="00E54AD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5ADBB" w14:textId="0C45C1E0" w:rsidR="00563958" w:rsidRPr="00933A10" w:rsidRDefault="00563958">
    <w:pPr>
      <w:pStyle w:val="Stopka"/>
      <w:jc w:val="right"/>
      <w:rPr>
        <w:sz w:val="20"/>
        <w:szCs w:val="20"/>
      </w:rPr>
    </w:pPr>
    <w:r w:rsidRPr="00933A10">
      <w:rPr>
        <w:sz w:val="20"/>
        <w:szCs w:val="20"/>
      </w:rPr>
      <w:fldChar w:fldCharType="begin"/>
    </w:r>
    <w:r w:rsidRPr="00933A10">
      <w:rPr>
        <w:sz w:val="20"/>
        <w:szCs w:val="20"/>
      </w:rPr>
      <w:instrText>PAGE   \* MERGEFORMAT</w:instrText>
    </w:r>
    <w:r w:rsidRPr="00933A10">
      <w:rPr>
        <w:sz w:val="20"/>
        <w:szCs w:val="20"/>
      </w:rPr>
      <w:fldChar w:fldCharType="separate"/>
    </w:r>
    <w:r w:rsidR="00DA563A">
      <w:rPr>
        <w:noProof/>
        <w:sz w:val="20"/>
        <w:szCs w:val="20"/>
      </w:rPr>
      <w:t>2</w:t>
    </w:r>
    <w:r w:rsidRPr="00933A10">
      <w:rPr>
        <w:sz w:val="20"/>
        <w:szCs w:val="20"/>
      </w:rPr>
      <w:fldChar w:fldCharType="end"/>
    </w:r>
  </w:p>
  <w:p w14:paraId="3876E56E" w14:textId="77777777" w:rsidR="00563958" w:rsidRDefault="00563958" w:rsidP="00E54ADA">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D6AB2" w14:textId="77777777" w:rsidR="000E6459" w:rsidRDefault="000E6459">
      <w:r>
        <w:separator/>
      </w:r>
    </w:p>
  </w:footnote>
  <w:footnote w:type="continuationSeparator" w:id="0">
    <w:p w14:paraId="6156E21F" w14:textId="77777777" w:rsidR="000E6459" w:rsidRDefault="000E6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6719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5292F9C"/>
    <w:multiLevelType w:val="hybridMultilevel"/>
    <w:tmpl w:val="D330871E"/>
    <w:lvl w:ilvl="0" w:tplc="2C948878">
      <w:start w:val="1"/>
      <w:numFmt w:val="decimal"/>
      <w:lvlText w:val="%1."/>
      <w:lvlJc w:val="left"/>
      <w:pPr>
        <w:ind w:left="-132" w:hanging="360"/>
      </w:pPr>
      <w:rPr>
        <w:rFonts w:hint="default"/>
        <w:color w:val="000000" w:themeColor="text1"/>
      </w:rPr>
    </w:lvl>
    <w:lvl w:ilvl="1" w:tplc="04150019" w:tentative="1">
      <w:start w:val="1"/>
      <w:numFmt w:val="lowerLetter"/>
      <w:lvlText w:val="%2."/>
      <w:lvlJc w:val="left"/>
      <w:pPr>
        <w:ind w:left="588" w:hanging="360"/>
      </w:pPr>
    </w:lvl>
    <w:lvl w:ilvl="2" w:tplc="0415001B" w:tentative="1">
      <w:start w:val="1"/>
      <w:numFmt w:val="lowerRoman"/>
      <w:lvlText w:val="%3."/>
      <w:lvlJc w:val="right"/>
      <w:pPr>
        <w:ind w:left="1308" w:hanging="180"/>
      </w:pPr>
    </w:lvl>
    <w:lvl w:ilvl="3" w:tplc="0415000F" w:tentative="1">
      <w:start w:val="1"/>
      <w:numFmt w:val="decimal"/>
      <w:lvlText w:val="%4."/>
      <w:lvlJc w:val="left"/>
      <w:pPr>
        <w:ind w:left="2028" w:hanging="360"/>
      </w:pPr>
    </w:lvl>
    <w:lvl w:ilvl="4" w:tplc="04150019" w:tentative="1">
      <w:start w:val="1"/>
      <w:numFmt w:val="lowerLetter"/>
      <w:lvlText w:val="%5."/>
      <w:lvlJc w:val="left"/>
      <w:pPr>
        <w:ind w:left="2748" w:hanging="360"/>
      </w:pPr>
    </w:lvl>
    <w:lvl w:ilvl="5" w:tplc="0415001B" w:tentative="1">
      <w:start w:val="1"/>
      <w:numFmt w:val="lowerRoman"/>
      <w:lvlText w:val="%6."/>
      <w:lvlJc w:val="right"/>
      <w:pPr>
        <w:ind w:left="3468" w:hanging="180"/>
      </w:pPr>
    </w:lvl>
    <w:lvl w:ilvl="6" w:tplc="0415000F" w:tentative="1">
      <w:start w:val="1"/>
      <w:numFmt w:val="decimal"/>
      <w:lvlText w:val="%7."/>
      <w:lvlJc w:val="left"/>
      <w:pPr>
        <w:ind w:left="4188" w:hanging="360"/>
      </w:pPr>
    </w:lvl>
    <w:lvl w:ilvl="7" w:tplc="04150019" w:tentative="1">
      <w:start w:val="1"/>
      <w:numFmt w:val="lowerLetter"/>
      <w:lvlText w:val="%8."/>
      <w:lvlJc w:val="left"/>
      <w:pPr>
        <w:ind w:left="4908" w:hanging="360"/>
      </w:pPr>
    </w:lvl>
    <w:lvl w:ilvl="8" w:tplc="0415001B" w:tentative="1">
      <w:start w:val="1"/>
      <w:numFmt w:val="lowerRoman"/>
      <w:lvlText w:val="%9."/>
      <w:lvlJc w:val="right"/>
      <w:pPr>
        <w:ind w:left="5628" w:hanging="180"/>
      </w:pPr>
    </w:lvl>
  </w:abstractNum>
  <w:abstractNum w:abstractNumId="2" w15:restartNumberingAfterBreak="0">
    <w:nsid w:val="372D730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7C72ADE"/>
    <w:multiLevelType w:val="hybridMultilevel"/>
    <w:tmpl w:val="925EA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DF"/>
    <w:rsid w:val="00001003"/>
    <w:rsid w:val="00001D36"/>
    <w:rsid w:val="00005D37"/>
    <w:rsid w:val="000079DB"/>
    <w:rsid w:val="000239BD"/>
    <w:rsid w:val="00023A2B"/>
    <w:rsid w:val="00026149"/>
    <w:rsid w:val="00026743"/>
    <w:rsid w:val="00027E54"/>
    <w:rsid w:val="00040397"/>
    <w:rsid w:val="00040C66"/>
    <w:rsid w:val="00041F0B"/>
    <w:rsid w:val="000523DB"/>
    <w:rsid w:val="00054112"/>
    <w:rsid w:val="0005443E"/>
    <w:rsid w:val="00054987"/>
    <w:rsid w:val="00056093"/>
    <w:rsid w:val="00060A04"/>
    <w:rsid w:val="00063E16"/>
    <w:rsid w:val="000647C7"/>
    <w:rsid w:val="00070D3D"/>
    <w:rsid w:val="00071A73"/>
    <w:rsid w:val="0007319C"/>
    <w:rsid w:val="00075025"/>
    <w:rsid w:val="00080BC6"/>
    <w:rsid w:val="000817C6"/>
    <w:rsid w:val="00087165"/>
    <w:rsid w:val="00092B3C"/>
    <w:rsid w:val="00093F4E"/>
    <w:rsid w:val="000941E9"/>
    <w:rsid w:val="00097452"/>
    <w:rsid w:val="000B06FE"/>
    <w:rsid w:val="000B3748"/>
    <w:rsid w:val="000B51B2"/>
    <w:rsid w:val="000B5D4E"/>
    <w:rsid w:val="000B5EA1"/>
    <w:rsid w:val="000B6B40"/>
    <w:rsid w:val="000C1C77"/>
    <w:rsid w:val="000C2EB4"/>
    <w:rsid w:val="000C3526"/>
    <w:rsid w:val="000C696E"/>
    <w:rsid w:val="000D0AA4"/>
    <w:rsid w:val="000D245C"/>
    <w:rsid w:val="000D5EB5"/>
    <w:rsid w:val="000E071E"/>
    <w:rsid w:val="000E1FB8"/>
    <w:rsid w:val="000E2713"/>
    <w:rsid w:val="000E3793"/>
    <w:rsid w:val="000E6459"/>
    <w:rsid w:val="000E788E"/>
    <w:rsid w:val="000F0D74"/>
    <w:rsid w:val="000F0E64"/>
    <w:rsid w:val="000F16C1"/>
    <w:rsid w:val="000F3695"/>
    <w:rsid w:val="000F3D8F"/>
    <w:rsid w:val="00107B44"/>
    <w:rsid w:val="00112107"/>
    <w:rsid w:val="001123E1"/>
    <w:rsid w:val="00113275"/>
    <w:rsid w:val="00113754"/>
    <w:rsid w:val="00122797"/>
    <w:rsid w:val="00125211"/>
    <w:rsid w:val="00125F4B"/>
    <w:rsid w:val="00134298"/>
    <w:rsid w:val="001347C8"/>
    <w:rsid w:val="00134A41"/>
    <w:rsid w:val="00134D20"/>
    <w:rsid w:val="00134E44"/>
    <w:rsid w:val="00136E63"/>
    <w:rsid w:val="001409CF"/>
    <w:rsid w:val="001412D4"/>
    <w:rsid w:val="00141806"/>
    <w:rsid w:val="00143F7E"/>
    <w:rsid w:val="00146165"/>
    <w:rsid w:val="00146368"/>
    <w:rsid w:val="00151477"/>
    <w:rsid w:val="001540EC"/>
    <w:rsid w:val="00155450"/>
    <w:rsid w:val="001579C2"/>
    <w:rsid w:val="00157EE4"/>
    <w:rsid w:val="001618E8"/>
    <w:rsid w:val="00171731"/>
    <w:rsid w:val="00172557"/>
    <w:rsid w:val="00172C3E"/>
    <w:rsid w:val="00176B24"/>
    <w:rsid w:val="00176D2E"/>
    <w:rsid w:val="00181228"/>
    <w:rsid w:val="00186F7D"/>
    <w:rsid w:val="001A10F3"/>
    <w:rsid w:val="001A3BC5"/>
    <w:rsid w:val="001A40B6"/>
    <w:rsid w:val="001B2371"/>
    <w:rsid w:val="001B4F32"/>
    <w:rsid w:val="001C6A15"/>
    <w:rsid w:val="001C73D9"/>
    <w:rsid w:val="001D22DE"/>
    <w:rsid w:val="001D6B83"/>
    <w:rsid w:val="001D78EE"/>
    <w:rsid w:val="001D7CCC"/>
    <w:rsid w:val="001D7D53"/>
    <w:rsid w:val="001E43F2"/>
    <w:rsid w:val="001E4568"/>
    <w:rsid w:val="001F0B5D"/>
    <w:rsid w:val="001F19B6"/>
    <w:rsid w:val="001F5F1B"/>
    <w:rsid w:val="00200AE9"/>
    <w:rsid w:val="0020627E"/>
    <w:rsid w:val="0021008E"/>
    <w:rsid w:val="00210F1D"/>
    <w:rsid w:val="002159C4"/>
    <w:rsid w:val="0022279E"/>
    <w:rsid w:val="00224D86"/>
    <w:rsid w:val="00226187"/>
    <w:rsid w:val="00227003"/>
    <w:rsid w:val="00227144"/>
    <w:rsid w:val="0023602D"/>
    <w:rsid w:val="0024040D"/>
    <w:rsid w:val="002472BD"/>
    <w:rsid w:val="00247481"/>
    <w:rsid w:val="00247981"/>
    <w:rsid w:val="00247F80"/>
    <w:rsid w:val="00250E03"/>
    <w:rsid w:val="00251597"/>
    <w:rsid w:val="00253668"/>
    <w:rsid w:val="00260700"/>
    <w:rsid w:val="002614C7"/>
    <w:rsid w:val="002652B6"/>
    <w:rsid w:val="0026620A"/>
    <w:rsid w:val="00266297"/>
    <w:rsid w:val="00266D87"/>
    <w:rsid w:val="002671BA"/>
    <w:rsid w:val="00275167"/>
    <w:rsid w:val="00275D7A"/>
    <w:rsid w:val="00281C52"/>
    <w:rsid w:val="00285363"/>
    <w:rsid w:val="00285E81"/>
    <w:rsid w:val="0029402F"/>
    <w:rsid w:val="00295211"/>
    <w:rsid w:val="00295916"/>
    <w:rsid w:val="002972A6"/>
    <w:rsid w:val="002A0556"/>
    <w:rsid w:val="002A0C2E"/>
    <w:rsid w:val="002A2028"/>
    <w:rsid w:val="002A22ED"/>
    <w:rsid w:val="002A3CF5"/>
    <w:rsid w:val="002A3F33"/>
    <w:rsid w:val="002A451B"/>
    <w:rsid w:val="002A7F31"/>
    <w:rsid w:val="002B002F"/>
    <w:rsid w:val="002B4BDF"/>
    <w:rsid w:val="002B4E2B"/>
    <w:rsid w:val="002B6B71"/>
    <w:rsid w:val="002B7EAC"/>
    <w:rsid w:val="002C0C46"/>
    <w:rsid w:val="002C62F0"/>
    <w:rsid w:val="002C6959"/>
    <w:rsid w:val="002D0E10"/>
    <w:rsid w:val="002D2B6C"/>
    <w:rsid w:val="002D300B"/>
    <w:rsid w:val="002D45F5"/>
    <w:rsid w:val="002D60CB"/>
    <w:rsid w:val="002F5D8B"/>
    <w:rsid w:val="003047D3"/>
    <w:rsid w:val="0030611A"/>
    <w:rsid w:val="00307CCC"/>
    <w:rsid w:val="0031405F"/>
    <w:rsid w:val="00320AA0"/>
    <w:rsid w:val="00333DCD"/>
    <w:rsid w:val="00334366"/>
    <w:rsid w:val="00337CFE"/>
    <w:rsid w:val="003427C2"/>
    <w:rsid w:val="00343A6F"/>
    <w:rsid w:val="00347D9E"/>
    <w:rsid w:val="00352344"/>
    <w:rsid w:val="00354164"/>
    <w:rsid w:val="003541DD"/>
    <w:rsid w:val="00355DCE"/>
    <w:rsid w:val="00355FF6"/>
    <w:rsid w:val="003563E0"/>
    <w:rsid w:val="0035656D"/>
    <w:rsid w:val="00360C60"/>
    <w:rsid w:val="00360E01"/>
    <w:rsid w:val="003707DD"/>
    <w:rsid w:val="00371665"/>
    <w:rsid w:val="003723C7"/>
    <w:rsid w:val="00376002"/>
    <w:rsid w:val="00377BA7"/>
    <w:rsid w:val="00381F67"/>
    <w:rsid w:val="003830B6"/>
    <w:rsid w:val="00383710"/>
    <w:rsid w:val="00390652"/>
    <w:rsid w:val="0039787C"/>
    <w:rsid w:val="003A496E"/>
    <w:rsid w:val="003A6548"/>
    <w:rsid w:val="003B3604"/>
    <w:rsid w:val="003B49BF"/>
    <w:rsid w:val="003B56E9"/>
    <w:rsid w:val="003B7B25"/>
    <w:rsid w:val="003C13CD"/>
    <w:rsid w:val="003C16DA"/>
    <w:rsid w:val="003C1E56"/>
    <w:rsid w:val="003C38BE"/>
    <w:rsid w:val="003C4EBC"/>
    <w:rsid w:val="003C5234"/>
    <w:rsid w:val="003E6AD8"/>
    <w:rsid w:val="003E7587"/>
    <w:rsid w:val="003F1CEE"/>
    <w:rsid w:val="003F491D"/>
    <w:rsid w:val="003F5D05"/>
    <w:rsid w:val="003F5DCC"/>
    <w:rsid w:val="003F7677"/>
    <w:rsid w:val="004001D5"/>
    <w:rsid w:val="0040064A"/>
    <w:rsid w:val="004022E6"/>
    <w:rsid w:val="004035C7"/>
    <w:rsid w:val="004043E6"/>
    <w:rsid w:val="00407627"/>
    <w:rsid w:val="004104E5"/>
    <w:rsid w:val="004111E0"/>
    <w:rsid w:val="00412B48"/>
    <w:rsid w:val="00416CBB"/>
    <w:rsid w:val="00420EF8"/>
    <w:rsid w:val="0042315A"/>
    <w:rsid w:val="00426FC7"/>
    <w:rsid w:val="004308CC"/>
    <w:rsid w:val="00440BCC"/>
    <w:rsid w:val="00450BF7"/>
    <w:rsid w:val="0045272C"/>
    <w:rsid w:val="00454706"/>
    <w:rsid w:val="00455DDC"/>
    <w:rsid w:val="0047202F"/>
    <w:rsid w:val="0047660F"/>
    <w:rsid w:val="00476F4B"/>
    <w:rsid w:val="00476FCB"/>
    <w:rsid w:val="00481CA1"/>
    <w:rsid w:val="00484D2A"/>
    <w:rsid w:val="00490AF1"/>
    <w:rsid w:val="00491BDA"/>
    <w:rsid w:val="00493DF1"/>
    <w:rsid w:val="00494355"/>
    <w:rsid w:val="004976B5"/>
    <w:rsid w:val="004A2173"/>
    <w:rsid w:val="004A4EBE"/>
    <w:rsid w:val="004B0A37"/>
    <w:rsid w:val="004B3017"/>
    <w:rsid w:val="004B67D7"/>
    <w:rsid w:val="004C130A"/>
    <w:rsid w:val="004C3E18"/>
    <w:rsid w:val="004D1398"/>
    <w:rsid w:val="004D4A68"/>
    <w:rsid w:val="004D579A"/>
    <w:rsid w:val="004D63DE"/>
    <w:rsid w:val="004D6BB0"/>
    <w:rsid w:val="004E21FF"/>
    <w:rsid w:val="004E4331"/>
    <w:rsid w:val="004E4C2C"/>
    <w:rsid w:val="004E737C"/>
    <w:rsid w:val="004F11F3"/>
    <w:rsid w:val="004F26DE"/>
    <w:rsid w:val="004F4B0F"/>
    <w:rsid w:val="004F67F3"/>
    <w:rsid w:val="0050025C"/>
    <w:rsid w:val="00502A60"/>
    <w:rsid w:val="00503925"/>
    <w:rsid w:val="00504B61"/>
    <w:rsid w:val="00506A18"/>
    <w:rsid w:val="00507C1B"/>
    <w:rsid w:val="005133C8"/>
    <w:rsid w:val="00513A82"/>
    <w:rsid w:val="0051545F"/>
    <w:rsid w:val="00517BBE"/>
    <w:rsid w:val="00521720"/>
    <w:rsid w:val="00533164"/>
    <w:rsid w:val="00533D23"/>
    <w:rsid w:val="005341B3"/>
    <w:rsid w:val="00535033"/>
    <w:rsid w:val="005368F6"/>
    <w:rsid w:val="00537F39"/>
    <w:rsid w:val="005404E7"/>
    <w:rsid w:val="0054744A"/>
    <w:rsid w:val="00553FA6"/>
    <w:rsid w:val="00555698"/>
    <w:rsid w:val="00562C85"/>
    <w:rsid w:val="00563958"/>
    <w:rsid w:val="005651A4"/>
    <w:rsid w:val="005719B3"/>
    <w:rsid w:val="00572DF5"/>
    <w:rsid w:val="00574E52"/>
    <w:rsid w:val="0057568D"/>
    <w:rsid w:val="005773B7"/>
    <w:rsid w:val="00582ACE"/>
    <w:rsid w:val="00586D19"/>
    <w:rsid w:val="00591CD9"/>
    <w:rsid w:val="00593D57"/>
    <w:rsid w:val="00595FC9"/>
    <w:rsid w:val="005A40A3"/>
    <w:rsid w:val="005A5DC4"/>
    <w:rsid w:val="005B0DCB"/>
    <w:rsid w:val="005B2E45"/>
    <w:rsid w:val="005B7F21"/>
    <w:rsid w:val="005C04FE"/>
    <w:rsid w:val="005C4806"/>
    <w:rsid w:val="005C559C"/>
    <w:rsid w:val="005C5AE9"/>
    <w:rsid w:val="005C7225"/>
    <w:rsid w:val="005C7DEB"/>
    <w:rsid w:val="005D2C51"/>
    <w:rsid w:val="005E69D1"/>
    <w:rsid w:val="005E6C52"/>
    <w:rsid w:val="005F1306"/>
    <w:rsid w:val="005F4C8E"/>
    <w:rsid w:val="005F72F0"/>
    <w:rsid w:val="005F7A5F"/>
    <w:rsid w:val="005F7DF8"/>
    <w:rsid w:val="00602A74"/>
    <w:rsid w:val="0061199D"/>
    <w:rsid w:val="0061636C"/>
    <w:rsid w:val="00630FEF"/>
    <w:rsid w:val="00632007"/>
    <w:rsid w:val="0063211B"/>
    <w:rsid w:val="00633835"/>
    <w:rsid w:val="00635137"/>
    <w:rsid w:val="00635D9D"/>
    <w:rsid w:val="006440C3"/>
    <w:rsid w:val="00646362"/>
    <w:rsid w:val="00655107"/>
    <w:rsid w:val="00664D5F"/>
    <w:rsid w:val="00667A58"/>
    <w:rsid w:val="006701D1"/>
    <w:rsid w:val="00671362"/>
    <w:rsid w:val="00671B1A"/>
    <w:rsid w:val="00673EF5"/>
    <w:rsid w:val="006752C7"/>
    <w:rsid w:val="006812A8"/>
    <w:rsid w:val="00681BEB"/>
    <w:rsid w:val="00681D49"/>
    <w:rsid w:val="00684922"/>
    <w:rsid w:val="00687039"/>
    <w:rsid w:val="00687DFD"/>
    <w:rsid w:val="00691CB1"/>
    <w:rsid w:val="00692135"/>
    <w:rsid w:val="00695D0E"/>
    <w:rsid w:val="006971CC"/>
    <w:rsid w:val="006A035C"/>
    <w:rsid w:val="006A21EA"/>
    <w:rsid w:val="006A2326"/>
    <w:rsid w:val="006A2F1D"/>
    <w:rsid w:val="006A4554"/>
    <w:rsid w:val="006A54AF"/>
    <w:rsid w:val="006A5848"/>
    <w:rsid w:val="006B23A3"/>
    <w:rsid w:val="006B27C4"/>
    <w:rsid w:val="006B31A6"/>
    <w:rsid w:val="006B3F6C"/>
    <w:rsid w:val="006B536E"/>
    <w:rsid w:val="006B607F"/>
    <w:rsid w:val="006B7CD3"/>
    <w:rsid w:val="006C31AA"/>
    <w:rsid w:val="006C5D36"/>
    <w:rsid w:val="006D1A23"/>
    <w:rsid w:val="006D1BDE"/>
    <w:rsid w:val="006D3476"/>
    <w:rsid w:val="006D5E7C"/>
    <w:rsid w:val="006D68BF"/>
    <w:rsid w:val="006D6AF8"/>
    <w:rsid w:val="006E0595"/>
    <w:rsid w:val="006E0DEA"/>
    <w:rsid w:val="006E17B0"/>
    <w:rsid w:val="006E4012"/>
    <w:rsid w:val="006E7341"/>
    <w:rsid w:val="006E7589"/>
    <w:rsid w:val="006E7645"/>
    <w:rsid w:val="006F36C6"/>
    <w:rsid w:val="006F69B7"/>
    <w:rsid w:val="00700B41"/>
    <w:rsid w:val="00701F37"/>
    <w:rsid w:val="00702CBC"/>
    <w:rsid w:val="00704835"/>
    <w:rsid w:val="007055A5"/>
    <w:rsid w:val="00705D04"/>
    <w:rsid w:val="00707157"/>
    <w:rsid w:val="007123F7"/>
    <w:rsid w:val="007126AB"/>
    <w:rsid w:val="007142A8"/>
    <w:rsid w:val="00714C09"/>
    <w:rsid w:val="00716865"/>
    <w:rsid w:val="00721ED4"/>
    <w:rsid w:val="00734A24"/>
    <w:rsid w:val="0074042A"/>
    <w:rsid w:val="00740ABD"/>
    <w:rsid w:val="00744FE7"/>
    <w:rsid w:val="0074510F"/>
    <w:rsid w:val="00745AA7"/>
    <w:rsid w:val="00746046"/>
    <w:rsid w:val="007475E2"/>
    <w:rsid w:val="00752523"/>
    <w:rsid w:val="007548EB"/>
    <w:rsid w:val="00754E15"/>
    <w:rsid w:val="00760C78"/>
    <w:rsid w:val="00760EB6"/>
    <w:rsid w:val="00762462"/>
    <w:rsid w:val="007625F6"/>
    <w:rsid w:val="007634E4"/>
    <w:rsid w:val="00764C31"/>
    <w:rsid w:val="00770017"/>
    <w:rsid w:val="00771FB7"/>
    <w:rsid w:val="00780B91"/>
    <w:rsid w:val="00781CDF"/>
    <w:rsid w:val="0078209F"/>
    <w:rsid w:val="00786F57"/>
    <w:rsid w:val="007A1A32"/>
    <w:rsid w:val="007A3A4C"/>
    <w:rsid w:val="007A3F63"/>
    <w:rsid w:val="007A5351"/>
    <w:rsid w:val="007A6CDA"/>
    <w:rsid w:val="007B0528"/>
    <w:rsid w:val="007B40E3"/>
    <w:rsid w:val="007C3DFF"/>
    <w:rsid w:val="007C464C"/>
    <w:rsid w:val="007D20C8"/>
    <w:rsid w:val="007D488D"/>
    <w:rsid w:val="007E15BC"/>
    <w:rsid w:val="007E381D"/>
    <w:rsid w:val="007E6CE7"/>
    <w:rsid w:val="007F397D"/>
    <w:rsid w:val="007F4056"/>
    <w:rsid w:val="007F62C8"/>
    <w:rsid w:val="00803243"/>
    <w:rsid w:val="00803C98"/>
    <w:rsid w:val="00805308"/>
    <w:rsid w:val="00814471"/>
    <w:rsid w:val="0081475E"/>
    <w:rsid w:val="0081618E"/>
    <w:rsid w:val="008169CE"/>
    <w:rsid w:val="00820B35"/>
    <w:rsid w:val="00824970"/>
    <w:rsid w:val="00831C88"/>
    <w:rsid w:val="00833179"/>
    <w:rsid w:val="00833257"/>
    <w:rsid w:val="00833312"/>
    <w:rsid w:val="00833A95"/>
    <w:rsid w:val="008340F3"/>
    <w:rsid w:val="00834B1A"/>
    <w:rsid w:val="0084424E"/>
    <w:rsid w:val="00846364"/>
    <w:rsid w:val="008470BF"/>
    <w:rsid w:val="008478D1"/>
    <w:rsid w:val="0085721F"/>
    <w:rsid w:val="00871C2C"/>
    <w:rsid w:val="0087468A"/>
    <w:rsid w:val="00874EAC"/>
    <w:rsid w:val="008758C2"/>
    <w:rsid w:val="0087793D"/>
    <w:rsid w:val="00882D85"/>
    <w:rsid w:val="00887E1E"/>
    <w:rsid w:val="00893690"/>
    <w:rsid w:val="0089584F"/>
    <w:rsid w:val="008A197F"/>
    <w:rsid w:val="008A1A1F"/>
    <w:rsid w:val="008A53C0"/>
    <w:rsid w:val="008A591B"/>
    <w:rsid w:val="008A5EF9"/>
    <w:rsid w:val="008A65CA"/>
    <w:rsid w:val="008A7116"/>
    <w:rsid w:val="008B0CEC"/>
    <w:rsid w:val="008B5A79"/>
    <w:rsid w:val="008C16B8"/>
    <w:rsid w:val="008C2203"/>
    <w:rsid w:val="008C3063"/>
    <w:rsid w:val="008C3BE8"/>
    <w:rsid w:val="008D10DA"/>
    <w:rsid w:val="008D1A58"/>
    <w:rsid w:val="008D2B49"/>
    <w:rsid w:val="008D3BB5"/>
    <w:rsid w:val="008D62E3"/>
    <w:rsid w:val="008E3034"/>
    <w:rsid w:val="008E69BD"/>
    <w:rsid w:val="008F7414"/>
    <w:rsid w:val="009042FC"/>
    <w:rsid w:val="0090576F"/>
    <w:rsid w:val="00905B27"/>
    <w:rsid w:val="0090673C"/>
    <w:rsid w:val="00907E91"/>
    <w:rsid w:val="009103D4"/>
    <w:rsid w:val="0092619F"/>
    <w:rsid w:val="00927592"/>
    <w:rsid w:val="009304B9"/>
    <w:rsid w:val="00930F3E"/>
    <w:rsid w:val="00932849"/>
    <w:rsid w:val="00932D28"/>
    <w:rsid w:val="0093369F"/>
    <w:rsid w:val="00933A10"/>
    <w:rsid w:val="00944ECE"/>
    <w:rsid w:val="009615B5"/>
    <w:rsid w:val="009678DF"/>
    <w:rsid w:val="00967B55"/>
    <w:rsid w:val="00967C8A"/>
    <w:rsid w:val="00971A09"/>
    <w:rsid w:val="00971AE5"/>
    <w:rsid w:val="00971B46"/>
    <w:rsid w:val="00971BA8"/>
    <w:rsid w:val="009762F6"/>
    <w:rsid w:val="00976AD8"/>
    <w:rsid w:val="00976B2C"/>
    <w:rsid w:val="0097710E"/>
    <w:rsid w:val="00981BB3"/>
    <w:rsid w:val="00985D7C"/>
    <w:rsid w:val="009871A8"/>
    <w:rsid w:val="00987631"/>
    <w:rsid w:val="00994A61"/>
    <w:rsid w:val="00994AB0"/>
    <w:rsid w:val="0099536F"/>
    <w:rsid w:val="00996CA3"/>
    <w:rsid w:val="009A082B"/>
    <w:rsid w:val="009A269E"/>
    <w:rsid w:val="009B0369"/>
    <w:rsid w:val="009B0A4A"/>
    <w:rsid w:val="009B1840"/>
    <w:rsid w:val="009C3516"/>
    <w:rsid w:val="009C6AA9"/>
    <w:rsid w:val="009D5751"/>
    <w:rsid w:val="009D5DC5"/>
    <w:rsid w:val="009E08A6"/>
    <w:rsid w:val="009E0C40"/>
    <w:rsid w:val="009E1596"/>
    <w:rsid w:val="009E4825"/>
    <w:rsid w:val="009E7C1D"/>
    <w:rsid w:val="009F18F4"/>
    <w:rsid w:val="009F30C7"/>
    <w:rsid w:val="009F366C"/>
    <w:rsid w:val="009F5B17"/>
    <w:rsid w:val="009F5FDE"/>
    <w:rsid w:val="009F7C37"/>
    <w:rsid w:val="00A00548"/>
    <w:rsid w:val="00A02DE8"/>
    <w:rsid w:val="00A031EC"/>
    <w:rsid w:val="00A06753"/>
    <w:rsid w:val="00A10608"/>
    <w:rsid w:val="00A1176C"/>
    <w:rsid w:val="00A13B18"/>
    <w:rsid w:val="00A17340"/>
    <w:rsid w:val="00A22A41"/>
    <w:rsid w:val="00A23AF0"/>
    <w:rsid w:val="00A26002"/>
    <w:rsid w:val="00A30D0E"/>
    <w:rsid w:val="00A31FE9"/>
    <w:rsid w:val="00A32CEF"/>
    <w:rsid w:val="00A3543D"/>
    <w:rsid w:val="00A36839"/>
    <w:rsid w:val="00A37BD1"/>
    <w:rsid w:val="00A411DC"/>
    <w:rsid w:val="00A4371E"/>
    <w:rsid w:val="00A4512E"/>
    <w:rsid w:val="00A51037"/>
    <w:rsid w:val="00A51446"/>
    <w:rsid w:val="00A55451"/>
    <w:rsid w:val="00A56386"/>
    <w:rsid w:val="00A571FA"/>
    <w:rsid w:val="00A60DCE"/>
    <w:rsid w:val="00A61CD6"/>
    <w:rsid w:val="00A641AB"/>
    <w:rsid w:val="00A64440"/>
    <w:rsid w:val="00A67BEF"/>
    <w:rsid w:val="00A72444"/>
    <w:rsid w:val="00A7397B"/>
    <w:rsid w:val="00A73D1A"/>
    <w:rsid w:val="00A769A2"/>
    <w:rsid w:val="00A77CD2"/>
    <w:rsid w:val="00A82714"/>
    <w:rsid w:val="00A83705"/>
    <w:rsid w:val="00A91A5F"/>
    <w:rsid w:val="00A92AE1"/>
    <w:rsid w:val="00A941BE"/>
    <w:rsid w:val="00A97982"/>
    <w:rsid w:val="00A979C1"/>
    <w:rsid w:val="00AA4899"/>
    <w:rsid w:val="00AA612B"/>
    <w:rsid w:val="00AB3117"/>
    <w:rsid w:val="00AB4DB5"/>
    <w:rsid w:val="00AB6737"/>
    <w:rsid w:val="00AB718A"/>
    <w:rsid w:val="00AC36D4"/>
    <w:rsid w:val="00AD3FAD"/>
    <w:rsid w:val="00AD45AC"/>
    <w:rsid w:val="00AE1F36"/>
    <w:rsid w:val="00AE3DA6"/>
    <w:rsid w:val="00AF78CF"/>
    <w:rsid w:val="00B011F7"/>
    <w:rsid w:val="00B025FD"/>
    <w:rsid w:val="00B041EF"/>
    <w:rsid w:val="00B073A0"/>
    <w:rsid w:val="00B07637"/>
    <w:rsid w:val="00B1133E"/>
    <w:rsid w:val="00B12CB9"/>
    <w:rsid w:val="00B25E6C"/>
    <w:rsid w:val="00B2728C"/>
    <w:rsid w:val="00B30C7E"/>
    <w:rsid w:val="00B36704"/>
    <w:rsid w:val="00B418BB"/>
    <w:rsid w:val="00B46D30"/>
    <w:rsid w:val="00B47B10"/>
    <w:rsid w:val="00B53D7E"/>
    <w:rsid w:val="00B53FA3"/>
    <w:rsid w:val="00B572D6"/>
    <w:rsid w:val="00B57B3B"/>
    <w:rsid w:val="00B601A3"/>
    <w:rsid w:val="00B60E91"/>
    <w:rsid w:val="00B63819"/>
    <w:rsid w:val="00B70667"/>
    <w:rsid w:val="00B71079"/>
    <w:rsid w:val="00B7613F"/>
    <w:rsid w:val="00B80637"/>
    <w:rsid w:val="00B80B99"/>
    <w:rsid w:val="00B81A6F"/>
    <w:rsid w:val="00B908F9"/>
    <w:rsid w:val="00B91D7C"/>
    <w:rsid w:val="00BA0630"/>
    <w:rsid w:val="00BB13BD"/>
    <w:rsid w:val="00BB72DA"/>
    <w:rsid w:val="00BC084D"/>
    <w:rsid w:val="00BC08A2"/>
    <w:rsid w:val="00BC1258"/>
    <w:rsid w:val="00BC1A51"/>
    <w:rsid w:val="00BC3D43"/>
    <w:rsid w:val="00BD1E90"/>
    <w:rsid w:val="00BD26BF"/>
    <w:rsid w:val="00BD2C4C"/>
    <w:rsid w:val="00BE0F76"/>
    <w:rsid w:val="00BE3AD4"/>
    <w:rsid w:val="00BF47A8"/>
    <w:rsid w:val="00C01FF8"/>
    <w:rsid w:val="00C04108"/>
    <w:rsid w:val="00C06A51"/>
    <w:rsid w:val="00C06C38"/>
    <w:rsid w:val="00C07FCF"/>
    <w:rsid w:val="00C10331"/>
    <w:rsid w:val="00C13CB0"/>
    <w:rsid w:val="00C17C01"/>
    <w:rsid w:val="00C17D18"/>
    <w:rsid w:val="00C209ED"/>
    <w:rsid w:val="00C42493"/>
    <w:rsid w:val="00C44E36"/>
    <w:rsid w:val="00C45B67"/>
    <w:rsid w:val="00C46293"/>
    <w:rsid w:val="00C545C1"/>
    <w:rsid w:val="00C5639B"/>
    <w:rsid w:val="00C625AA"/>
    <w:rsid w:val="00C6510D"/>
    <w:rsid w:val="00C74DD9"/>
    <w:rsid w:val="00C8187D"/>
    <w:rsid w:val="00C81ACD"/>
    <w:rsid w:val="00C83532"/>
    <w:rsid w:val="00C86FDA"/>
    <w:rsid w:val="00C913BC"/>
    <w:rsid w:val="00C93929"/>
    <w:rsid w:val="00C97AC8"/>
    <w:rsid w:val="00CA2AF6"/>
    <w:rsid w:val="00CA325D"/>
    <w:rsid w:val="00CA77AC"/>
    <w:rsid w:val="00CC213A"/>
    <w:rsid w:val="00CC2302"/>
    <w:rsid w:val="00CC2814"/>
    <w:rsid w:val="00CC376D"/>
    <w:rsid w:val="00CD0574"/>
    <w:rsid w:val="00CD0E60"/>
    <w:rsid w:val="00CD142A"/>
    <w:rsid w:val="00CD7369"/>
    <w:rsid w:val="00CE06C2"/>
    <w:rsid w:val="00CE19CD"/>
    <w:rsid w:val="00CE2A02"/>
    <w:rsid w:val="00CE7748"/>
    <w:rsid w:val="00CF2D37"/>
    <w:rsid w:val="00CF5CAB"/>
    <w:rsid w:val="00D11C2A"/>
    <w:rsid w:val="00D13BAA"/>
    <w:rsid w:val="00D20CDE"/>
    <w:rsid w:val="00D25788"/>
    <w:rsid w:val="00D2745E"/>
    <w:rsid w:val="00D327A6"/>
    <w:rsid w:val="00D34B3D"/>
    <w:rsid w:val="00D35CDD"/>
    <w:rsid w:val="00D407FB"/>
    <w:rsid w:val="00D413AF"/>
    <w:rsid w:val="00D47A8D"/>
    <w:rsid w:val="00D51E98"/>
    <w:rsid w:val="00D5392E"/>
    <w:rsid w:val="00D57963"/>
    <w:rsid w:val="00D62495"/>
    <w:rsid w:val="00D639EB"/>
    <w:rsid w:val="00D654E3"/>
    <w:rsid w:val="00D71BA1"/>
    <w:rsid w:val="00D731CF"/>
    <w:rsid w:val="00D732D5"/>
    <w:rsid w:val="00D7363A"/>
    <w:rsid w:val="00D748DE"/>
    <w:rsid w:val="00D75E51"/>
    <w:rsid w:val="00D83975"/>
    <w:rsid w:val="00D849F4"/>
    <w:rsid w:val="00D86251"/>
    <w:rsid w:val="00D8739D"/>
    <w:rsid w:val="00D876A7"/>
    <w:rsid w:val="00D91E5B"/>
    <w:rsid w:val="00D95D54"/>
    <w:rsid w:val="00D9754D"/>
    <w:rsid w:val="00D978AA"/>
    <w:rsid w:val="00DA1159"/>
    <w:rsid w:val="00DA24EE"/>
    <w:rsid w:val="00DA3FB4"/>
    <w:rsid w:val="00DA563A"/>
    <w:rsid w:val="00DA7874"/>
    <w:rsid w:val="00DB0172"/>
    <w:rsid w:val="00DB0CD9"/>
    <w:rsid w:val="00DB2D11"/>
    <w:rsid w:val="00DB4ECA"/>
    <w:rsid w:val="00DC035D"/>
    <w:rsid w:val="00DC3BDC"/>
    <w:rsid w:val="00DC3E87"/>
    <w:rsid w:val="00DC797B"/>
    <w:rsid w:val="00DD1952"/>
    <w:rsid w:val="00DE355C"/>
    <w:rsid w:val="00DF06F9"/>
    <w:rsid w:val="00E0611B"/>
    <w:rsid w:val="00E12282"/>
    <w:rsid w:val="00E14717"/>
    <w:rsid w:val="00E148D1"/>
    <w:rsid w:val="00E15BAF"/>
    <w:rsid w:val="00E16083"/>
    <w:rsid w:val="00E2204B"/>
    <w:rsid w:val="00E23035"/>
    <w:rsid w:val="00E23144"/>
    <w:rsid w:val="00E31F7F"/>
    <w:rsid w:val="00E33468"/>
    <w:rsid w:val="00E3522A"/>
    <w:rsid w:val="00E36192"/>
    <w:rsid w:val="00E369F9"/>
    <w:rsid w:val="00E37D0A"/>
    <w:rsid w:val="00E4320F"/>
    <w:rsid w:val="00E45E14"/>
    <w:rsid w:val="00E50340"/>
    <w:rsid w:val="00E50B1D"/>
    <w:rsid w:val="00E53016"/>
    <w:rsid w:val="00E5424B"/>
    <w:rsid w:val="00E54ADA"/>
    <w:rsid w:val="00E616F6"/>
    <w:rsid w:val="00E61942"/>
    <w:rsid w:val="00E6324E"/>
    <w:rsid w:val="00E74549"/>
    <w:rsid w:val="00E75148"/>
    <w:rsid w:val="00E75703"/>
    <w:rsid w:val="00E7761B"/>
    <w:rsid w:val="00E91E35"/>
    <w:rsid w:val="00EA3BF1"/>
    <w:rsid w:val="00EA5C8A"/>
    <w:rsid w:val="00EB4FF9"/>
    <w:rsid w:val="00EB6E97"/>
    <w:rsid w:val="00EC38AF"/>
    <w:rsid w:val="00EC70F5"/>
    <w:rsid w:val="00ED0989"/>
    <w:rsid w:val="00ED1D37"/>
    <w:rsid w:val="00ED30EB"/>
    <w:rsid w:val="00ED3838"/>
    <w:rsid w:val="00ED4461"/>
    <w:rsid w:val="00ED461E"/>
    <w:rsid w:val="00ED5EFB"/>
    <w:rsid w:val="00EE0CDA"/>
    <w:rsid w:val="00EE10E6"/>
    <w:rsid w:val="00EE2FB3"/>
    <w:rsid w:val="00EE52B7"/>
    <w:rsid w:val="00EE78D9"/>
    <w:rsid w:val="00EF6CB7"/>
    <w:rsid w:val="00F03667"/>
    <w:rsid w:val="00F05D6D"/>
    <w:rsid w:val="00F062AE"/>
    <w:rsid w:val="00F1163B"/>
    <w:rsid w:val="00F1306B"/>
    <w:rsid w:val="00F13304"/>
    <w:rsid w:val="00F160DF"/>
    <w:rsid w:val="00F16A7F"/>
    <w:rsid w:val="00F171CE"/>
    <w:rsid w:val="00F2214D"/>
    <w:rsid w:val="00F2398E"/>
    <w:rsid w:val="00F26690"/>
    <w:rsid w:val="00F304D4"/>
    <w:rsid w:val="00F31BD3"/>
    <w:rsid w:val="00F32640"/>
    <w:rsid w:val="00F44D92"/>
    <w:rsid w:val="00F46FCA"/>
    <w:rsid w:val="00F47C79"/>
    <w:rsid w:val="00F47EDC"/>
    <w:rsid w:val="00F53385"/>
    <w:rsid w:val="00F57CB1"/>
    <w:rsid w:val="00F57F03"/>
    <w:rsid w:val="00F60732"/>
    <w:rsid w:val="00F60F54"/>
    <w:rsid w:val="00F61AD1"/>
    <w:rsid w:val="00F64CC9"/>
    <w:rsid w:val="00F6591B"/>
    <w:rsid w:val="00F666FC"/>
    <w:rsid w:val="00F67194"/>
    <w:rsid w:val="00F73365"/>
    <w:rsid w:val="00F825B1"/>
    <w:rsid w:val="00F827D6"/>
    <w:rsid w:val="00F8789F"/>
    <w:rsid w:val="00F91CA8"/>
    <w:rsid w:val="00F951EF"/>
    <w:rsid w:val="00F95F84"/>
    <w:rsid w:val="00F96F3A"/>
    <w:rsid w:val="00FA1B3B"/>
    <w:rsid w:val="00FA5AC4"/>
    <w:rsid w:val="00FA7023"/>
    <w:rsid w:val="00FB0636"/>
    <w:rsid w:val="00FB4249"/>
    <w:rsid w:val="00FB4453"/>
    <w:rsid w:val="00FC0C0C"/>
    <w:rsid w:val="00FC2EED"/>
    <w:rsid w:val="00FC6BCB"/>
    <w:rsid w:val="00FD3179"/>
    <w:rsid w:val="00FD35E8"/>
    <w:rsid w:val="00FD6170"/>
    <w:rsid w:val="00FD7074"/>
    <w:rsid w:val="00FE0776"/>
    <w:rsid w:val="00FE0861"/>
    <w:rsid w:val="00FE3716"/>
    <w:rsid w:val="00FE77D0"/>
    <w:rsid w:val="00FF59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A8A78"/>
  <w15:docId w15:val="{75BF9CCA-F423-40A5-BBE1-CD5EE0B5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4FE7"/>
    <w:pPr>
      <w:spacing w:after="0" w:line="240" w:lineRule="auto"/>
    </w:pPr>
    <w:rPr>
      <w:rFonts w:ascii="Times New Roman" w:eastAsia="Times New Roman" w:hAnsi="Times New Roman" w:cs="Times New Roman"/>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
    <w:basedOn w:val="Normalny"/>
    <w:link w:val="NagwekZnak"/>
    <w:uiPriority w:val="99"/>
    <w:rsid w:val="002B4BDF"/>
    <w:pPr>
      <w:tabs>
        <w:tab w:val="center" w:pos="4536"/>
        <w:tab w:val="right" w:pos="9072"/>
      </w:tabs>
    </w:pPr>
    <w:rPr>
      <w:szCs w:val="20"/>
    </w:rPr>
  </w:style>
  <w:style w:type="character" w:customStyle="1" w:styleId="NagwekZnak">
    <w:name w:val="Nagłówek Znak"/>
    <w:aliases w:val="h Znak"/>
    <w:basedOn w:val="Domylnaczcionkaakapitu"/>
    <w:link w:val="Nagwek"/>
    <w:uiPriority w:val="99"/>
    <w:rsid w:val="002B4BDF"/>
    <w:rPr>
      <w:rFonts w:ascii="Times New Roman" w:eastAsia="Times New Roman" w:hAnsi="Times New Roman" w:cs="Times New Roman"/>
      <w:bCs/>
      <w:sz w:val="24"/>
      <w:szCs w:val="20"/>
      <w:lang w:eastAsia="pl-PL"/>
    </w:rPr>
  </w:style>
  <w:style w:type="paragraph" w:styleId="Stopka">
    <w:name w:val="footer"/>
    <w:basedOn w:val="Normalny"/>
    <w:link w:val="StopkaZnak"/>
    <w:rsid w:val="002B4BDF"/>
    <w:pPr>
      <w:tabs>
        <w:tab w:val="center" w:pos="4536"/>
        <w:tab w:val="right" w:pos="9072"/>
      </w:tabs>
    </w:pPr>
  </w:style>
  <w:style w:type="character" w:customStyle="1" w:styleId="StopkaZnak">
    <w:name w:val="Stopka Znak"/>
    <w:basedOn w:val="Domylnaczcionkaakapitu"/>
    <w:link w:val="Stopka"/>
    <w:rsid w:val="002B4BDF"/>
    <w:rPr>
      <w:rFonts w:ascii="Times New Roman" w:eastAsia="Times New Roman" w:hAnsi="Times New Roman" w:cs="Times New Roman"/>
      <w:bCs/>
      <w:sz w:val="24"/>
      <w:szCs w:val="24"/>
      <w:lang w:eastAsia="pl-PL"/>
    </w:rPr>
  </w:style>
  <w:style w:type="character" w:styleId="Numerstrony">
    <w:name w:val="page number"/>
    <w:basedOn w:val="Domylnaczcionkaakapitu"/>
    <w:rsid w:val="002B4BDF"/>
  </w:style>
  <w:style w:type="paragraph" w:styleId="Akapitzlist">
    <w:name w:val="List Paragraph"/>
    <w:aliases w:val="Dot pt,F5 List Paragraph,Recommendation,Kolorowa lista — akcent 11,Numerowanie,Akapit z listą11,Numbered Para 1,No Spacing1,List Paragraph Char Char Char,Indicator Text,2,3,List Paragraph1,List Paragraph11,List Paragraph,Akapit z listą1"/>
    <w:basedOn w:val="Normalny"/>
    <w:link w:val="AkapitzlistZnak"/>
    <w:uiPriority w:val="34"/>
    <w:qFormat/>
    <w:rsid w:val="002B4BDF"/>
    <w:pPr>
      <w:ind w:left="720"/>
      <w:contextualSpacing/>
    </w:pPr>
  </w:style>
  <w:style w:type="table" w:styleId="Tabela-Siatka">
    <w:name w:val="Table Grid"/>
    <w:basedOn w:val="Standardowy"/>
    <w:uiPriority w:val="99"/>
    <w:rsid w:val="002B4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10"/>
    <w:basedOn w:val="Normalny"/>
    <w:uiPriority w:val="99"/>
    <w:rsid w:val="00535033"/>
    <w:pPr>
      <w:widowControl w:val="0"/>
      <w:autoSpaceDE w:val="0"/>
      <w:autoSpaceDN w:val="0"/>
      <w:adjustRightInd w:val="0"/>
      <w:spacing w:line="278" w:lineRule="exact"/>
      <w:jc w:val="both"/>
    </w:pPr>
    <w:rPr>
      <w:rFonts w:ascii="Impact" w:eastAsiaTheme="minorEastAsia" w:hAnsi="Impact" w:cstheme="minorBidi"/>
      <w:bCs w:val="0"/>
    </w:rPr>
  </w:style>
  <w:style w:type="paragraph" w:customStyle="1" w:styleId="Style11">
    <w:name w:val="Style11"/>
    <w:basedOn w:val="Normalny"/>
    <w:uiPriority w:val="99"/>
    <w:rsid w:val="00535033"/>
    <w:pPr>
      <w:widowControl w:val="0"/>
      <w:autoSpaceDE w:val="0"/>
      <w:autoSpaceDN w:val="0"/>
      <w:adjustRightInd w:val="0"/>
      <w:spacing w:line="298" w:lineRule="exact"/>
      <w:ind w:hanging="413"/>
      <w:jc w:val="both"/>
    </w:pPr>
    <w:rPr>
      <w:rFonts w:ascii="Impact" w:eastAsiaTheme="minorEastAsia" w:hAnsi="Impact" w:cstheme="minorBidi"/>
      <w:bCs w:val="0"/>
    </w:rPr>
  </w:style>
  <w:style w:type="character" w:customStyle="1" w:styleId="FontStyle19">
    <w:name w:val="Font Style19"/>
    <w:basedOn w:val="Domylnaczcionkaakapitu"/>
    <w:uiPriority w:val="99"/>
    <w:rsid w:val="00535033"/>
    <w:rPr>
      <w:rFonts w:ascii="Times New Roman" w:hAnsi="Times New Roman" w:cs="Times New Roman"/>
      <w:spacing w:val="-10"/>
      <w:sz w:val="22"/>
      <w:szCs w:val="22"/>
    </w:rPr>
  </w:style>
  <w:style w:type="character" w:customStyle="1" w:styleId="FontStyle22">
    <w:name w:val="Font Style22"/>
    <w:basedOn w:val="Domylnaczcionkaakapitu"/>
    <w:uiPriority w:val="99"/>
    <w:rsid w:val="00535033"/>
    <w:rPr>
      <w:rFonts w:ascii="Times New Roman" w:hAnsi="Times New Roman" w:cs="Times New Roman"/>
      <w:sz w:val="24"/>
      <w:szCs w:val="24"/>
    </w:rPr>
  </w:style>
  <w:style w:type="paragraph" w:customStyle="1" w:styleId="Style8">
    <w:name w:val="Style8"/>
    <w:basedOn w:val="Normalny"/>
    <w:uiPriority w:val="99"/>
    <w:rsid w:val="00535033"/>
    <w:pPr>
      <w:widowControl w:val="0"/>
      <w:autoSpaceDE w:val="0"/>
      <w:autoSpaceDN w:val="0"/>
      <w:adjustRightInd w:val="0"/>
    </w:pPr>
    <w:rPr>
      <w:rFonts w:ascii="Impact" w:eastAsiaTheme="minorEastAsia" w:hAnsi="Impact" w:cstheme="minorBidi"/>
      <w:bCs w:val="0"/>
    </w:rPr>
  </w:style>
  <w:style w:type="character" w:customStyle="1" w:styleId="FontStyle23">
    <w:name w:val="Font Style23"/>
    <w:basedOn w:val="Domylnaczcionkaakapitu"/>
    <w:uiPriority w:val="99"/>
    <w:rsid w:val="00535033"/>
    <w:rPr>
      <w:rFonts w:ascii="Times New Roman" w:hAnsi="Times New Roman" w:cs="Times New Roman"/>
      <w:i/>
      <w:iCs/>
      <w:spacing w:val="-10"/>
      <w:sz w:val="24"/>
      <w:szCs w:val="24"/>
    </w:rPr>
  </w:style>
  <w:style w:type="paragraph" w:customStyle="1" w:styleId="Style4">
    <w:name w:val="Style4"/>
    <w:basedOn w:val="Normalny"/>
    <w:uiPriority w:val="99"/>
    <w:rsid w:val="000C3526"/>
    <w:pPr>
      <w:widowControl w:val="0"/>
      <w:autoSpaceDE w:val="0"/>
      <w:autoSpaceDN w:val="0"/>
      <w:adjustRightInd w:val="0"/>
      <w:spacing w:line="278" w:lineRule="exact"/>
      <w:jc w:val="both"/>
    </w:pPr>
    <w:rPr>
      <w:rFonts w:ascii="Calibri" w:eastAsiaTheme="minorEastAsia" w:hAnsi="Calibri" w:cstheme="minorBidi"/>
      <w:bCs w:val="0"/>
    </w:rPr>
  </w:style>
  <w:style w:type="paragraph" w:customStyle="1" w:styleId="Style6">
    <w:name w:val="Style6"/>
    <w:basedOn w:val="Normalny"/>
    <w:uiPriority w:val="99"/>
    <w:rsid w:val="000C3526"/>
    <w:pPr>
      <w:widowControl w:val="0"/>
      <w:autoSpaceDE w:val="0"/>
      <w:autoSpaceDN w:val="0"/>
      <w:adjustRightInd w:val="0"/>
      <w:spacing w:line="283" w:lineRule="exact"/>
      <w:jc w:val="both"/>
    </w:pPr>
    <w:rPr>
      <w:rFonts w:ascii="Calibri" w:eastAsiaTheme="minorEastAsia" w:hAnsi="Calibri" w:cstheme="minorBidi"/>
      <w:bCs w:val="0"/>
    </w:rPr>
  </w:style>
  <w:style w:type="character" w:customStyle="1" w:styleId="FontStyle17">
    <w:name w:val="Font Style17"/>
    <w:basedOn w:val="Domylnaczcionkaakapitu"/>
    <w:uiPriority w:val="99"/>
    <w:rsid w:val="000C3526"/>
    <w:rPr>
      <w:rFonts w:ascii="Calibri" w:hAnsi="Calibri" w:cs="Calibri"/>
      <w:b/>
      <w:bCs/>
      <w:sz w:val="22"/>
      <w:szCs w:val="22"/>
    </w:rPr>
  </w:style>
  <w:style w:type="character" w:customStyle="1" w:styleId="FontStyle20">
    <w:name w:val="Font Style20"/>
    <w:basedOn w:val="Domylnaczcionkaakapitu"/>
    <w:uiPriority w:val="99"/>
    <w:rsid w:val="000C3526"/>
    <w:rPr>
      <w:rFonts w:ascii="Georgia" w:hAnsi="Georgia" w:cs="Georgia"/>
      <w:b/>
      <w:bCs/>
      <w:sz w:val="18"/>
      <w:szCs w:val="18"/>
    </w:rPr>
  </w:style>
  <w:style w:type="paragraph" w:customStyle="1" w:styleId="Style9">
    <w:name w:val="Style9"/>
    <w:basedOn w:val="Normalny"/>
    <w:uiPriority w:val="99"/>
    <w:rsid w:val="00F44D92"/>
    <w:pPr>
      <w:widowControl w:val="0"/>
      <w:autoSpaceDE w:val="0"/>
      <w:autoSpaceDN w:val="0"/>
      <w:adjustRightInd w:val="0"/>
      <w:jc w:val="both"/>
    </w:pPr>
    <w:rPr>
      <w:rFonts w:ascii="MS Reference Sans Serif" w:eastAsiaTheme="minorEastAsia" w:hAnsi="MS Reference Sans Serif" w:cstheme="minorBidi"/>
      <w:bCs w:val="0"/>
    </w:rPr>
  </w:style>
  <w:style w:type="paragraph" w:customStyle="1" w:styleId="Style13">
    <w:name w:val="Style13"/>
    <w:basedOn w:val="Normalny"/>
    <w:uiPriority w:val="99"/>
    <w:rsid w:val="00F44D92"/>
    <w:pPr>
      <w:widowControl w:val="0"/>
      <w:autoSpaceDE w:val="0"/>
      <w:autoSpaceDN w:val="0"/>
      <w:adjustRightInd w:val="0"/>
      <w:spacing w:line="367" w:lineRule="exact"/>
    </w:pPr>
    <w:rPr>
      <w:rFonts w:ascii="MS Reference Sans Serif" w:eastAsiaTheme="minorEastAsia" w:hAnsi="MS Reference Sans Serif" w:cstheme="minorBidi"/>
      <w:bCs w:val="0"/>
    </w:rPr>
  </w:style>
  <w:style w:type="character" w:customStyle="1" w:styleId="FontStyle28">
    <w:name w:val="Font Style28"/>
    <w:basedOn w:val="Domylnaczcionkaakapitu"/>
    <w:uiPriority w:val="99"/>
    <w:rsid w:val="00F44D92"/>
    <w:rPr>
      <w:rFonts w:ascii="Arial" w:hAnsi="Arial" w:cs="Arial"/>
      <w:sz w:val="22"/>
      <w:szCs w:val="22"/>
    </w:rPr>
  </w:style>
  <w:style w:type="character" w:styleId="Odwoaniedokomentarza">
    <w:name w:val="annotation reference"/>
    <w:basedOn w:val="Domylnaczcionkaakapitu"/>
    <w:uiPriority w:val="99"/>
    <w:semiHidden/>
    <w:unhideWhenUsed/>
    <w:rsid w:val="00493DF1"/>
    <w:rPr>
      <w:sz w:val="16"/>
      <w:szCs w:val="16"/>
    </w:rPr>
  </w:style>
  <w:style w:type="paragraph" w:styleId="Tekstkomentarza">
    <w:name w:val="annotation text"/>
    <w:basedOn w:val="Normalny"/>
    <w:link w:val="TekstkomentarzaZnak"/>
    <w:uiPriority w:val="99"/>
    <w:semiHidden/>
    <w:unhideWhenUsed/>
    <w:rsid w:val="00493DF1"/>
    <w:rPr>
      <w:sz w:val="20"/>
      <w:szCs w:val="20"/>
    </w:rPr>
  </w:style>
  <w:style w:type="character" w:customStyle="1" w:styleId="TekstkomentarzaZnak">
    <w:name w:val="Tekst komentarza Znak"/>
    <w:basedOn w:val="Domylnaczcionkaakapitu"/>
    <w:link w:val="Tekstkomentarza"/>
    <w:uiPriority w:val="99"/>
    <w:semiHidden/>
    <w:rsid w:val="00493DF1"/>
    <w:rPr>
      <w:rFonts w:ascii="Times New Roman" w:eastAsia="Times New Roman" w:hAnsi="Times New Roman" w:cs="Times New Roman"/>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493DF1"/>
    <w:rPr>
      <w:b/>
    </w:rPr>
  </w:style>
  <w:style w:type="character" w:customStyle="1" w:styleId="TematkomentarzaZnak">
    <w:name w:val="Temat komentarza Znak"/>
    <w:basedOn w:val="TekstkomentarzaZnak"/>
    <w:link w:val="Tematkomentarza"/>
    <w:uiPriority w:val="99"/>
    <w:semiHidden/>
    <w:rsid w:val="00493DF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93DF1"/>
    <w:rPr>
      <w:rFonts w:ascii="Tahoma" w:hAnsi="Tahoma" w:cs="Tahoma"/>
      <w:sz w:val="16"/>
      <w:szCs w:val="16"/>
    </w:rPr>
  </w:style>
  <w:style w:type="character" w:customStyle="1" w:styleId="TekstdymkaZnak">
    <w:name w:val="Tekst dymka Znak"/>
    <w:basedOn w:val="Domylnaczcionkaakapitu"/>
    <w:link w:val="Tekstdymka"/>
    <w:uiPriority w:val="99"/>
    <w:semiHidden/>
    <w:rsid w:val="00493DF1"/>
    <w:rPr>
      <w:rFonts w:ascii="Tahoma" w:eastAsia="Times New Roman" w:hAnsi="Tahoma" w:cs="Tahoma"/>
      <w:bCs/>
      <w:sz w:val="16"/>
      <w:szCs w:val="16"/>
      <w:lang w:eastAsia="pl-PL"/>
    </w:rPr>
  </w:style>
  <w:style w:type="paragraph" w:customStyle="1" w:styleId="c75debutdesmotifs">
    <w:name w:val="c75debutdesmotifs"/>
    <w:basedOn w:val="Normalny"/>
    <w:rsid w:val="00BC1A51"/>
    <w:pPr>
      <w:spacing w:before="480" w:after="480"/>
      <w:ind w:left="567"/>
      <w:jc w:val="center"/>
    </w:pPr>
    <w:rPr>
      <w:b/>
    </w:rPr>
  </w:style>
  <w:style w:type="paragraph" w:styleId="Tekstprzypisudolnego">
    <w:name w:val="footnote text"/>
    <w:basedOn w:val="Normalny"/>
    <w:link w:val="TekstprzypisudolnegoZnak"/>
    <w:uiPriority w:val="99"/>
    <w:unhideWhenUsed/>
    <w:rsid w:val="00E50340"/>
    <w:rPr>
      <w:sz w:val="20"/>
      <w:szCs w:val="20"/>
    </w:rPr>
  </w:style>
  <w:style w:type="character" w:customStyle="1" w:styleId="TekstprzypisudolnegoZnak">
    <w:name w:val="Tekst przypisu dolnego Znak"/>
    <w:basedOn w:val="Domylnaczcionkaakapitu"/>
    <w:link w:val="Tekstprzypisudolnego"/>
    <w:uiPriority w:val="99"/>
    <w:rsid w:val="00E50340"/>
    <w:rPr>
      <w:rFonts w:ascii="Times New Roman" w:eastAsia="Times New Roman" w:hAnsi="Times New Roman" w:cs="Times New Roman"/>
      <w:bCs/>
      <w:sz w:val="20"/>
      <w:szCs w:val="20"/>
      <w:lang w:eastAsia="pl-PL"/>
    </w:rPr>
  </w:style>
  <w:style w:type="character" w:styleId="Odwoanieprzypisudolnego">
    <w:name w:val="footnote reference"/>
    <w:basedOn w:val="Domylnaczcionkaakapitu"/>
    <w:uiPriority w:val="99"/>
    <w:semiHidden/>
    <w:unhideWhenUsed/>
    <w:rsid w:val="00E50340"/>
    <w:rPr>
      <w:vertAlign w:val="superscript"/>
    </w:rPr>
  </w:style>
  <w:style w:type="paragraph" w:customStyle="1" w:styleId="ZFRAGzmfragmentunpzdaniaartykuempunktem">
    <w:name w:val="Z/FRAG – zm. fragmentu (np. zdania) artykułem (punktem)"/>
    <w:basedOn w:val="Normalny"/>
    <w:next w:val="Normalny"/>
    <w:uiPriority w:val="36"/>
    <w:qFormat/>
    <w:rsid w:val="001C6A15"/>
    <w:pPr>
      <w:suppressAutoHyphens/>
      <w:autoSpaceDE w:val="0"/>
      <w:autoSpaceDN w:val="0"/>
      <w:adjustRightInd w:val="0"/>
      <w:spacing w:line="360" w:lineRule="auto"/>
      <w:ind w:left="510"/>
      <w:jc w:val="both"/>
    </w:pPr>
    <w:rPr>
      <w:rFonts w:eastAsiaTheme="minorEastAsia" w:cs="Arial"/>
      <w:bCs w:val="0"/>
      <w:szCs w:val="20"/>
    </w:rPr>
  </w:style>
  <w:style w:type="paragraph" w:customStyle="1" w:styleId="ZARTzmartartykuempunktem">
    <w:name w:val="Z/ART(§) – zm. art. (§) artykułem (punktem)"/>
    <w:basedOn w:val="Normalny"/>
    <w:uiPriority w:val="30"/>
    <w:qFormat/>
    <w:rsid w:val="00BA0630"/>
    <w:pPr>
      <w:suppressAutoHyphens/>
      <w:autoSpaceDE w:val="0"/>
      <w:autoSpaceDN w:val="0"/>
      <w:adjustRightInd w:val="0"/>
      <w:spacing w:line="360" w:lineRule="auto"/>
      <w:ind w:left="510" w:firstLine="510"/>
      <w:jc w:val="both"/>
    </w:pPr>
    <w:rPr>
      <w:rFonts w:ascii="Times" w:eastAsiaTheme="minorEastAsia" w:hAnsi="Times" w:cs="Arial"/>
      <w:bCs w:val="0"/>
      <w:szCs w:val="20"/>
    </w:rPr>
  </w:style>
  <w:style w:type="paragraph" w:customStyle="1" w:styleId="PKTpunkt">
    <w:name w:val="PKT – punkt"/>
    <w:uiPriority w:val="13"/>
    <w:qFormat/>
    <w:rsid w:val="00BA0630"/>
    <w:pPr>
      <w:spacing w:after="0" w:line="360" w:lineRule="auto"/>
      <w:ind w:left="51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ZARTzmartartykuempunktem"/>
    <w:uiPriority w:val="30"/>
    <w:qFormat/>
    <w:rsid w:val="00BA0630"/>
  </w:style>
  <w:style w:type="character" w:customStyle="1" w:styleId="Teksttreci">
    <w:name w:val="Tekst treści_"/>
    <w:basedOn w:val="Domylnaczcionkaakapitu"/>
    <w:link w:val="Teksttreci0"/>
    <w:rsid w:val="00040C66"/>
    <w:rPr>
      <w:rFonts w:ascii="Calibri" w:eastAsia="Calibri" w:hAnsi="Calibri" w:cs="Calibri"/>
      <w:sz w:val="20"/>
      <w:szCs w:val="20"/>
      <w:shd w:val="clear" w:color="auto" w:fill="FFFFFF"/>
    </w:rPr>
  </w:style>
  <w:style w:type="paragraph" w:customStyle="1" w:styleId="Teksttreci0">
    <w:name w:val="Tekst treści"/>
    <w:basedOn w:val="Normalny"/>
    <w:link w:val="Teksttreci"/>
    <w:rsid w:val="00040C66"/>
    <w:pPr>
      <w:widowControl w:val="0"/>
      <w:shd w:val="clear" w:color="auto" w:fill="FFFFFF"/>
      <w:spacing w:after="120" w:line="266" w:lineRule="auto"/>
      <w:jc w:val="both"/>
    </w:pPr>
    <w:rPr>
      <w:rFonts w:ascii="Calibri" w:eastAsia="Calibri" w:hAnsi="Calibri" w:cs="Calibri"/>
      <w:bCs w:val="0"/>
      <w:sz w:val="20"/>
      <w:szCs w:val="20"/>
      <w:lang w:eastAsia="en-US"/>
    </w:rPr>
  </w:style>
  <w:style w:type="character" w:customStyle="1" w:styleId="Nagweklubstopka2">
    <w:name w:val="Nagłówek lub stopka (2)_"/>
    <w:basedOn w:val="Domylnaczcionkaakapitu"/>
    <w:link w:val="Nagweklubstopka20"/>
    <w:rsid w:val="00040C66"/>
    <w:rPr>
      <w:rFonts w:ascii="Times New Roman" w:eastAsia="Times New Roman" w:hAnsi="Times New Roman" w:cs="Times New Roman"/>
      <w:sz w:val="20"/>
      <w:szCs w:val="20"/>
      <w:shd w:val="clear" w:color="auto" w:fill="FFFFFF"/>
    </w:rPr>
  </w:style>
  <w:style w:type="paragraph" w:customStyle="1" w:styleId="Nagweklubstopka20">
    <w:name w:val="Nagłówek lub stopka (2)"/>
    <w:basedOn w:val="Normalny"/>
    <w:link w:val="Nagweklubstopka2"/>
    <w:rsid w:val="00040C66"/>
    <w:pPr>
      <w:widowControl w:val="0"/>
      <w:shd w:val="clear" w:color="auto" w:fill="FFFFFF"/>
    </w:pPr>
    <w:rPr>
      <w:bCs w:val="0"/>
      <w:sz w:val="20"/>
      <w:szCs w:val="20"/>
      <w:lang w:eastAsia="en-US"/>
    </w:rPr>
  </w:style>
  <w:style w:type="paragraph" w:styleId="Tekstprzypisukocowego">
    <w:name w:val="endnote text"/>
    <w:basedOn w:val="Normalny"/>
    <w:link w:val="TekstprzypisukocowegoZnak"/>
    <w:uiPriority w:val="99"/>
    <w:semiHidden/>
    <w:unhideWhenUsed/>
    <w:rsid w:val="00B073A0"/>
    <w:rPr>
      <w:sz w:val="20"/>
      <w:szCs w:val="20"/>
    </w:rPr>
  </w:style>
  <w:style w:type="character" w:customStyle="1" w:styleId="TekstprzypisukocowegoZnak">
    <w:name w:val="Tekst przypisu końcowego Znak"/>
    <w:basedOn w:val="Domylnaczcionkaakapitu"/>
    <w:link w:val="Tekstprzypisukocowego"/>
    <w:uiPriority w:val="99"/>
    <w:semiHidden/>
    <w:rsid w:val="00B073A0"/>
    <w:rPr>
      <w:rFonts w:ascii="Times New Roman" w:eastAsia="Times New Roman" w:hAnsi="Times New Roman" w:cs="Times New Roman"/>
      <w:bCs/>
      <w:sz w:val="20"/>
      <w:szCs w:val="20"/>
      <w:lang w:eastAsia="pl-PL"/>
    </w:rPr>
  </w:style>
  <w:style w:type="character" w:styleId="Odwoanieprzypisukocowego">
    <w:name w:val="endnote reference"/>
    <w:basedOn w:val="Domylnaczcionkaakapitu"/>
    <w:uiPriority w:val="99"/>
    <w:semiHidden/>
    <w:unhideWhenUsed/>
    <w:rsid w:val="00B073A0"/>
    <w:rPr>
      <w:vertAlign w:val="superscript"/>
    </w:rPr>
  </w:style>
  <w:style w:type="character" w:styleId="Hipercze">
    <w:name w:val="Hyperlink"/>
    <w:basedOn w:val="Domylnaczcionkaakapitu"/>
    <w:uiPriority w:val="99"/>
    <w:unhideWhenUsed/>
    <w:rsid w:val="00F1163B"/>
    <w:rPr>
      <w:color w:val="0000FF" w:themeColor="hyperlink"/>
      <w:u w:val="single"/>
    </w:rPr>
  </w:style>
  <w:style w:type="character" w:customStyle="1" w:styleId="AkapitzlistZnak">
    <w:name w:val="Akapit z listą Znak"/>
    <w:aliases w:val="Dot pt Znak,F5 List Paragraph Znak,Recommendation Znak,Kolorowa lista — akcent 11 Znak,Numerowanie Znak,Akapit z listą11 Znak,Numbered Para 1 Znak,No Spacing1 Znak,List Paragraph Char Char Char Znak,Indicator Text Znak,2 Znak,3 Znak"/>
    <w:link w:val="Akapitzlist"/>
    <w:uiPriority w:val="34"/>
    <w:qFormat/>
    <w:locked/>
    <w:rsid w:val="00EE78D9"/>
    <w:rPr>
      <w:rFonts w:ascii="Times New Roman" w:eastAsia="Times New Roman" w:hAnsi="Times New Roman" w:cs="Times New Roman"/>
      <w:bCs/>
      <w:sz w:val="24"/>
      <w:szCs w:val="24"/>
      <w:lang w:eastAsia="pl-PL"/>
    </w:rPr>
  </w:style>
  <w:style w:type="table" w:customStyle="1" w:styleId="Tabela-Siatka1">
    <w:name w:val="Tabela - Siatka1"/>
    <w:basedOn w:val="Standardowy"/>
    <w:next w:val="Tabela-Siatka"/>
    <w:uiPriority w:val="39"/>
    <w:rsid w:val="003B5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99"/>
    <w:rsid w:val="002B4E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ROZDZODDZOZNzmoznrozdzoddzartykuempunktem">
    <w:name w:val="Z/ROZDZ(ODDZ)_OZN – zm. ozn. rozdz. (oddz.) artykułem (punktem)"/>
    <w:next w:val="Normalny"/>
    <w:uiPriority w:val="29"/>
    <w:qFormat/>
    <w:rsid w:val="00420EF8"/>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ZPKTzmpktartykuempunktem">
    <w:name w:val="Z/PKT – zm. pkt artykułem (punktem)"/>
    <w:basedOn w:val="Normalny"/>
    <w:uiPriority w:val="31"/>
    <w:qFormat/>
    <w:rsid w:val="00420EF8"/>
    <w:pPr>
      <w:spacing w:line="360" w:lineRule="auto"/>
      <w:ind w:left="1020" w:hanging="510"/>
      <w:jc w:val="both"/>
    </w:pPr>
    <w:rPr>
      <w:rFonts w:ascii="Times" w:eastAsiaTheme="minorEastAsia" w:hAnsi="Times" w:cs="Arial"/>
      <w:szCs w:val="20"/>
    </w:rPr>
  </w:style>
  <w:style w:type="paragraph" w:customStyle="1" w:styleId="ZLITzmlitartykuempunktem">
    <w:name w:val="Z/LIT – zm. lit. artykułem (punktem)"/>
    <w:basedOn w:val="Normalny"/>
    <w:uiPriority w:val="32"/>
    <w:qFormat/>
    <w:rsid w:val="00420EF8"/>
    <w:pPr>
      <w:spacing w:line="360" w:lineRule="auto"/>
      <w:ind w:left="986" w:hanging="476"/>
      <w:jc w:val="both"/>
    </w:pPr>
    <w:rPr>
      <w:rFonts w:ascii="Times" w:eastAsiaTheme="minorEastAsia" w:hAnsi="Times"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6195">
      <w:bodyDiv w:val="1"/>
      <w:marLeft w:val="0"/>
      <w:marRight w:val="0"/>
      <w:marTop w:val="0"/>
      <w:marBottom w:val="0"/>
      <w:divBdr>
        <w:top w:val="none" w:sz="0" w:space="0" w:color="auto"/>
        <w:left w:val="none" w:sz="0" w:space="0" w:color="auto"/>
        <w:bottom w:val="none" w:sz="0" w:space="0" w:color="auto"/>
        <w:right w:val="none" w:sz="0" w:space="0" w:color="auto"/>
      </w:divBdr>
    </w:div>
    <w:div w:id="314649537">
      <w:bodyDiv w:val="1"/>
      <w:marLeft w:val="0"/>
      <w:marRight w:val="0"/>
      <w:marTop w:val="0"/>
      <w:marBottom w:val="0"/>
      <w:divBdr>
        <w:top w:val="none" w:sz="0" w:space="0" w:color="auto"/>
        <w:left w:val="none" w:sz="0" w:space="0" w:color="auto"/>
        <w:bottom w:val="none" w:sz="0" w:space="0" w:color="auto"/>
        <w:right w:val="none" w:sz="0" w:space="0" w:color="auto"/>
      </w:divBdr>
    </w:div>
    <w:div w:id="578373140">
      <w:bodyDiv w:val="1"/>
      <w:marLeft w:val="0"/>
      <w:marRight w:val="0"/>
      <w:marTop w:val="0"/>
      <w:marBottom w:val="0"/>
      <w:divBdr>
        <w:top w:val="none" w:sz="0" w:space="0" w:color="auto"/>
        <w:left w:val="none" w:sz="0" w:space="0" w:color="auto"/>
        <w:bottom w:val="none" w:sz="0" w:space="0" w:color="auto"/>
        <w:right w:val="none" w:sz="0" w:space="0" w:color="auto"/>
      </w:divBdr>
    </w:div>
    <w:div w:id="585071084">
      <w:bodyDiv w:val="1"/>
      <w:marLeft w:val="0"/>
      <w:marRight w:val="0"/>
      <w:marTop w:val="0"/>
      <w:marBottom w:val="0"/>
      <w:divBdr>
        <w:top w:val="none" w:sz="0" w:space="0" w:color="auto"/>
        <w:left w:val="none" w:sz="0" w:space="0" w:color="auto"/>
        <w:bottom w:val="none" w:sz="0" w:space="0" w:color="auto"/>
        <w:right w:val="none" w:sz="0" w:space="0" w:color="auto"/>
      </w:divBdr>
    </w:div>
    <w:div w:id="988366968">
      <w:bodyDiv w:val="1"/>
      <w:marLeft w:val="0"/>
      <w:marRight w:val="0"/>
      <w:marTop w:val="0"/>
      <w:marBottom w:val="0"/>
      <w:divBdr>
        <w:top w:val="none" w:sz="0" w:space="0" w:color="auto"/>
        <w:left w:val="none" w:sz="0" w:space="0" w:color="auto"/>
        <w:bottom w:val="none" w:sz="0" w:space="0" w:color="auto"/>
        <w:right w:val="none" w:sz="0" w:space="0" w:color="auto"/>
      </w:divBdr>
    </w:div>
    <w:div w:id="1068965005">
      <w:bodyDiv w:val="1"/>
      <w:marLeft w:val="0"/>
      <w:marRight w:val="0"/>
      <w:marTop w:val="0"/>
      <w:marBottom w:val="0"/>
      <w:divBdr>
        <w:top w:val="none" w:sz="0" w:space="0" w:color="auto"/>
        <w:left w:val="none" w:sz="0" w:space="0" w:color="auto"/>
        <w:bottom w:val="none" w:sz="0" w:space="0" w:color="auto"/>
        <w:right w:val="none" w:sz="0" w:space="0" w:color="auto"/>
      </w:divBdr>
    </w:div>
    <w:div w:id="1787237413">
      <w:bodyDiv w:val="1"/>
      <w:marLeft w:val="0"/>
      <w:marRight w:val="0"/>
      <w:marTop w:val="0"/>
      <w:marBottom w:val="0"/>
      <w:divBdr>
        <w:top w:val="none" w:sz="0" w:space="0" w:color="auto"/>
        <w:left w:val="none" w:sz="0" w:space="0" w:color="auto"/>
        <w:bottom w:val="none" w:sz="0" w:space="0" w:color="auto"/>
        <w:right w:val="none" w:sz="0" w:space="0" w:color="auto"/>
      </w:divBdr>
    </w:div>
    <w:div w:id="1936741994">
      <w:bodyDiv w:val="1"/>
      <w:marLeft w:val="0"/>
      <w:marRight w:val="0"/>
      <w:marTop w:val="0"/>
      <w:marBottom w:val="0"/>
      <w:divBdr>
        <w:top w:val="none" w:sz="0" w:space="0" w:color="auto"/>
        <w:left w:val="none" w:sz="0" w:space="0" w:color="auto"/>
        <w:bottom w:val="none" w:sz="0" w:space="0" w:color="auto"/>
        <w:right w:val="none" w:sz="0" w:space="0" w:color="auto"/>
      </w:divBdr>
    </w:div>
    <w:div w:id="2002347668">
      <w:bodyDiv w:val="1"/>
      <w:marLeft w:val="0"/>
      <w:marRight w:val="0"/>
      <w:marTop w:val="0"/>
      <w:marBottom w:val="0"/>
      <w:divBdr>
        <w:top w:val="none" w:sz="0" w:space="0" w:color="auto"/>
        <w:left w:val="none" w:sz="0" w:space="0" w:color="auto"/>
        <w:bottom w:val="none" w:sz="0" w:space="0" w:color="auto"/>
        <w:right w:val="none" w:sz="0" w:space="0" w:color="auto"/>
      </w:divBdr>
      <w:divsChild>
        <w:div w:id="1427992130">
          <w:marLeft w:val="0"/>
          <w:marRight w:val="0"/>
          <w:marTop w:val="0"/>
          <w:marBottom w:val="0"/>
          <w:divBdr>
            <w:top w:val="none" w:sz="0" w:space="0" w:color="auto"/>
            <w:left w:val="none" w:sz="0" w:space="0" w:color="auto"/>
            <w:bottom w:val="none" w:sz="0" w:space="0" w:color="auto"/>
            <w:right w:val="none" w:sz="0" w:space="0" w:color="auto"/>
          </w:divBdr>
          <w:divsChild>
            <w:div w:id="306470954">
              <w:marLeft w:val="0"/>
              <w:marRight w:val="0"/>
              <w:marTop w:val="0"/>
              <w:marBottom w:val="0"/>
              <w:divBdr>
                <w:top w:val="none" w:sz="0" w:space="0" w:color="auto"/>
                <w:left w:val="none" w:sz="0" w:space="0" w:color="auto"/>
                <w:bottom w:val="none" w:sz="0" w:space="0" w:color="auto"/>
                <w:right w:val="none" w:sz="0" w:space="0" w:color="auto"/>
              </w:divBdr>
              <w:divsChild>
                <w:div w:id="1614362695">
                  <w:marLeft w:val="0"/>
                  <w:marRight w:val="0"/>
                  <w:marTop w:val="0"/>
                  <w:marBottom w:val="0"/>
                  <w:divBdr>
                    <w:top w:val="none" w:sz="0" w:space="0" w:color="auto"/>
                    <w:left w:val="none" w:sz="0" w:space="0" w:color="auto"/>
                    <w:bottom w:val="none" w:sz="0" w:space="0" w:color="auto"/>
                    <w:right w:val="none" w:sz="0" w:space="0" w:color="auto"/>
                  </w:divBdr>
                  <w:divsChild>
                    <w:div w:id="1601641053">
                      <w:marLeft w:val="0"/>
                      <w:marRight w:val="0"/>
                      <w:marTop w:val="0"/>
                      <w:marBottom w:val="0"/>
                      <w:divBdr>
                        <w:top w:val="none" w:sz="0" w:space="0" w:color="auto"/>
                        <w:left w:val="none" w:sz="0" w:space="0" w:color="auto"/>
                        <w:bottom w:val="none" w:sz="0" w:space="0" w:color="auto"/>
                        <w:right w:val="none" w:sz="0" w:space="0" w:color="auto"/>
                      </w:divBdr>
                      <w:divsChild>
                        <w:div w:id="782529667">
                          <w:marLeft w:val="0"/>
                          <w:marRight w:val="0"/>
                          <w:marTop w:val="0"/>
                          <w:marBottom w:val="0"/>
                          <w:divBdr>
                            <w:top w:val="none" w:sz="0" w:space="0" w:color="auto"/>
                            <w:left w:val="none" w:sz="0" w:space="0" w:color="auto"/>
                            <w:bottom w:val="none" w:sz="0" w:space="0" w:color="auto"/>
                            <w:right w:val="none" w:sz="0" w:space="0" w:color="auto"/>
                          </w:divBdr>
                          <w:divsChild>
                            <w:div w:id="1394499455">
                              <w:marLeft w:val="0"/>
                              <w:marRight w:val="0"/>
                              <w:marTop w:val="0"/>
                              <w:marBottom w:val="0"/>
                              <w:divBdr>
                                <w:top w:val="none" w:sz="0" w:space="0" w:color="auto"/>
                                <w:left w:val="none" w:sz="0" w:space="0" w:color="auto"/>
                                <w:bottom w:val="none" w:sz="0" w:space="0" w:color="auto"/>
                                <w:right w:val="none" w:sz="0" w:space="0" w:color="auto"/>
                              </w:divBdr>
                              <w:divsChild>
                                <w:div w:id="1703478067">
                                  <w:marLeft w:val="0"/>
                                  <w:marRight w:val="0"/>
                                  <w:marTop w:val="0"/>
                                  <w:marBottom w:val="0"/>
                                  <w:divBdr>
                                    <w:top w:val="none" w:sz="0" w:space="0" w:color="auto"/>
                                    <w:left w:val="none" w:sz="0" w:space="0" w:color="auto"/>
                                    <w:bottom w:val="none" w:sz="0" w:space="0" w:color="auto"/>
                                    <w:right w:val="none" w:sz="0" w:space="0" w:color="auto"/>
                                  </w:divBdr>
                                  <w:divsChild>
                                    <w:div w:id="2092194772">
                                      <w:marLeft w:val="0"/>
                                      <w:marRight w:val="0"/>
                                      <w:marTop w:val="0"/>
                                      <w:marBottom w:val="0"/>
                                      <w:divBdr>
                                        <w:top w:val="none" w:sz="0" w:space="0" w:color="auto"/>
                                        <w:left w:val="none" w:sz="0" w:space="0" w:color="auto"/>
                                        <w:bottom w:val="none" w:sz="0" w:space="0" w:color="auto"/>
                                        <w:right w:val="none" w:sz="0" w:space="0" w:color="auto"/>
                                      </w:divBdr>
                                      <w:divsChild>
                                        <w:div w:id="1192307344">
                                          <w:marLeft w:val="0"/>
                                          <w:marRight w:val="0"/>
                                          <w:marTop w:val="0"/>
                                          <w:marBottom w:val="0"/>
                                          <w:divBdr>
                                            <w:top w:val="none" w:sz="0" w:space="0" w:color="auto"/>
                                            <w:left w:val="none" w:sz="0" w:space="0" w:color="auto"/>
                                            <w:bottom w:val="none" w:sz="0" w:space="0" w:color="auto"/>
                                            <w:right w:val="none" w:sz="0" w:space="0" w:color="auto"/>
                                          </w:divBdr>
                                          <w:divsChild>
                                            <w:div w:id="694698994">
                                              <w:marLeft w:val="0"/>
                                              <w:marRight w:val="0"/>
                                              <w:marTop w:val="0"/>
                                              <w:marBottom w:val="0"/>
                                              <w:divBdr>
                                                <w:top w:val="none" w:sz="0" w:space="0" w:color="auto"/>
                                                <w:left w:val="none" w:sz="0" w:space="0" w:color="auto"/>
                                                <w:bottom w:val="none" w:sz="0" w:space="0" w:color="auto"/>
                                                <w:right w:val="none" w:sz="0" w:space="0" w:color="auto"/>
                                              </w:divBdr>
                                              <w:divsChild>
                                                <w:div w:id="1782450291">
                                                  <w:marLeft w:val="0"/>
                                                  <w:marRight w:val="0"/>
                                                  <w:marTop w:val="0"/>
                                                  <w:marBottom w:val="0"/>
                                                  <w:divBdr>
                                                    <w:top w:val="none" w:sz="0" w:space="0" w:color="auto"/>
                                                    <w:left w:val="none" w:sz="0" w:space="0" w:color="auto"/>
                                                    <w:bottom w:val="none" w:sz="0" w:space="0" w:color="auto"/>
                                                    <w:right w:val="none" w:sz="0" w:space="0" w:color="auto"/>
                                                  </w:divBdr>
                                                  <w:divsChild>
                                                    <w:div w:id="193807704">
                                                      <w:marLeft w:val="0"/>
                                                      <w:marRight w:val="0"/>
                                                      <w:marTop w:val="0"/>
                                                      <w:marBottom w:val="0"/>
                                                      <w:divBdr>
                                                        <w:top w:val="none" w:sz="0" w:space="0" w:color="auto"/>
                                                        <w:left w:val="none" w:sz="0" w:space="0" w:color="auto"/>
                                                        <w:bottom w:val="none" w:sz="0" w:space="0" w:color="auto"/>
                                                        <w:right w:val="none" w:sz="0" w:space="0" w:color="auto"/>
                                                      </w:divBdr>
                                                    </w:div>
                                                  </w:divsChild>
                                                </w:div>
                                                <w:div w:id="1850409586">
                                                  <w:marLeft w:val="0"/>
                                                  <w:marRight w:val="0"/>
                                                  <w:marTop w:val="0"/>
                                                  <w:marBottom w:val="0"/>
                                                  <w:divBdr>
                                                    <w:top w:val="none" w:sz="0" w:space="0" w:color="auto"/>
                                                    <w:left w:val="none" w:sz="0" w:space="0" w:color="auto"/>
                                                    <w:bottom w:val="none" w:sz="0" w:space="0" w:color="auto"/>
                                                    <w:right w:val="none" w:sz="0" w:space="0" w:color="auto"/>
                                                  </w:divBdr>
                                                  <w:divsChild>
                                                    <w:div w:id="996034603">
                                                      <w:marLeft w:val="0"/>
                                                      <w:marRight w:val="0"/>
                                                      <w:marTop w:val="0"/>
                                                      <w:marBottom w:val="0"/>
                                                      <w:divBdr>
                                                        <w:top w:val="none" w:sz="0" w:space="0" w:color="auto"/>
                                                        <w:left w:val="none" w:sz="0" w:space="0" w:color="auto"/>
                                                        <w:bottom w:val="none" w:sz="0" w:space="0" w:color="auto"/>
                                                        <w:right w:val="none" w:sz="0" w:space="0" w:color="auto"/>
                                                      </w:divBdr>
                                                    </w:div>
                                                    <w:div w:id="2090349380">
                                                      <w:marLeft w:val="0"/>
                                                      <w:marRight w:val="0"/>
                                                      <w:marTop w:val="0"/>
                                                      <w:marBottom w:val="0"/>
                                                      <w:divBdr>
                                                        <w:top w:val="none" w:sz="0" w:space="0" w:color="auto"/>
                                                        <w:left w:val="none" w:sz="0" w:space="0" w:color="auto"/>
                                                        <w:bottom w:val="none" w:sz="0" w:space="0" w:color="auto"/>
                                                        <w:right w:val="none" w:sz="0" w:space="0" w:color="auto"/>
                                                      </w:divBdr>
                                                      <w:divsChild>
                                                        <w:div w:id="912814141">
                                                          <w:marLeft w:val="0"/>
                                                          <w:marRight w:val="0"/>
                                                          <w:marTop w:val="0"/>
                                                          <w:marBottom w:val="0"/>
                                                          <w:divBdr>
                                                            <w:top w:val="none" w:sz="0" w:space="0" w:color="auto"/>
                                                            <w:left w:val="none" w:sz="0" w:space="0" w:color="auto"/>
                                                            <w:bottom w:val="none" w:sz="0" w:space="0" w:color="auto"/>
                                                            <w:right w:val="none" w:sz="0" w:space="0" w:color="auto"/>
                                                          </w:divBdr>
                                                          <w:divsChild>
                                                            <w:div w:id="833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478700">
                                                      <w:marLeft w:val="0"/>
                                                      <w:marRight w:val="0"/>
                                                      <w:marTop w:val="0"/>
                                                      <w:marBottom w:val="0"/>
                                                      <w:divBdr>
                                                        <w:top w:val="none" w:sz="0" w:space="0" w:color="auto"/>
                                                        <w:left w:val="none" w:sz="0" w:space="0" w:color="auto"/>
                                                        <w:bottom w:val="none" w:sz="0" w:space="0" w:color="auto"/>
                                                        <w:right w:val="none" w:sz="0" w:space="0" w:color="auto"/>
                                                      </w:divBdr>
                                                      <w:divsChild>
                                                        <w:div w:id="236792225">
                                                          <w:marLeft w:val="0"/>
                                                          <w:marRight w:val="0"/>
                                                          <w:marTop w:val="0"/>
                                                          <w:marBottom w:val="0"/>
                                                          <w:divBdr>
                                                            <w:top w:val="none" w:sz="0" w:space="0" w:color="auto"/>
                                                            <w:left w:val="none" w:sz="0" w:space="0" w:color="auto"/>
                                                            <w:bottom w:val="none" w:sz="0" w:space="0" w:color="auto"/>
                                                            <w:right w:val="none" w:sz="0" w:space="0" w:color="auto"/>
                                                          </w:divBdr>
                                                          <w:divsChild>
                                                            <w:div w:id="162916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5761">
                                                      <w:marLeft w:val="0"/>
                                                      <w:marRight w:val="0"/>
                                                      <w:marTop w:val="0"/>
                                                      <w:marBottom w:val="0"/>
                                                      <w:divBdr>
                                                        <w:top w:val="none" w:sz="0" w:space="0" w:color="auto"/>
                                                        <w:left w:val="none" w:sz="0" w:space="0" w:color="auto"/>
                                                        <w:bottom w:val="none" w:sz="0" w:space="0" w:color="auto"/>
                                                        <w:right w:val="none" w:sz="0" w:space="0" w:color="auto"/>
                                                      </w:divBdr>
                                                      <w:divsChild>
                                                        <w:div w:id="922180652">
                                                          <w:marLeft w:val="0"/>
                                                          <w:marRight w:val="0"/>
                                                          <w:marTop w:val="0"/>
                                                          <w:marBottom w:val="0"/>
                                                          <w:divBdr>
                                                            <w:top w:val="none" w:sz="0" w:space="0" w:color="auto"/>
                                                            <w:left w:val="none" w:sz="0" w:space="0" w:color="auto"/>
                                                            <w:bottom w:val="none" w:sz="0" w:space="0" w:color="auto"/>
                                                            <w:right w:val="none" w:sz="0" w:space="0" w:color="auto"/>
                                                          </w:divBdr>
                                                          <w:divsChild>
                                                            <w:div w:id="9320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486070">
                                                      <w:marLeft w:val="0"/>
                                                      <w:marRight w:val="0"/>
                                                      <w:marTop w:val="0"/>
                                                      <w:marBottom w:val="0"/>
                                                      <w:divBdr>
                                                        <w:top w:val="none" w:sz="0" w:space="0" w:color="auto"/>
                                                        <w:left w:val="none" w:sz="0" w:space="0" w:color="auto"/>
                                                        <w:bottom w:val="none" w:sz="0" w:space="0" w:color="auto"/>
                                                        <w:right w:val="none" w:sz="0" w:space="0" w:color="auto"/>
                                                      </w:divBdr>
                                                      <w:divsChild>
                                                        <w:div w:id="3106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2510">
                                                  <w:marLeft w:val="0"/>
                                                  <w:marRight w:val="0"/>
                                                  <w:marTop w:val="0"/>
                                                  <w:marBottom w:val="0"/>
                                                  <w:divBdr>
                                                    <w:top w:val="none" w:sz="0" w:space="0" w:color="auto"/>
                                                    <w:left w:val="none" w:sz="0" w:space="0" w:color="auto"/>
                                                    <w:bottom w:val="none" w:sz="0" w:space="0" w:color="auto"/>
                                                    <w:right w:val="none" w:sz="0" w:space="0" w:color="auto"/>
                                                  </w:divBdr>
                                                  <w:divsChild>
                                                    <w:div w:id="16344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377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CF925-4A7E-4994-A5A8-9F2E97EB7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789</Words>
  <Characters>4735</Characters>
  <Application>Microsoft Office Word</Application>
  <DocSecurity>0</DocSecurity>
  <Lines>39</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KPRM</Company>
  <LinksUpToDate>false</LinksUpToDate>
  <CharactersWithSpaces>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Izabela</dc:creator>
  <cp:lastModifiedBy>Grochowska Agnieszka</cp:lastModifiedBy>
  <cp:revision>2</cp:revision>
  <cp:lastPrinted>2019-07-16T08:35:00Z</cp:lastPrinted>
  <dcterms:created xsi:type="dcterms:W3CDTF">2023-01-19T11:52:00Z</dcterms:created>
  <dcterms:modified xsi:type="dcterms:W3CDTF">2023-01-19T11:52:00Z</dcterms:modified>
</cp:coreProperties>
</file>