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76" w:rsidRDefault="002F6ACD">
      <w:pPr>
        <w:spacing w:after="112" w:line="259" w:lineRule="auto"/>
        <w:ind w:left="0" w:right="2357" w:firstLine="0"/>
        <w:jc w:val="right"/>
      </w:pPr>
      <w:bookmarkStart w:id="0" w:name="_GoBack"/>
      <w:bookmarkEnd w:id="0"/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0" w:right="2357" w:firstLine="0"/>
        <w:jc w:val="righ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0" w:right="2357" w:firstLine="0"/>
        <w:jc w:val="righ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0" w:right="2357" w:firstLine="0"/>
        <w:jc w:val="right"/>
      </w:pPr>
      <w:r>
        <w:rPr>
          <w:b/>
        </w:rPr>
        <w:t xml:space="preserve"> </w:t>
      </w:r>
    </w:p>
    <w:p w:rsidR="00C41476" w:rsidRDefault="002F6ACD">
      <w:pPr>
        <w:spacing w:after="225" w:line="259" w:lineRule="auto"/>
        <w:ind w:left="0" w:right="2357" w:firstLine="0"/>
        <w:jc w:val="right"/>
      </w:pPr>
      <w:r>
        <w:rPr>
          <w:b/>
        </w:rPr>
        <w:t xml:space="preserve"> </w:t>
      </w:r>
    </w:p>
    <w:p w:rsidR="00C41476" w:rsidRDefault="002F6ACD">
      <w:pPr>
        <w:spacing w:after="171" w:line="259" w:lineRule="auto"/>
        <w:ind w:left="510" w:firstLine="0"/>
        <w:jc w:val="center"/>
      </w:pPr>
      <w:r>
        <w:rPr>
          <w:b/>
          <w:sz w:val="36"/>
        </w:rPr>
        <w:t xml:space="preserve"> </w:t>
      </w:r>
    </w:p>
    <w:p w:rsidR="00C41476" w:rsidRDefault="002F6ACD">
      <w:pPr>
        <w:spacing w:after="171" w:line="259" w:lineRule="auto"/>
        <w:ind w:left="510" w:firstLine="0"/>
        <w:jc w:val="center"/>
      </w:pPr>
      <w:r>
        <w:rPr>
          <w:b/>
          <w:sz w:val="36"/>
        </w:rPr>
        <w:t xml:space="preserve"> </w:t>
      </w:r>
    </w:p>
    <w:p w:rsidR="00C41476" w:rsidRDefault="002F6ACD">
      <w:pPr>
        <w:spacing w:after="245" w:line="259" w:lineRule="auto"/>
        <w:ind w:left="421" w:firstLine="0"/>
        <w:jc w:val="center"/>
      </w:pPr>
      <w:r>
        <w:rPr>
          <w:b/>
          <w:sz w:val="36"/>
        </w:rPr>
        <w:t xml:space="preserve">MINISTERSTWO  </w:t>
      </w:r>
    </w:p>
    <w:p w:rsidR="00C41476" w:rsidRDefault="002F6ACD">
      <w:pPr>
        <w:spacing w:after="171" w:line="259" w:lineRule="auto"/>
        <w:ind w:left="0" w:right="1408" w:firstLine="0"/>
        <w:jc w:val="right"/>
      </w:pPr>
      <w:r>
        <w:rPr>
          <w:b/>
          <w:sz w:val="36"/>
        </w:rPr>
        <w:t xml:space="preserve">RODZINY I POLITYKI SPOŁECZNEJ </w:t>
      </w:r>
    </w:p>
    <w:p w:rsidR="00C41476" w:rsidRDefault="002F6ACD">
      <w:pPr>
        <w:spacing w:after="171" w:line="259" w:lineRule="auto"/>
        <w:ind w:left="510" w:firstLine="0"/>
        <w:jc w:val="center"/>
      </w:pPr>
      <w:r>
        <w:rPr>
          <w:b/>
          <w:sz w:val="36"/>
        </w:rPr>
        <w:t xml:space="preserve"> </w:t>
      </w:r>
    </w:p>
    <w:p w:rsidR="00C41476" w:rsidRDefault="002F6ACD">
      <w:pPr>
        <w:spacing w:after="171" w:line="259" w:lineRule="auto"/>
        <w:ind w:left="510" w:firstLine="0"/>
        <w:jc w:val="center"/>
      </w:pPr>
      <w:r>
        <w:rPr>
          <w:b/>
          <w:sz w:val="36"/>
        </w:rPr>
        <w:t xml:space="preserve"> </w:t>
      </w:r>
    </w:p>
    <w:p w:rsidR="00C41476" w:rsidRDefault="002F6ACD">
      <w:pPr>
        <w:spacing w:after="205" w:line="259" w:lineRule="auto"/>
        <w:ind w:left="510" w:firstLine="0"/>
        <w:jc w:val="center"/>
      </w:pPr>
      <w:r>
        <w:rPr>
          <w:b/>
          <w:sz w:val="36"/>
        </w:rPr>
        <w:t xml:space="preserve"> </w:t>
      </w:r>
    </w:p>
    <w:p w:rsidR="00C41476" w:rsidRDefault="002F6ACD">
      <w:pPr>
        <w:spacing w:after="274" w:line="259" w:lineRule="auto"/>
        <w:ind w:left="426" w:firstLine="0"/>
        <w:jc w:val="center"/>
      </w:pPr>
      <w:r>
        <w:rPr>
          <w:b/>
          <w:i/>
          <w:color w:val="C00000"/>
          <w:sz w:val="40"/>
        </w:rPr>
        <w:t xml:space="preserve">Program </w:t>
      </w:r>
    </w:p>
    <w:p w:rsidR="00C41476" w:rsidRDefault="002F6ACD">
      <w:pPr>
        <w:spacing w:after="34" w:line="259" w:lineRule="auto"/>
        <w:ind w:left="2770" w:firstLine="0"/>
        <w:jc w:val="left"/>
      </w:pPr>
      <w:r>
        <w:rPr>
          <w:b/>
          <w:i/>
          <w:color w:val="C00000"/>
          <w:sz w:val="40"/>
        </w:rPr>
        <w:t xml:space="preserve">„Opieka 75+” na rok 2023 </w:t>
      </w:r>
    </w:p>
    <w:p w:rsidR="00C41476" w:rsidRDefault="002F6ACD">
      <w:pPr>
        <w:spacing w:after="115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2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5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2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5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3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spacing w:after="131" w:line="259" w:lineRule="auto"/>
        <w:ind w:left="480" w:firstLine="0"/>
        <w:jc w:val="center"/>
      </w:pPr>
      <w:r>
        <w:t xml:space="preserve"> </w:t>
      </w:r>
    </w:p>
    <w:p w:rsidR="00C41476" w:rsidRDefault="002F6ACD">
      <w:pPr>
        <w:spacing w:after="156" w:line="259" w:lineRule="auto"/>
        <w:ind w:left="423" w:firstLine="0"/>
        <w:jc w:val="center"/>
      </w:pPr>
      <w:r>
        <w:t xml:space="preserve">Warszawa, październik 2022 r. </w:t>
      </w:r>
    </w:p>
    <w:p w:rsidR="00C41476" w:rsidRDefault="002F6ACD">
      <w:pPr>
        <w:spacing w:after="0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:rsidR="00C41476" w:rsidRDefault="002F6ACD">
      <w:pPr>
        <w:pStyle w:val="Nagwek2"/>
        <w:ind w:left="423"/>
      </w:pPr>
      <w:r>
        <w:lastRenderedPageBreak/>
        <w:t xml:space="preserve">SPIS TREŚCI </w:t>
      </w:r>
    </w:p>
    <w:p w:rsidR="00C41476" w:rsidRDefault="002F6ACD">
      <w:pPr>
        <w:spacing w:after="98" w:line="259" w:lineRule="auto"/>
        <w:ind w:left="428" w:firstLine="0"/>
        <w:jc w:val="left"/>
      </w:pPr>
      <w:r>
        <w:rPr>
          <w:sz w:val="28"/>
        </w:rPr>
        <w:t xml:space="preserve"> </w:t>
      </w:r>
    </w:p>
    <w:sdt>
      <w:sdtPr>
        <w:id w:val="1964769511"/>
        <w:docPartObj>
          <w:docPartGallery w:val="Table of Contents"/>
        </w:docPartObj>
      </w:sdtPr>
      <w:sdtEndPr/>
      <w:sdtContent>
        <w:p w:rsidR="00C41476" w:rsidRDefault="002F6ACD">
          <w:pPr>
            <w:pStyle w:val="Spistreci1"/>
            <w:tabs>
              <w:tab w:val="right" w:leader="dot" w:pos="9503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9648">
            <w:r>
              <w:t>Wstęp</w:t>
            </w:r>
            <w:r>
              <w:tab/>
            </w:r>
            <w:r>
              <w:fldChar w:fldCharType="begin"/>
            </w:r>
            <w:r>
              <w:instrText xml:space="preserve">PAGEREF _Toc9648 </w:instrText>
            </w:r>
            <w:r>
              <w:instrText>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49">
            <w:r>
              <w:t>I.  Podstawa prawna programu</w:t>
            </w:r>
            <w:r>
              <w:tab/>
            </w:r>
            <w:r>
              <w:fldChar w:fldCharType="begin"/>
            </w:r>
            <w:r>
              <w:instrText>PAGEREF _Toc9649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0">
            <w:r>
              <w:t>II.  Ogólne dane</w:t>
            </w:r>
            <w:r>
              <w:tab/>
            </w:r>
            <w:r>
              <w:fldChar w:fldCharType="begin"/>
            </w:r>
            <w:r>
              <w:instrText>PAGE</w:instrText>
            </w:r>
            <w:r>
              <w:instrText>REF _Toc9650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1">
            <w:r>
              <w:t>III.  Cele programu</w:t>
            </w:r>
            <w:r>
              <w:tab/>
            </w:r>
            <w:r>
              <w:fldChar w:fldCharType="begin"/>
            </w:r>
            <w:r>
              <w:instrText>PAGEREF _Toc9651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2">
            <w:r>
              <w:t>IV.  Adre</w:t>
            </w:r>
            <w:r>
              <w:t>saci programu</w:t>
            </w:r>
            <w:r>
              <w:tab/>
            </w:r>
            <w:r>
              <w:fldChar w:fldCharType="begin"/>
            </w:r>
            <w:r>
              <w:instrText>PAGEREF _Toc9652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3">
            <w:r>
              <w:t>V.  Zakres podmiotowy i przedmiotowy programu</w:t>
            </w:r>
            <w:r>
              <w:tab/>
            </w:r>
            <w:r>
              <w:fldChar w:fldCharType="begin"/>
            </w:r>
            <w:r>
              <w:instrText>PAGEREF _Toc9653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4">
            <w:r>
              <w:t>VI.  Finansowanie programu oraz warunki przyznawania gminom środków budżetu państwa przeznaczonych na realizację programu</w:t>
            </w:r>
            <w:r>
              <w:tab/>
            </w:r>
            <w:r>
              <w:fldChar w:fldCharType="begin"/>
            </w:r>
            <w:r>
              <w:instrText>PAGEREF _Toc9654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5">
            <w:r>
              <w:t>VII. Zasady podziału środków budżetu państwa na realizację programu</w:t>
            </w:r>
            <w:r>
              <w:tab/>
            </w:r>
            <w:r>
              <w:fldChar w:fldCharType="begin"/>
            </w:r>
            <w:r>
              <w:instrText>PAGEREF _Toc9655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6">
            <w:r>
              <w:t>VIII. Zadania podmiotów uczestniczących w realizacji pr</w:t>
            </w:r>
            <w:r>
              <w:t>ogramu</w:t>
            </w:r>
            <w:r>
              <w:tab/>
            </w:r>
            <w:r>
              <w:fldChar w:fldCharType="begin"/>
            </w:r>
            <w:r>
              <w:instrText>PAGEREF _Toc9656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C41476" w:rsidRDefault="002F6ACD">
          <w:pPr>
            <w:pStyle w:val="Spistreci1"/>
            <w:tabs>
              <w:tab w:val="right" w:leader="dot" w:pos="9503"/>
            </w:tabs>
          </w:pPr>
          <w:hyperlink w:anchor="_Toc9657">
            <w:r>
              <w:t>IX.  Monitoring programu</w:t>
            </w:r>
            <w:r>
              <w:tab/>
            </w:r>
            <w:r>
              <w:fldChar w:fldCharType="begin"/>
            </w:r>
            <w:r>
              <w:instrText>PAGEREF _Toc9657 \h</w:instrText>
            </w:r>
            <w:r>
              <w:fldChar w:fldCharType="separate"/>
            </w:r>
            <w:r>
              <w:t xml:space="preserve">9  </w:t>
            </w:r>
            <w:r>
              <w:fldChar w:fldCharType="end"/>
            </w:r>
          </w:hyperlink>
        </w:p>
        <w:p w:rsidR="00C41476" w:rsidRDefault="002F6ACD">
          <w:r>
            <w:fldChar w:fldCharType="end"/>
          </w:r>
        </w:p>
      </w:sdtContent>
    </w:sdt>
    <w:p w:rsidR="00C41476" w:rsidRDefault="002F6ACD">
      <w:pPr>
        <w:spacing w:after="25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3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2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115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:rsidR="00C41476" w:rsidRDefault="002F6ACD">
      <w:pPr>
        <w:pStyle w:val="Nagwek1"/>
        <w:numPr>
          <w:ilvl w:val="0"/>
          <w:numId w:val="0"/>
        </w:numPr>
        <w:ind w:left="423"/>
      </w:pPr>
      <w:bookmarkStart w:id="1" w:name="_Toc9648"/>
      <w:r>
        <w:lastRenderedPageBreak/>
        <w:t xml:space="preserve">Wstęp  </w:t>
      </w:r>
      <w:bookmarkEnd w:id="1"/>
    </w:p>
    <w:p w:rsidR="00C41476" w:rsidRDefault="002F6ACD">
      <w:pPr>
        <w:ind w:left="413" w:firstLine="708"/>
      </w:pPr>
      <w:r>
        <w:t xml:space="preserve">Wyznaczanie nowych kierunków działań w krajowej polityce społecznej kierowanych do </w:t>
      </w:r>
      <w:r>
        <w:t>rodzin i ich członków zamieszkujących na terenie Polski, jak również zachodzące procesy demograficzne oraz doświadczenie zdobyte podczas realizacji programu „Opieka 75+” w latach poprzednich wpłynęło na opracowanie oraz ogłoszenie kolejnej edycji ww. progr</w:t>
      </w:r>
      <w:r>
        <w:t xml:space="preserve">amu na rok 2023, który ma na celu zwiększenie dostępności do usług opiekuńczych, w tym specjalistycznych usług opiekuńczych dla osób w wieku 75 lat i więcej.  </w:t>
      </w:r>
    </w:p>
    <w:p w:rsidR="00C41476" w:rsidRDefault="002F6ACD">
      <w:pPr>
        <w:ind w:left="413" w:firstLine="708"/>
      </w:pPr>
      <w:r>
        <w:t>Konieczność dalszego udzielania finansowego wsparcia gminom w ww. zakresie wynika z coraz bardzi</w:t>
      </w:r>
      <w:r>
        <w:t xml:space="preserve">ej zauważalnych i postępujących procesów demograficznych, prowadzących do starzenia się społeczeństwa. </w:t>
      </w:r>
    </w:p>
    <w:p w:rsidR="00C41476" w:rsidRDefault="002F6ACD">
      <w:pPr>
        <w:ind w:left="423"/>
      </w:pPr>
      <w:r>
        <w:t xml:space="preserve"> Jedną z form wspierania osób starszych określoną w przepisach o pomocy społecznej  są usługi opiekuńcze, w tym również specjalistyczne usługi opiekuńcz</w:t>
      </w:r>
      <w:r>
        <w:t xml:space="preserve">e, których głównym celem jest pomoc w zaspokajaniu codziennych potrzeb życiowych oraz zapewnienie kontaktów z otoczeniem.  </w:t>
      </w:r>
    </w:p>
    <w:p w:rsidR="00C41476" w:rsidRDefault="002F6ACD">
      <w:pPr>
        <w:ind w:left="413" w:firstLine="708"/>
      </w:pPr>
      <w:r>
        <w:t>Liczba osób korzystających z tej formy wsparcia stale rośnie, a główną grupą  jej beneficjentów są osoby w wieku 75 lat i więcej, cz</w:t>
      </w:r>
      <w:r>
        <w:t xml:space="preserve">ęsto mieszkające samotnie. </w:t>
      </w:r>
    </w:p>
    <w:p w:rsidR="00C41476" w:rsidRDefault="002F6ACD">
      <w:pPr>
        <w:ind w:left="413" w:firstLine="708"/>
      </w:pPr>
      <w:r>
        <w:t>Niekorzystna sytuacja demograficzna jest szczególnie widoczna w małych gminach,  w których proces starzenia się społeczeństwa zachodzi znacznie szybciej niż w skali kraju.  Z uwagi na fakt, że organizowanie i świadczenie usług o</w:t>
      </w:r>
      <w:r>
        <w:t xml:space="preserve">piekuńczych, w tym specjalistycznych usług opiekuńczych, jest zadaniem własnym gmin, finansowanym z ich środków własnych, zapewnienie tego rodzaju usług może być utrudnione, szczególnie w małych gminach.  </w:t>
      </w:r>
    </w:p>
    <w:p w:rsidR="00C41476" w:rsidRDefault="002F6ACD">
      <w:pPr>
        <w:ind w:left="413" w:firstLine="708"/>
      </w:pPr>
      <w:r>
        <w:t>W związku z powyższym została opracowana kolejna e</w:t>
      </w:r>
      <w:r>
        <w:t xml:space="preserve">dycja przedmiotowego programu na 2023 r., mającego na celu zwiększenie dostępności do usług opiekuńczych, w tym  specjalistycznych usług opiekuńczych, dla osób w wieku 75 lat i więcej, które mieszkają na terenach gmin do 60 tys. mieszkańców.  </w:t>
      </w:r>
    </w:p>
    <w:p w:rsidR="00C41476" w:rsidRDefault="002F6ACD">
      <w:pPr>
        <w:ind w:left="413" w:firstLine="708"/>
      </w:pPr>
      <w:r>
        <w:t>W ramach pro</w:t>
      </w:r>
      <w:r>
        <w:t xml:space="preserve">gramu „Opieka 75+” wsparciem będzie można objąć osoby nowe, które po raz pierwszy skorzystają z usług opiekuńczych, w tym specjalistycznych usług opiekuńczych, jak również osoby, które korzystały już wcześniej z programu i będą go kontynuowały oraz osoby, </w:t>
      </w:r>
      <w:r>
        <w:t xml:space="preserve">które będą miały zwiększoną liczbę godzin ww. usług. </w:t>
      </w:r>
    </w:p>
    <w:p w:rsidR="00C41476" w:rsidRDefault="002F6ACD">
      <w:pPr>
        <w:spacing w:after="131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:rsidR="00C41476" w:rsidRDefault="002F6ACD">
      <w:pPr>
        <w:spacing w:after="131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:rsidR="00C41476" w:rsidRDefault="002F6ACD">
      <w:pPr>
        <w:spacing w:after="131" w:line="259" w:lineRule="auto"/>
        <w:ind w:left="428" w:firstLine="0"/>
        <w:jc w:val="left"/>
      </w:pPr>
      <w:r>
        <w:rPr>
          <w:b/>
          <w:sz w:val="28"/>
        </w:rPr>
        <w:lastRenderedPageBreak/>
        <w:t xml:space="preserve"> </w:t>
      </w:r>
    </w:p>
    <w:p w:rsidR="00C41476" w:rsidRDefault="002F6ACD">
      <w:pPr>
        <w:spacing w:after="0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:rsidR="00C41476" w:rsidRDefault="002F6ACD">
      <w:pPr>
        <w:pStyle w:val="Nagwek1"/>
        <w:spacing w:after="91"/>
        <w:ind w:left="662" w:hanging="249"/>
      </w:pPr>
      <w:bookmarkStart w:id="2" w:name="_Toc9649"/>
      <w:r>
        <w:t xml:space="preserve">Podstawa prawna programu </w:t>
      </w:r>
      <w:bookmarkEnd w:id="2"/>
    </w:p>
    <w:p w:rsidR="00C41476" w:rsidRDefault="002F6ACD">
      <w:pPr>
        <w:ind w:left="413" w:firstLine="708"/>
      </w:pPr>
      <w:r>
        <w:t>Program „Opieka 75+”, zwany dalej „programem”, stanowi informację zawierającą wskazówki dotyczące możliwości uzyskania przez gminy wsparcia finansowego w roku 2023 w za</w:t>
      </w:r>
      <w:r>
        <w:t>kresie realizacji zadania własnego o charakterze obowiązkowym, określonego  w</w:t>
      </w:r>
      <w:hyperlink r:id="rId7" w:anchor="hiperlinkText.rpc">
        <w:r>
          <w:t xml:space="preserve"> </w:t>
        </w:r>
      </w:hyperlink>
      <w:hyperlink r:id="rId8" w:anchor="hiperlinkText.rpc">
        <w:r>
          <w:t>art.</w:t>
        </w:r>
      </w:hyperlink>
      <w:hyperlink r:id="rId9" w:anchor="hiperlinkText.rpc">
        <w:r>
          <w:t xml:space="preserve"> </w:t>
        </w:r>
      </w:hyperlink>
      <w:hyperlink r:id="rId10" w:anchor="hiperlinkText.rpc">
        <w:r>
          <w:t>17 ust.</w:t>
        </w:r>
      </w:hyperlink>
      <w:hyperlink r:id="rId11" w:anchor="hiperlinkText.rpc">
        <w:r>
          <w:t xml:space="preserve"> </w:t>
        </w:r>
      </w:hyperlink>
      <w:hyperlink r:id="rId12" w:anchor="hiperlinkText.rpc">
        <w:r>
          <w:t>1 pkt 1</w:t>
        </w:r>
      </w:hyperlink>
      <w:r>
        <w:t>1 ustawy z dnia 12 marca 2004 r. o pomocy społecznej (Dz. U. z 2021 r. poz. 2268</w:t>
      </w:r>
      <w:r>
        <w:t xml:space="preserve">, z </w:t>
      </w:r>
      <w:proofErr w:type="spellStart"/>
      <w:r>
        <w:t>późn</w:t>
      </w:r>
      <w:proofErr w:type="spellEnd"/>
      <w:r>
        <w:t xml:space="preserve">. zm.), zwanej dalej „ustawą o pomocy społecznej”, tj. świadczenia usług opiekuńczych, w tym specjalistycznych usług, w miejscu zamieszkania (z wyłączeniem specjalistycznych usług opiekuńczych dla osób z zaburzeniami psychicznymi).  </w:t>
      </w:r>
    </w:p>
    <w:p w:rsidR="00C41476" w:rsidRDefault="002F6ACD">
      <w:pPr>
        <w:ind w:left="413" w:firstLine="708"/>
      </w:pPr>
      <w:r>
        <w:t>W ramach progr</w:t>
      </w:r>
      <w:r>
        <w:t xml:space="preserve">amu wsparcia finansowego dla gmin udziela się na podstawie  </w:t>
      </w:r>
      <w:hyperlink r:id="rId13" w:anchor="hiperlinkText.rpc">
        <w:r>
          <w:t>art.</w:t>
        </w:r>
      </w:hyperlink>
      <w:hyperlink r:id="rId14" w:anchor="hiperlinkText.rpc">
        <w:r>
          <w:t xml:space="preserve"> </w:t>
        </w:r>
      </w:hyperlink>
      <w:hyperlink r:id="rId15" w:anchor="hiperlinkText.rpc">
        <w:r>
          <w:t>115 ust.</w:t>
        </w:r>
      </w:hyperlink>
      <w:hyperlink r:id="rId16" w:anchor="hiperlinkText.rpc">
        <w:r>
          <w:t xml:space="preserve"> </w:t>
        </w:r>
      </w:hyperlink>
      <w:hyperlink r:id="rId17" w:anchor="hiperlinkText.rpc">
        <w:r>
          <w:t>1</w:t>
        </w:r>
      </w:hyperlink>
      <w:hyperlink r:id="rId18" w:anchor="hiperlinkText.rpc">
        <w:r>
          <w:t xml:space="preserve"> </w:t>
        </w:r>
      </w:hyperlink>
      <w:r>
        <w:t xml:space="preserve">ustawy o pomocy społecznej, przy czym wysokość dotacji celowej z budżetu państwa nie może przekroczyć </w:t>
      </w:r>
      <w:r>
        <w:rPr>
          <w:b/>
        </w:rPr>
        <w:t>60%</w:t>
      </w:r>
      <w:r>
        <w:t xml:space="preserve"> kosztów realizacji zadania.  </w:t>
      </w:r>
    </w:p>
    <w:p w:rsidR="00C41476" w:rsidRDefault="002F6ACD">
      <w:pPr>
        <w:spacing w:after="211" w:line="259" w:lineRule="auto"/>
        <w:ind w:left="1136" w:firstLine="0"/>
        <w:jc w:val="left"/>
      </w:pPr>
      <w:r>
        <w:t xml:space="preserve"> </w:t>
      </w:r>
    </w:p>
    <w:p w:rsidR="00C41476" w:rsidRDefault="002F6ACD">
      <w:pPr>
        <w:pStyle w:val="Nagwek1"/>
        <w:ind w:left="772" w:hanging="359"/>
      </w:pPr>
      <w:bookmarkStart w:id="3" w:name="_Toc9650"/>
      <w:r>
        <w:t xml:space="preserve">Ogólne dane </w:t>
      </w:r>
      <w:bookmarkEnd w:id="3"/>
    </w:p>
    <w:p w:rsidR="00C41476" w:rsidRDefault="002F6ACD">
      <w:pPr>
        <w:spacing w:after="108" w:line="259" w:lineRule="auto"/>
        <w:ind w:left="423"/>
        <w:jc w:val="left"/>
      </w:pPr>
      <w:r>
        <w:rPr>
          <w:b/>
        </w:rPr>
        <w:t xml:space="preserve">Usługi opiekuńcze i specjalistyczne usługi opiekuńcze </w:t>
      </w:r>
    </w:p>
    <w:p w:rsidR="00C41476" w:rsidRDefault="002F6ACD">
      <w:pPr>
        <w:ind w:left="413" w:firstLine="708"/>
      </w:pPr>
      <w:r>
        <w:t xml:space="preserve">Organizowanie oraz świadczenie usług opiekuńczych jest zadaniem własnym gminy o charakterze obowiązkowym, finansowanym ze </w:t>
      </w:r>
      <w:r>
        <w:t xml:space="preserve">środków własnych gminy. Jest to forma wspierania osób, które z powodu wieku, choroby lub innych przyczyn wymagają pomocy innych osób. Głównym celem usług opiekuńczych jest pomoc w zaspokajaniu codziennych potrzeb życiowych, świadczenie opieki higienicznej </w:t>
      </w:r>
      <w:r>
        <w:t xml:space="preserve">lub pielęgnacji zaleconej przez lekarza oraz zapewnienie – w miarę możliwości ośrodka pomocy społecznej/centrum usług społecznych – kontaktów z otoczeniem.  </w:t>
      </w:r>
    </w:p>
    <w:p w:rsidR="00C41476" w:rsidRDefault="002F6ACD">
      <w:pPr>
        <w:ind w:left="413" w:firstLine="708"/>
      </w:pPr>
      <w:r>
        <w:t>Odnosząc się do danych sprawozdawczych z realizacji programu „Opieka 75+” wynika, że zainteresowan</w:t>
      </w:r>
      <w:r>
        <w:t>ie gmin przystąpieniem do jego realizacji, z roku na rok rośnie. W 2018 r.  do programu przystąpiły 394 gminy. Koszt jego realizacji wyniósł prawie 4,5 mln zł a usługami opiekuńczymi objęto 2 802 osoby. Natomiast  z analizy sprawozdań z realizacji programu</w:t>
      </w:r>
      <w:r>
        <w:t xml:space="preserve"> w roku 2019 przesłanych przez Wojewodów wynika, że program realizowało 435 gmin z usługami dla 5 143 osób na kwotę ponad 9,5 mln zł. W roku 2020 do realizacji programu przystąpiło 509 gmin z usługami dla 7 343 osób. Oszacowana przez Wojewodów wysokość śro</w:t>
      </w:r>
      <w:r>
        <w:t xml:space="preserve">dków wydatkowanych na realizację programu „Opieka 75+” – edycja 2020 wyniosła ponad </w:t>
      </w:r>
    </w:p>
    <w:p w:rsidR="00C41476" w:rsidRDefault="002F6ACD">
      <w:pPr>
        <w:ind w:left="423"/>
      </w:pPr>
      <w:r>
        <w:lastRenderedPageBreak/>
        <w:t>15,0 mln zł. Natomiast w roku 2021 program realizowało 570 gmin a usługami opiekuńczymi objęto 9 380 osób na kwotę ponad 22,5 mln zł. W roku 2022 przystąpienie do realizac</w:t>
      </w:r>
      <w:r>
        <w:t xml:space="preserve">ji programu zadeklarowało 616 gmin szacując, że usługami opiekuńczymi zostanie objętych 9 586 osób na kwotę ponad 38 mln zł. </w:t>
      </w:r>
    </w:p>
    <w:p w:rsidR="00C41476" w:rsidRDefault="002F6ACD">
      <w:pPr>
        <w:ind w:left="413" w:firstLine="708"/>
      </w:pPr>
      <w:r>
        <w:t>Program jest odpowiedzią na obserwowany wzrost zapotrzebowania na usługi opiekuńcze w jego ramach, co w konsekwencji prowadzi do w</w:t>
      </w:r>
      <w:r>
        <w:t xml:space="preserve">zrostu kosztu jego realizacji.  </w:t>
      </w:r>
    </w:p>
    <w:p w:rsidR="00C41476" w:rsidRDefault="002F6ACD">
      <w:pPr>
        <w:ind w:left="413" w:firstLine="708"/>
      </w:pPr>
      <w:r>
        <w:t>Celem programu jest wsparcie finansowe samorządów gminnych w realizacji tego zadania w gminach do 60 tys. mieszkańców: wiejskich, miejskich i miejsko-wiejskich, które realizują usługi opiekuńcze samodzielnie (tj. przez prac</w:t>
      </w:r>
      <w:r>
        <w:t>owników ośrodków pomocy społecznej/centrów usług społecznych, urzędów gmin, lub innych gminnych jednostek organizacyjnych) lub poprzez zlecanie realizacji przedmiotowego zadania organizacjom pozarządowym, o których mowa w art. 25 ust. 1 ustawy o pomocy spo</w:t>
      </w:r>
      <w:r>
        <w:t xml:space="preserve">łecznej, tj. organizacjom pozarządowym, o których mowa w art. 3 ust. 2 ustawy z dnia 24 kwietnia 2003 r. o działalności pożytku publicznego i o wolontariacie (Dz. U. z 2022 r. poz. 1327, z </w:t>
      </w:r>
      <w:proofErr w:type="spellStart"/>
      <w:r>
        <w:t>późn</w:t>
      </w:r>
      <w:proofErr w:type="spellEnd"/>
      <w:r>
        <w:t xml:space="preserve">. zm.), zwanej dalej </w:t>
      </w:r>
    </w:p>
    <w:p w:rsidR="00C41476" w:rsidRDefault="002F6ACD">
      <w:pPr>
        <w:ind w:left="423"/>
      </w:pPr>
      <w:r>
        <w:t>„ustawą o działalności pożytku publiczneg</w:t>
      </w:r>
      <w:r>
        <w:t xml:space="preserve">o i o wolontariacie”, oraz podmiotom wymienionym  w art. 3 ust. 3 pkt 1 i 3 tej ustawy, lub poprzez zakup przedmiotowych usług od podmiotów sektora prywatnego.  </w:t>
      </w:r>
    </w:p>
    <w:p w:rsidR="00C41476" w:rsidRDefault="002F6ACD">
      <w:pPr>
        <w:spacing w:after="162" w:line="259" w:lineRule="auto"/>
        <w:ind w:left="423"/>
        <w:jc w:val="left"/>
      </w:pPr>
      <w:r>
        <w:rPr>
          <w:b/>
        </w:rPr>
        <w:t>Świadczenie usług opiekuńczych w gminach</w:t>
      </w:r>
      <w:r>
        <w:t xml:space="preserve"> </w:t>
      </w:r>
    </w:p>
    <w:p w:rsidR="00C41476" w:rsidRDefault="002F6ACD">
      <w:pPr>
        <w:ind w:left="413" w:firstLine="708"/>
      </w:pPr>
      <w:r>
        <w:t>Z analizy danych wynika, że w niektórych gminach usł</w:t>
      </w:r>
      <w:r>
        <w:t>ugi opiekuńcze,  w tym specjalistyczne usługi opiekuńcze, świadczone są jednocześnie zarówno przez pracowników zatrudnionych przez jednostkę organizacyjną gminy (ośrodek pomocy społecznej/centrum usług społecznych), jak i przez zlecenie wykonania tych usłu</w:t>
      </w:r>
      <w:r>
        <w:t xml:space="preserve">g oraz poprzez ich zakup od podmiotów prywatnych. </w:t>
      </w:r>
    </w:p>
    <w:p w:rsidR="00C41476" w:rsidRDefault="002F6ACD">
      <w:pPr>
        <w:spacing w:after="153" w:line="259" w:lineRule="auto"/>
        <w:ind w:left="1136" w:firstLine="0"/>
        <w:jc w:val="left"/>
      </w:pPr>
      <w:r>
        <w:t xml:space="preserve"> </w:t>
      </w:r>
    </w:p>
    <w:p w:rsidR="00C41476" w:rsidRDefault="002F6ACD">
      <w:pPr>
        <w:pStyle w:val="Nagwek1"/>
        <w:ind w:left="881" w:hanging="468"/>
      </w:pPr>
      <w:bookmarkStart w:id="4" w:name="_Toc9651"/>
      <w:r>
        <w:t xml:space="preserve">Cele programu </w:t>
      </w:r>
      <w:bookmarkEnd w:id="4"/>
    </w:p>
    <w:p w:rsidR="00C41476" w:rsidRDefault="002F6ACD">
      <w:pPr>
        <w:ind w:left="413" w:firstLine="708"/>
      </w:pPr>
      <w:r>
        <w:t>Strategicznym celem programu jest poprawa dostępności do usług opiekuńczych,  w tym specjalistycznych usług opiekuńczych, dla osób w wieku 75 lat i więcej, które są osobami samotnymi (zgod</w:t>
      </w:r>
      <w:r>
        <w:t xml:space="preserve">nie z art. 6 pkt 9 ustawy o pomocy społecznej) lub są osobami samotnie gospodarującymi (zgodnie z art. 6 pkt 10 ustawy o pomocy społecznej), a także tych, które pozostają w rodzinie.  </w:t>
      </w:r>
    </w:p>
    <w:p w:rsidR="00C41476" w:rsidRDefault="002F6ACD">
      <w:pPr>
        <w:spacing w:after="161" w:line="259" w:lineRule="auto"/>
        <w:ind w:left="423"/>
      </w:pPr>
      <w:r>
        <w:t xml:space="preserve">Program jest elementem polityki społecznej państwa w zakresie:  </w:t>
      </w:r>
    </w:p>
    <w:p w:rsidR="00C41476" w:rsidRDefault="002F6ACD">
      <w:pPr>
        <w:numPr>
          <w:ilvl w:val="0"/>
          <w:numId w:val="1"/>
        </w:numPr>
        <w:ind w:hanging="283"/>
      </w:pPr>
      <w:r>
        <w:lastRenderedPageBreak/>
        <w:t>Zapewn</w:t>
      </w:r>
      <w:r>
        <w:t xml:space="preserve">ienia ww. osobom wsparcia i pomocy adekwatnej do potrzeb i możliwości wynikających z wieku i stanu zdrowia, w ramach usług opiekuńczych, w tym specjalistycznych usług opiekuńczych. </w:t>
      </w:r>
    </w:p>
    <w:p w:rsidR="00C41476" w:rsidRDefault="002F6ACD">
      <w:pPr>
        <w:numPr>
          <w:ilvl w:val="0"/>
          <w:numId w:val="1"/>
        </w:numPr>
        <w:spacing w:after="161" w:line="259" w:lineRule="auto"/>
        <w:ind w:hanging="283"/>
      </w:pPr>
      <w:r>
        <w:t xml:space="preserve">Poprawy jakości życia osób w wieku 75 lat i więcej. </w:t>
      </w:r>
    </w:p>
    <w:p w:rsidR="00C41476" w:rsidRDefault="002F6ACD">
      <w:pPr>
        <w:numPr>
          <w:ilvl w:val="0"/>
          <w:numId w:val="1"/>
        </w:numPr>
        <w:ind w:hanging="283"/>
      </w:pPr>
      <w:r>
        <w:t>Umożliwienia gminom r</w:t>
      </w:r>
      <w:r>
        <w:t xml:space="preserve">ozszerzenia oferty usług opiekuńczych, w tym specjalistycznych usług opiekuńczych dla osób w wieku 75 lat i więcej. </w:t>
      </w:r>
    </w:p>
    <w:p w:rsidR="00C41476" w:rsidRDefault="002F6ACD">
      <w:pPr>
        <w:numPr>
          <w:ilvl w:val="0"/>
          <w:numId w:val="1"/>
        </w:numPr>
        <w:spacing w:after="112" w:line="259" w:lineRule="auto"/>
        <w:ind w:hanging="283"/>
      </w:pPr>
      <w:r>
        <w:t xml:space="preserve">Wsparcia finansowego gmin w wypełnianiu zadań własnych o charakterze obowiązkowym. </w:t>
      </w:r>
    </w:p>
    <w:p w:rsidR="00C41476" w:rsidRDefault="002F6ACD">
      <w:pPr>
        <w:spacing w:after="0" w:line="259" w:lineRule="auto"/>
        <w:ind w:left="0" w:firstLine="0"/>
        <w:jc w:val="left"/>
      </w:pPr>
      <w:r>
        <w:t xml:space="preserve"> </w:t>
      </w:r>
    </w:p>
    <w:p w:rsidR="00C41476" w:rsidRDefault="002F6ACD">
      <w:pPr>
        <w:pStyle w:val="Nagwek1"/>
        <w:ind w:left="864" w:hanging="451"/>
      </w:pPr>
      <w:bookmarkStart w:id="5" w:name="_Toc9652"/>
      <w:r>
        <w:t xml:space="preserve">Adresaci programu </w:t>
      </w:r>
      <w:bookmarkEnd w:id="5"/>
    </w:p>
    <w:p w:rsidR="00C41476" w:rsidRDefault="002F6ACD">
      <w:pPr>
        <w:spacing w:after="116" w:line="259" w:lineRule="auto"/>
        <w:ind w:left="423"/>
      </w:pPr>
      <w:r>
        <w:t xml:space="preserve">Program adresowany jest do gmin do 60 tys. mieszkańców, w tym: </w:t>
      </w:r>
    </w:p>
    <w:p w:rsidR="00C41476" w:rsidRDefault="002F6ACD">
      <w:pPr>
        <w:numPr>
          <w:ilvl w:val="0"/>
          <w:numId w:val="2"/>
        </w:numPr>
        <w:spacing w:after="118" w:line="259" w:lineRule="auto"/>
        <w:ind w:hanging="286"/>
      </w:pPr>
      <w:r>
        <w:t xml:space="preserve">gmin wiejskich; </w:t>
      </w:r>
    </w:p>
    <w:p w:rsidR="00C41476" w:rsidRDefault="002F6ACD">
      <w:pPr>
        <w:numPr>
          <w:ilvl w:val="0"/>
          <w:numId w:val="2"/>
        </w:numPr>
        <w:spacing w:after="116" w:line="259" w:lineRule="auto"/>
        <w:ind w:hanging="286"/>
      </w:pPr>
      <w:r>
        <w:t xml:space="preserve">gmin miejskich; </w:t>
      </w:r>
    </w:p>
    <w:p w:rsidR="00C41476" w:rsidRDefault="002F6ACD">
      <w:pPr>
        <w:numPr>
          <w:ilvl w:val="0"/>
          <w:numId w:val="2"/>
        </w:numPr>
        <w:spacing w:after="162" w:line="259" w:lineRule="auto"/>
        <w:ind w:hanging="286"/>
      </w:pPr>
      <w:r>
        <w:t xml:space="preserve">gmin miejsko-wiejskich. </w:t>
      </w:r>
    </w:p>
    <w:p w:rsidR="00C41476" w:rsidRDefault="002F6ACD">
      <w:pPr>
        <w:ind w:left="423"/>
      </w:pPr>
      <w:r>
        <w:t>W ramach programu gmina może skorzystać z dofinansowania ze środków budżetu państwa  na świadczenie usług opiekuńczych, w tym specjal</w:t>
      </w:r>
      <w:r>
        <w:t xml:space="preserve">istycznych usług opiekuńczych, jeżeli: </w:t>
      </w:r>
    </w:p>
    <w:p w:rsidR="00C41476" w:rsidRDefault="002F6ACD">
      <w:pPr>
        <w:numPr>
          <w:ilvl w:val="0"/>
          <w:numId w:val="3"/>
        </w:numPr>
        <w:ind w:hanging="283"/>
      </w:pPr>
      <w:r>
        <w:t xml:space="preserve">dane świadczenie realizuje samodzielnie, tj. przez pracowników ośrodka pomocy społecznej/centrum usług społecznych, urzędu gminy lub innych gminnych jednostek organizacyjnych (zatrudnionych na umowę o pracę), lub </w:t>
      </w:r>
    </w:p>
    <w:p w:rsidR="00C41476" w:rsidRDefault="002F6ACD">
      <w:pPr>
        <w:numPr>
          <w:ilvl w:val="0"/>
          <w:numId w:val="3"/>
        </w:numPr>
        <w:ind w:hanging="283"/>
      </w:pPr>
      <w:r>
        <w:t>zl</w:t>
      </w:r>
      <w:r>
        <w:t>eca realizację przedmiotowego zadania organizacjom pozarządowym, o których mowa w art. 25 ust. 1 ustawy o pomocy społecznej, tj. organizacjom pozarządowym, o których mowa w art. 3 ust. 2 ustawy o działalności pożytku publicznego  i o wolontariacie, oraz po</w:t>
      </w:r>
      <w:r>
        <w:t xml:space="preserve">dmiotom wymienionym w art. 3 ust. 3 pkt 1 i 3 tej ustawy, lub </w:t>
      </w:r>
    </w:p>
    <w:p w:rsidR="00C41476" w:rsidRDefault="002F6ACD">
      <w:pPr>
        <w:numPr>
          <w:ilvl w:val="0"/>
          <w:numId w:val="3"/>
        </w:numPr>
        <w:spacing w:after="115" w:line="259" w:lineRule="auto"/>
        <w:ind w:hanging="283"/>
      </w:pPr>
      <w:r>
        <w:t xml:space="preserve">kupuje usługi opiekuńcze od podmiotów sektora prywatnego. </w:t>
      </w:r>
    </w:p>
    <w:p w:rsidR="00C41476" w:rsidRDefault="002F6ACD">
      <w:pPr>
        <w:spacing w:after="153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pStyle w:val="Nagwek1"/>
        <w:ind w:left="756" w:hanging="343"/>
      </w:pPr>
      <w:bookmarkStart w:id="6" w:name="_Toc9653"/>
      <w:r>
        <w:t xml:space="preserve">Zakres podmiotowy i przedmiotowy programu </w:t>
      </w:r>
      <w:bookmarkEnd w:id="6"/>
    </w:p>
    <w:p w:rsidR="00C41476" w:rsidRDefault="002F6ACD">
      <w:pPr>
        <w:numPr>
          <w:ilvl w:val="0"/>
          <w:numId w:val="4"/>
        </w:numPr>
        <w:ind w:hanging="283"/>
      </w:pPr>
      <w:r>
        <w:t xml:space="preserve">Program zakłada wsparcie finansowe gmin w zakresie świadczenia usług opiekuńczych,  </w:t>
      </w:r>
      <w:r>
        <w:t xml:space="preserve">w tym specjalistycznych usług opiekuńczych dla osób w wieku 75 lat i więcej, spełniających warunki do udzielenia pomocy wskazane w ustawie o pomocy społecznej. </w:t>
      </w:r>
    </w:p>
    <w:p w:rsidR="00C41476" w:rsidRDefault="002F6ACD">
      <w:pPr>
        <w:numPr>
          <w:ilvl w:val="0"/>
          <w:numId w:val="4"/>
        </w:numPr>
        <w:ind w:hanging="283"/>
      </w:pPr>
      <w:r>
        <w:t>Program rekomenduje niepobieranie odpłatności za usługi opiekuńcze, w tym specjalistyczne usług</w:t>
      </w:r>
      <w:r>
        <w:t xml:space="preserve">i opiekuńcze świadczone dla osób w wieku 75 lat i więcej, których dochód nie przekracza 250% obowiązującego od 1 stycznia 2022 r. kryterium dochodowego, określonego w art. 8 ustawy o pomocy społecznej. </w:t>
      </w:r>
    </w:p>
    <w:p w:rsidR="00C41476" w:rsidRDefault="002F6ACD">
      <w:pPr>
        <w:numPr>
          <w:ilvl w:val="0"/>
          <w:numId w:val="4"/>
        </w:numPr>
        <w:spacing w:after="162" w:line="259" w:lineRule="auto"/>
        <w:ind w:hanging="283"/>
      </w:pPr>
      <w:r>
        <w:lastRenderedPageBreak/>
        <w:t>Środki finansowe z programu mogą być przeznaczone na:</w:t>
      </w:r>
      <w:r>
        <w:t xml:space="preserve"> </w:t>
      </w:r>
    </w:p>
    <w:p w:rsidR="00C41476" w:rsidRDefault="002F6ACD">
      <w:pPr>
        <w:numPr>
          <w:ilvl w:val="1"/>
          <w:numId w:val="4"/>
        </w:numPr>
        <w:ind w:hanging="360"/>
      </w:pPr>
      <w:r>
        <w:t xml:space="preserve">dofinansowanie do usług opiekuńczych, w tym specjalistycznych usług opiekuńczych dla osób, którym przedmiotowe usługi były świadczone w ramach programu i będą kontynuowane w roku 2023; </w:t>
      </w:r>
    </w:p>
    <w:p w:rsidR="00C41476" w:rsidRDefault="002F6ACD">
      <w:pPr>
        <w:numPr>
          <w:ilvl w:val="1"/>
          <w:numId w:val="4"/>
        </w:numPr>
        <w:ind w:hanging="360"/>
      </w:pPr>
      <w:r>
        <w:t>dofinansowanie do usług opiekuńczych lub specjalistycznych usług opi</w:t>
      </w:r>
      <w:r>
        <w:t xml:space="preserve">ekuńczych dla osób, którym w roku 2022 te usługi nie były świadczone (osoby nowe); </w:t>
      </w:r>
    </w:p>
    <w:p w:rsidR="00C41476" w:rsidRDefault="002F6ACD">
      <w:pPr>
        <w:numPr>
          <w:ilvl w:val="1"/>
          <w:numId w:val="4"/>
        </w:numPr>
        <w:ind w:hanging="360"/>
      </w:pPr>
      <w:r>
        <w:t xml:space="preserve">dofinansowanie do zwiększenia liczby godzin usług opiekuńczych, w tym specjalistycznych usług opiekuńczych dla osób w wieku 75 lat i więcej. </w:t>
      </w:r>
    </w:p>
    <w:p w:rsidR="00C41476" w:rsidRDefault="002F6ACD">
      <w:pPr>
        <w:numPr>
          <w:ilvl w:val="0"/>
          <w:numId w:val="4"/>
        </w:numPr>
        <w:ind w:hanging="283"/>
      </w:pPr>
      <w:r>
        <w:t>W ramach programu dopuszcza si</w:t>
      </w:r>
      <w:r>
        <w:t xml:space="preserve">ę następujące sposoby realizacji przez gminę usług opiekuńczych, w tym specjalistycznych usług opiekuńczych: </w:t>
      </w:r>
    </w:p>
    <w:p w:rsidR="00C41476" w:rsidRDefault="002F6ACD">
      <w:pPr>
        <w:numPr>
          <w:ilvl w:val="1"/>
          <w:numId w:val="4"/>
        </w:numPr>
        <w:ind w:hanging="360"/>
      </w:pPr>
      <w:r>
        <w:t>zatrudnianie opiekunek na podstawie umowy o pracę (jedynie w zastępstwie opiekunki przebywającej na urlopie wypoczynkowym – co najmniej 14 dni, lu</w:t>
      </w:r>
      <w:r>
        <w:t xml:space="preserve">b urlopie macierzyńskim/rodzicielskim,  lub zwolnieniu lekarskim gmina ma możliwość realizacji przedmiotowych usług opiekuńczych w wybranej przez siebie formie); </w:t>
      </w:r>
    </w:p>
    <w:p w:rsidR="00C41476" w:rsidRDefault="002F6ACD">
      <w:pPr>
        <w:numPr>
          <w:ilvl w:val="1"/>
          <w:numId w:val="4"/>
        </w:numPr>
        <w:ind w:hanging="360"/>
      </w:pPr>
      <w:r>
        <w:t>zlecenie wykonania przedmiotowego zadania organizacjom pozarządowym, o których mowa w art. 25</w:t>
      </w:r>
      <w:r>
        <w:t xml:space="preserve"> ust. 1 ustawy o pomocy społecznej, tj. organizacjom pozarządowym wymienionym w art. 3 ust. 2 ustawy o działalności pożytku publicznego i o wolontariacie oraz podmiotom wymienionym w art. 3 ust. 3 pkt 1 i 3 tej ustawy; </w:t>
      </w:r>
    </w:p>
    <w:p w:rsidR="00C41476" w:rsidRDefault="002F6ACD">
      <w:pPr>
        <w:numPr>
          <w:ilvl w:val="1"/>
          <w:numId w:val="4"/>
        </w:numPr>
        <w:spacing w:after="147" w:line="259" w:lineRule="auto"/>
        <w:ind w:hanging="360"/>
      </w:pPr>
      <w:r>
        <w:t>zakupienie usług opiekuńczych od pod</w:t>
      </w:r>
      <w:r>
        <w:t xml:space="preserve">miotów sektora prywatnego. </w:t>
      </w:r>
    </w:p>
    <w:p w:rsidR="00C41476" w:rsidRDefault="002F6ACD">
      <w:pPr>
        <w:numPr>
          <w:ilvl w:val="0"/>
          <w:numId w:val="4"/>
        </w:numPr>
        <w:ind w:hanging="283"/>
      </w:pPr>
      <w:r>
        <w:t xml:space="preserve">W zapotrzebowaniu na środki z rezerwy celowej budżetu państwa gmina zobowiązana  jest wskazać stawkę za godzinę świadczenia usług opiekuńczych, w tym specjalistycznych usług opiekuńczych, określoną w uchwale rady gminy. </w:t>
      </w:r>
    </w:p>
    <w:p w:rsidR="00C41476" w:rsidRDefault="002F6ACD">
      <w:pPr>
        <w:numPr>
          <w:ilvl w:val="0"/>
          <w:numId w:val="4"/>
        </w:numPr>
        <w:ind w:hanging="283"/>
      </w:pPr>
      <w:r>
        <w:t>Kosztem</w:t>
      </w:r>
      <w:r>
        <w:t xml:space="preserve"> realizacji zadania jest wydatek, jaki ponosi gmina w związku ze świadczeniem usług opiekuńczych lub specjalistycznych usług opiekuńczych osobom w wieku 75 lat  i więcej, które mieszczą się w zakresie przedmiotowym programu. </w:t>
      </w:r>
    </w:p>
    <w:p w:rsidR="00C41476" w:rsidRDefault="002F6ACD">
      <w:pPr>
        <w:ind w:left="721"/>
      </w:pPr>
      <w:r>
        <w:t>Koszt realizacji zadania wylic</w:t>
      </w:r>
      <w:r>
        <w:t xml:space="preserve">za się poprzez pomnożenie całkowitej liczby godzin  np. usług opiekuńczych przyznanych decyzją administracyjną osobie w wieku 75 lat i więcej na rok 2023 przez koszt 1h usług opiekuńczych określony w uchwale rady gminy.  </w:t>
      </w:r>
    </w:p>
    <w:p w:rsidR="00C41476" w:rsidRDefault="002F6ACD">
      <w:pPr>
        <w:ind w:left="721"/>
      </w:pPr>
      <w:r>
        <w:t xml:space="preserve">Do kwoty wyliczonej zgodnie z ww. </w:t>
      </w:r>
      <w:r>
        <w:t xml:space="preserve">metodą gmina może uzyskać dofinansowanie  w wysokości do 60%. </w:t>
      </w:r>
    </w:p>
    <w:p w:rsidR="00C41476" w:rsidRDefault="002F6ACD">
      <w:pPr>
        <w:spacing w:after="156" w:line="259" w:lineRule="auto"/>
        <w:ind w:left="428" w:firstLine="0"/>
        <w:jc w:val="left"/>
      </w:pPr>
      <w:r>
        <w:t xml:space="preserve"> </w:t>
      </w:r>
    </w:p>
    <w:p w:rsidR="00C41476" w:rsidRDefault="002F6ACD">
      <w:pPr>
        <w:pStyle w:val="Nagwek1"/>
        <w:spacing w:after="0" w:line="400" w:lineRule="auto"/>
        <w:ind w:left="423"/>
      </w:pPr>
      <w:bookmarkStart w:id="7" w:name="_Toc9654"/>
      <w:r>
        <w:lastRenderedPageBreak/>
        <w:t xml:space="preserve">Finansowanie programu oraz warunki przyznawania gminom środków budżetu państwa przeznaczonych na realizację programu </w:t>
      </w:r>
      <w:bookmarkEnd w:id="7"/>
    </w:p>
    <w:p w:rsidR="00C41476" w:rsidRDefault="002F6ACD">
      <w:pPr>
        <w:numPr>
          <w:ilvl w:val="0"/>
          <w:numId w:val="5"/>
        </w:numPr>
        <w:ind w:hanging="427"/>
      </w:pPr>
      <w:r>
        <w:t>W ramach programu gminom udziela się wsparcia finansowego na podstawie ar</w:t>
      </w:r>
      <w:r>
        <w:t>t. 115 ust. 1 ustawy o pomocy społecznej.</w:t>
      </w:r>
      <w:r>
        <w:rPr>
          <w:b/>
          <w:sz w:val="28"/>
        </w:rPr>
        <w:t xml:space="preserve"> </w:t>
      </w:r>
    </w:p>
    <w:p w:rsidR="00C41476" w:rsidRDefault="002F6ACD">
      <w:pPr>
        <w:numPr>
          <w:ilvl w:val="0"/>
          <w:numId w:val="5"/>
        </w:numPr>
        <w:ind w:hanging="427"/>
      </w:pPr>
      <w:r>
        <w:t xml:space="preserve">Gmina może finansować usługi opiekuńcze dla osób objętych przedmiotowym programem </w:t>
      </w:r>
      <w:r>
        <w:rPr>
          <w:b/>
        </w:rPr>
        <w:t xml:space="preserve">od 1 stycznia 2023 r. </w:t>
      </w:r>
    </w:p>
    <w:p w:rsidR="00C41476" w:rsidRDefault="002F6ACD">
      <w:pPr>
        <w:numPr>
          <w:ilvl w:val="0"/>
          <w:numId w:val="5"/>
        </w:numPr>
        <w:ind w:hanging="427"/>
      </w:pPr>
      <w:r>
        <w:t>Gmina może otrzymać dotację celową na realizację działań przewidzianych programem, jeżeli udział środków wła</w:t>
      </w:r>
      <w:r>
        <w:t xml:space="preserve">snych gminy wynosi nie mniej niż 40% przewidywanych kosztów realizacji zadania. </w:t>
      </w:r>
    </w:p>
    <w:p w:rsidR="00C41476" w:rsidRDefault="002F6ACD">
      <w:pPr>
        <w:numPr>
          <w:ilvl w:val="0"/>
          <w:numId w:val="5"/>
        </w:numPr>
        <w:ind w:hanging="427"/>
      </w:pPr>
      <w:r>
        <w:t xml:space="preserve">Gmina zgłasza roczne zapotrzebowanie na środki z rezerwy celowej budżetu państwa  na realizację usług opiekuńczych lub specjalistycznych usług opiekuńczych w ramach programu, </w:t>
      </w:r>
      <w:r>
        <w:t xml:space="preserve">wypełniając formularz zapotrzebowania, który jest udostępniany przez Ministerstwo Rodziny i Polityki Społecznej w Centralnej Aplikacji Statystycznej (CAS). </w:t>
      </w:r>
    </w:p>
    <w:p w:rsidR="00C41476" w:rsidRDefault="002F6ACD">
      <w:pPr>
        <w:numPr>
          <w:ilvl w:val="0"/>
          <w:numId w:val="5"/>
        </w:numPr>
        <w:spacing w:after="116" w:line="259" w:lineRule="auto"/>
        <w:ind w:hanging="427"/>
      </w:pPr>
      <w:r>
        <w:t xml:space="preserve">Dotację z rezerwy celowej przekazuje wojewoda. </w:t>
      </w:r>
    </w:p>
    <w:p w:rsidR="00C41476" w:rsidRDefault="002F6ACD">
      <w:pPr>
        <w:numPr>
          <w:ilvl w:val="0"/>
          <w:numId w:val="5"/>
        </w:numPr>
        <w:ind w:hanging="427"/>
      </w:pPr>
      <w:r>
        <w:t>Niewykorzystana kwota dotacji podlega zwrotowi na z</w:t>
      </w:r>
      <w:r>
        <w:t xml:space="preserve">asadach przewidzianych w ustawie  z dnia 27 sierpnia 2009 r. o finansach publicznych (Dz. U. z 2022 r. poz. 1634, z </w:t>
      </w:r>
      <w:proofErr w:type="spellStart"/>
      <w:r>
        <w:t>późn</w:t>
      </w:r>
      <w:proofErr w:type="spellEnd"/>
      <w:r>
        <w:t xml:space="preserve">. zm.). </w:t>
      </w:r>
    </w:p>
    <w:p w:rsidR="00C41476" w:rsidRDefault="002F6ACD">
      <w:pPr>
        <w:numPr>
          <w:ilvl w:val="0"/>
          <w:numId w:val="5"/>
        </w:numPr>
        <w:ind w:hanging="427"/>
      </w:pPr>
      <w:r>
        <w:t xml:space="preserve">Środki, o których mowa w pkt 1, zaplanowane są w rezerwie celowej budżetu państwa przeznaczonej na zadania określone w ustawie </w:t>
      </w:r>
      <w:r>
        <w:t xml:space="preserve">o pomocy społecznej. </w:t>
      </w:r>
    </w:p>
    <w:p w:rsidR="00C41476" w:rsidRDefault="002F6ACD">
      <w:pPr>
        <w:spacing w:after="211" w:line="259" w:lineRule="auto"/>
        <w:ind w:left="286" w:firstLine="0"/>
        <w:jc w:val="left"/>
      </w:pPr>
      <w:r>
        <w:t xml:space="preserve"> </w:t>
      </w:r>
    </w:p>
    <w:p w:rsidR="00C41476" w:rsidRDefault="002F6ACD">
      <w:pPr>
        <w:pStyle w:val="Nagwek1"/>
        <w:ind w:left="975" w:hanging="562"/>
      </w:pPr>
      <w:bookmarkStart w:id="8" w:name="_Toc9655"/>
      <w:r>
        <w:t xml:space="preserve">Zasady podziału środków budżetu państwa na realizację programu </w:t>
      </w:r>
      <w:bookmarkEnd w:id="8"/>
    </w:p>
    <w:p w:rsidR="00C41476" w:rsidRDefault="002F6ACD">
      <w:pPr>
        <w:numPr>
          <w:ilvl w:val="0"/>
          <w:numId w:val="6"/>
        </w:numPr>
        <w:ind w:hanging="427"/>
      </w:pPr>
      <w:r>
        <w:t xml:space="preserve">Propozycję podziału środków rezerwy celowej budżetu państwa na realizację programu opracowuje minister właściwy do spraw zabezpieczenia społecznego. </w:t>
      </w:r>
    </w:p>
    <w:p w:rsidR="00C41476" w:rsidRDefault="002F6ACD">
      <w:pPr>
        <w:numPr>
          <w:ilvl w:val="0"/>
          <w:numId w:val="6"/>
        </w:numPr>
        <w:ind w:hanging="427"/>
      </w:pPr>
      <w:r>
        <w:t>Wojewodowie przy o</w:t>
      </w:r>
      <w:r>
        <w:t xml:space="preserve">pracowywaniu zapotrzebowania na środki z rezerwy celowej  na realizację programu uwzględniają zapotrzebowanie zgłoszone przez gminy, które realizują usługi opiekuńcze poprzez: </w:t>
      </w:r>
    </w:p>
    <w:p w:rsidR="00C41476" w:rsidRDefault="002F6ACD">
      <w:pPr>
        <w:numPr>
          <w:ilvl w:val="0"/>
          <w:numId w:val="7"/>
        </w:numPr>
        <w:ind w:hanging="286"/>
      </w:pPr>
      <w:r>
        <w:t>zatrudnianych na etat pracowników ośrodków pomocy społecznej/centrów usług społ</w:t>
      </w:r>
      <w:r>
        <w:t xml:space="preserve">ecznych, urzędów gmin lub innych gminnych jednostek organizacyjnych; </w:t>
      </w:r>
    </w:p>
    <w:p w:rsidR="00C41476" w:rsidRDefault="002F6ACD">
      <w:pPr>
        <w:numPr>
          <w:ilvl w:val="0"/>
          <w:numId w:val="7"/>
        </w:numPr>
        <w:ind w:hanging="286"/>
      </w:pPr>
      <w:r>
        <w:t xml:space="preserve">zlecanie wykonania przedmiotowego zadania organizacjom pozarządowym, o których mowa w art. 25 ust. 1 ustawy o pomocy społecznej, tj. organizacjom pozarządowym </w:t>
      </w:r>
      <w:r>
        <w:lastRenderedPageBreak/>
        <w:t>wymienionym w art. 3 ust. 2</w:t>
      </w:r>
      <w:r>
        <w:t xml:space="preserve"> oraz ust. 3 pkt 1 i 3 ustawy o działalności pożytku publicznego i o wolontariacie; </w:t>
      </w:r>
    </w:p>
    <w:p w:rsidR="00C41476" w:rsidRDefault="002F6ACD">
      <w:pPr>
        <w:numPr>
          <w:ilvl w:val="0"/>
          <w:numId w:val="7"/>
        </w:numPr>
        <w:spacing w:after="164" w:line="259" w:lineRule="auto"/>
        <w:ind w:hanging="286"/>
      </w:pPr>
      <w:r>
        <w:t xml:space="preserve">zakupienie usług opiekuńczych od podmiotów sektora prywatnego. </w:t>
      </w:r>
    </w:p>
    <w:p w:rsidR="00C41476" w:rsidRDefault="002F6ACD">
      <w:pPr>
        <w:ind w:left="840" w:hanging="427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t>Gminy, zgłaszając do właściwego wojewody zapotrzebowanie na środki z rezerwy celowej na dofinansowanie r</w:t>
      </w:r>
      <w:r>
        <w:t xml:space="preserve">ealizacji usług w ramach programu, uwzględniają w szczególności: </w:t>
      </w:r>
    </w:p>
    <w:p w:rsidR="00C41476" w:rsidRDefault="002F6ACD">
      <w:pPr>
        <w:numPr>
          <w:ilvl w:val="0"/>
          <w:numId w:val="8"/>
        </w:numPr>
        <w:ind w:hanging="286"/>
      </w:pPr>
      <w:r>
        <w:t xml:space="preserve">przewidywaną liczbę osób w wieku 75 lat i więcej, dla których usługi opiekuńcze, w tym specjalistyczne usługi opiekuńcze, </w:t>
      </w:r>
      <w:r>
        <w:t xml:space="preserve">będą świadczone w miejscu zamieszkania przy udziale dotacji celowej w ramach programu „Opieka 75+”; </w:t>
      </w:r>
    </w:p>
    <w:p w:rsidR="00C41476" w:rsidRDefault="002F6ACD">
      <w:pPr>
        <w:numPr>
          <w:ilvl w:val="0"/>
          <w:numId w:val="8"/>
        </w:numPr>
        <w:ind w:hanging="286"/>
      </w:pPr>
      <w:r>
        <w:t>przewidywaną liczbę godzin usług opiekuńczych dla osób w wieku 75 lat i więcej, korzystających z programu, które będą miały kontynuowane świadczenie tych u</w:t>
      </w:r>
      <w:r>
        <w:t xml:space="preserve">sług  w 2023 r.; </w:t>
      </w:r>
    </w:p>
    <w:p w:rsidR="00C41476" w:rsidRDefault="002F6ACD">
      <w:pPr>
        <w:numPr>
          <w:ilvl w:val="0"/>
          <w:numId w:val="8"/>
        </w:numPr>
        <w:ind w:hanging="286"/>
      </w:pPr>
      <w:r>
        <w:t xml:space="preserve">przewidywaną liczbę godzin usług opiekuńczych, w tym specjalistycznych usług opiekuńczych dla osób w wieku 75 lat i więcej, które nie korzystały z usług w 2022 r.; </w:t>
      </w:r>
    </w:p>
    <w:p w:rsidR="00C41476" w:rsidRDefault="002F6ACD">
      <w:pPr>
        <w:numPr>
          <w:ilvl w:val="0"/>
          <w:numId w:val="8"/>
        </w:numPr>
        <w:spacing w:after="159" w:line="259" w:lineRule="auto"/>
        <w:ind w:hanging="286"/>
      </w:pPr>
      <w:r>
        <w:t>przewidywaną zwiększoną liczbę godzin usług opiekuńczych, w tym specjalis</w:t>
      </w:r>
      <w:r>
        <w:t xml:space="preserve">tycznych </w:t>
      </w:r>
    </w:p>
    <w:p w:rsidR="00C41476" w:rsidRDefault="002F6ACD">
      <w:pPr>
        <w:spacing w:after="115" w:line="259" w:lineRule="auto"/>
        <w:ind w:left="865"/>
      </w:pPr>
      <w:r>
        <w:t xml:space="preserve">usług opiekuńczych dla osób w wieku 75 lat i więcej.  </w:t>
      </w:r>
    </w:p>
    <w:p w:rsidR="00C41476" w:rsidRDefault="002F6ACD">
      <w:pPr>
        <w:spacing w:after="112" w:line="259" w:lineRule="auto"/>
        <w:ind w:left="2" w:firstLine="0"/>
        <w:jc w:val="left"/>
      </w:pPr>
      <w:r>
        <w:t xml:space="preserve"> </w:t>
      </w:r>
    </w:p>
    <w:p w:rsidR="00C41476" w:rsidRDefault="002F6ACD">
      <w:pPr>
        <w:spacing w:after="115" w:line="259" w:lineRule="auto"/>
        <w:ind w:left="2" w:firstLine="0"/>
        <w:jc w:val="left"/>
      </w:pPr>
      <w:r>
        <w:t xml:space="preserve"> </w:t>
      </w:r>
    </w:p>
    <w:p w:rsidR="00C41476" w:rsidRDefault="002F6ACD">
      <w:pPr>
        <w:spacing w:after="0" w:line="259" w:lineRule="auto"/>
        <w:ind w:left="2" w:firstLine="0"/>
        <w:jc w:val="left"/>
      </w:pPr>
      <w:r>
        <w:t xml:space="preserve"> </w:t>
      </w:r>
    </w:p>
    <w:p w:rsidR="00C41476" w:rsidRDefault="002F6ACD">
      <w:pPr>
        <w:pStyle w:val="Nagwek1"/>
        <w:ind w:left="1084" w:hanging="671"/>
      </w:pPr>
      <w:bookmarkStart w:id="9" w:name="_Toc9656"/>
      <w:r>
        <w:t xml:space="preserve">Zadania podmiotów uczestniczących w realizacji programu </w:t>
      </w:r>
      <w:bookmarkEnd w:id="9"/>
    </w:p>
    <w:p w:rsidR="00C41476" w:rsidRDefault="002F6ACD">
      <w:pPr>
        <w:numPr>
          <w:ilvl w:val="0"/>
          <w:numId w:val="9"/>
        </w:numPr>
        <w:spacing w:after="117" w:line="259" w:lineRule="auto"/>
        <w:ind w:hanging="566"/>
        <w:jc w:val="left"/>
      </w:pPr>
      <w:r>
        <w:rPr>
          <w:b/>
        </w:rPr>
        <w:t xml:space="preserve">Do zadań ministra właściwego do spraw zabezpieczenia społecznego należy:  </w:t>
      </w:r>
    </w:p>
    <w:p w:rsidR="00C41476" w:rsidRDefault="002F6ACD">
      <w:pPr>
        <w:numPr>
          <w:ilvl w:val="1"/>
          <w:numId w:val="9"/>
        </w:numPr>
        <w:spacing w:after="168" w:line="259" w:lineRule="auto"/>
        <w:ind w:hanging="569"/>
      </w:pPr>
      <w:r>
        <w:t xml:space="preserve">opracowanie programu; </w:t>
      </w:r>
    </w:p>
    <w:p w:rsidR="00C41476" w:rsidRDefault="002F6ACD">
      <w:pPr>
        <w:numPr>
          <w:ilvl w:val="1"/>
          <w:numId w:val="9"/>
        </w:numPr>
        <w:ind w:hanging="569"/>
      </w:pPr>
      <w:r>
        <w:t xml:space="preserve">dokonanie podziału środków rezerwy celowej na poszczególne województwa  z przeznaczeniem na realizację programu, zaplanowanej w ustawie budżetowej na rok 2023 na zadania określone w ustawie o pomocy społecznej; </w:t>
      </w:r>
    </w:p>
    <w:p w:rsidR="00C41476" w:rsidRDefault="002F6ACD">
      <w:pPr>
        <w:numPr>
          <w:ilvl w:val="1"/>
          <w:numId w:val="9"/>
        </w:numPr>
        <w:ind w:hanging="569"/>
      </w:pPr>
      <w:r>
        <w:t>złożenie wniosku do ministra właściwego do s</w:t>
      </w:r>
      <w:r>
        <w:t xml:space="preserve">praw budżetu państwa w zakresie podziału środków rezerwy celowej, o której mowa w pkt 2, w podziale na </w:t>
      </w:r>
    </w:p>
    <w:p w:rsidR="00C41476" w:rsidRDefault="002F6ACD">
      <w:pPr>
        <w:spacing w:after="119" w:line="259" w:lineRule="auto"/>
        <w:ind w:left="1290"/>
      </w:pPr>
      <w:r>
        <w:t xml:space="preserve">poszczególne województwa z przeznaczeniem na realizację programu; </w:t>
      </w:r>
    </w:p>
    <w:p w:rsidR="00C41476" w:rsidRDefault="002F6ACD">
      <w:pPr>
        <w:numPr>
          <w:ilvl w:val="1"/>
          <w:numId w:val="9"/>
        </w:numPr>
        <w:spacing w:after="167" w:line="259" w:lineRule="auto"/>
        <w:ind w:hanging="569"/>
      </w:pPr>
      <w:r>
        <w:t xml:space="preserve">przygotowanie wzoru sprawozdania z realizacji programu; </w:t>
      </w:r>
    </w:p>
    <w:p w:rsidR="00C41476" w:rsidRDefault="002F6ACD">
      <w:pPr>
        <w:numPr>
          <w:ilvl w:val="1"/>
          <w:numId w:val="9"/>
        </w:numPr>
        <w:spacing w:after="170" w:line="259" w:lineRule="auto"/>
        <w:ind w:hanging="569"/>
      </w:pPr>
      <w:r>
        <w:t xml:space="preserve">monitorowanie realizacji programu za pośrednictwem wojewodów; </w:t>
      </w:r>
    </w:p>
    <w:p w:rsidR="00C41476" w:rsidRDefault="002F6ACD">
      <w:pPr>
        <w:numPr>
          <w:ilvl w:val="1"/>
          <w:numId w:val="9"/>
        </w:numPr>
        <w:ind w:hanging="569"/>
      </w:pPr>
      <w:r>
        <w:t xml:space="preserve">dokonanie analizy rocznych sprawozdań wojewódzkich z realizacji programu  oraz sporządzenie sprawozdania zbiorczego.  </w:t>
      </w:r>
    </w:p>
    <w:p w:rsidR="00C41476" w:rsidRDefault="002F6ACD">
      <w:pPr>
        <w:numPr>
          <w:ilvl w:val="0"/>
          <w:numId w:val="9"/>
        </w:numPr>
        <w:spacing w:after="162" w:line="259" w:lineRule="auto"/>
        <w:ind w:hanging="566"/>
        <w:jc w:val="left"/>
      </w:pPr>
      <w:r>
        <w:rPr>
          <w:b/>
        </w:rPr>
        <w:t xml:space="preserve">Do zadań wojewody należy:  </w:t>
      </w:r>
    </w:p>
    <w:p w:rsidR="00C41476" w:rsidRDefault="002F6ACD">
      <w:pPr>
        <w:numPr>
          <w:ilvl w:val="1"/>
          <w:numId w:val="9"/>
        </w:numPr>
        <w:ind w:hanging="569"/>
      </w:pPr>
      <w:r>
        <w:lastRenderedPageBreak/>
        <w:t>udzielanie informacji gminom i osobom zaintere</w:t>
      </w:r>
      <w:r>
        <w:t xml:space="preserve">sowanym o zasadach działania programu; </w:t>
      </w:r>
    </w:p>
    <w:p w:rsidR="00C41476" w:rsidRDefault="002F6ACD">
      <w:pPr>
        <w:numPr>
          <w:ilvl w:val="1"/>
          <w:numId w:val="9"/>
        </w:numPr>
        <w:spacing w:after="171" w:line="259" w:lineRule="auto"/>
        <w:ind w:hanging="569"/>
      </w:pPr>
      <w:r>
        <w:t xml:space="preserve">ocena złożonego przez gminy zapotrzebowania na środki finansowe; </w:t>
      </w:r>
    </w:p>
    <w:p w:rsidR="00C41476" w:rsidRDefault="002F6ACD">
      <w:pPr>
        <w:numPr>
          <w:ilvl w:val="1"/>
          <w:numId w:val="9"/>
        </w:numPr>
        <w:spacing w:after="165" w:line="259" w:lineRule="auto"/>
        <w:ind w:hanging="569"/>
      </w:pPr>
      <w:r>
        <w:t xml:space="preserve">składanie </w:t>
      </w:r>
      <w:r>
        <w:tab/>
        <w:t xml:space="preserve">do </w:t>
      </w:r>
      <w:r>
        <w:tab/>
        <w:t xml:space="preserve">ministra </w:t>
      </w:r>
      <w:r>
        <w:tab/>
        <w:t xml:space="preserve">właściwego </w:t>
      </w:r>
      <w:r>
        <w:tab/>
        <w:t xml:space="preserve">do </w:t>
      </w:r>
      <w:r>
        <w:tab/>
        <w:t xml:space="preserve">spraw </w:t>
      </w:r>
      <w:r>
        <w:tab/>
        <w:t xml:space="preserve">zabezpieczenia </w:t>
      </w:r>
      <w:r>
        <w:tab/>
        <w:t xml:space="preserve">społecznego </w:t>
      </w:r>
    </w:p>
    <w:p w:rsidR="00C41476" w:rsidRDefault="002F6ACD">
      <w:pPr>
        <w:spacing w:after="158" w:line="259" w:lineRule="auto"/>
        <w:ind w:left="1290"/>
      </w:pPr>
      <w:r>
        <w:t xml:space="preserve">zapotrzebowania na środki z rezerwy celowej na realizację programu; </w:t>
      </w:r>
    </w:p>
    <w:p w:rsidR="00C41476" w:rsidRDefault="002F6ACD">
      <w:pPr>
        <w:numPr>
          <w:ilvl w:val="1"/>
          <w:numId w:val="9"/>
        </w:numPr>
        <w:ind w:hanging="569"/>
      </w:pPr>
      <w:r>
        <w:t>prze</w:t>
      </w:r>
      <w:r>
        <w:t xml:space="preserve">kazanie do ministra właściwego do spraw zabezpieczenia społecznego rocznego sprawozdania wojewódzkiego z realizacji programu w ujęciu opisowym i tabelarycznym; </w:t>
      </w:r>
    </w:p>
    <w:p w:rsidR="00C41476" w:rsidRDefault="002F6ACD">
      <w:pPr>
        <w:numPr>
          <w:ilvl w:val="1"/>
          <w:numId w:val="9"/>
        </w:numPr>
        <w:ind w:hanging="569"/>
      </w:pPr>
      <w:r>
        <w:t xml:space="preserve">kontrola i nadzór nad realizacją zadań realizowanych przez gminy w ramach programu.  </w:t>
      </w:r>
    </w:p>
    <w:p w:rsidR="00C41476" w:rsidRDefault="002F6ACD">
      <w:pPr>
        <w:numPr>
          <w:ilvl w:val="0"/>
          <w:numId w:val="9"/>
        </w:numPr>
        <w:spacing w:after="162" w:line="259" w:lineRule="auto"/>
        <w:ind w:hanging="566"/>
        <w:jc w:val="left"/>
      </w:pPr>
      <w:r>
        <w:rPr>
          <w:b/>
        </w:rPr>
        <w:t xml:space="preserve">Do zadań </w:t>
      </w:r>
      <w:r>
        <w:rPr>
          <w:b/>
        </w:rPr>
        <w:t xml:space="preserve">gminy (wójta, burmistrza, prezydenta miasta) należy:  </w:t>
      </w:r>
    </w:p>
    <w:p w:rsidR="00C41476" w:rsidRDefault="002F6ACD">
      <w:pPr>
        <w:numPr>
          <w:ilvl w:val="1"/>
          <w:numId w:val="9"/>
        </w:numPr>
        <w:ind w:hanging="569"/>
      </w:pPr>
      <w:r>
        <w:t xml:space="preserve">złożenie zapotrzebowania na środki finansowe na realizację programu do właściwego wojewody; </w:t>
      </w:r>
    </w:p>
    <w:p w:rsidR="00C41476" w:rsidRDefault="002F6ACD">
      <w:pPr>
        <w:numPr>
          <w:ilvl w:val="1"/>
          <w:numId w:val="9"/>
        </w:numPr>
        <w:spacing w:after="168" w:line="259" w:lineRule="auto"/>
        <w:ind w:hanging="569"/>
      </w:pPr>
      <w:r>
        <w:t xml:space="preserve">koordynowanie realizacji programu w gminie;  </w:t>
      </w:r>
    </w:p>
    <w:p w:rsidR="00C41476" w:rsidRDefault="002F6ACD">
      <w:pPr>
        <w:numPr>
          <w:ilvl w:val="1"/>
          <w:numId w:val="9"/>
        </w:numPr>
        <w:ind w:hanging="569"/>
      </w:pPr>
      <w:r>
        <w:t>przekazanie wojewodzie rocznego sprawozdania z realizacji prog</w:t>
      </w:r>
      <w:r>
        <w:t xml:space="preserve">ramu w ujęciu opisowym i tabelarycznym (sprawozdanie opisowe do decyzji wojewody). </w:t>
      </w:r>
    </w:p>
    <w:p w:rsidR="00C41476" w:rsidRDefault="002F6ACD">
      <w:pPr>
        <w:spacing w:after="156" w:line="259" w:lineRule="auto"/>
        <w:ind w:left="711" w:firstLine="0"/>
        <w:jc w:val="left"/>
      </w:pPr>
      <w:r>
        <w:t xml:space="preserve"> </w:t>
      </w:r>
    </w:p>
    <w:p w:rsidR="00C41476" w:rsidRDefault="002F6ACD">
      <w:pPr>
        <w:pStyle w:val="Nagwek1"/>
        <w:spacing w:after="106"/>
        <w:ind w:left="864" w:hanging="451"/>
      </w:pPr>
      <w:bookmarkStart w:id="10" w:name="_Toc9657"/>
      <w:r>
        <w:t xml:space="preserve">Monitoring programu </w:t>
      </w:r>
      <w:bookmarkEnd w:id="10"/>
    </w:p>
    <w:p w:rsidR="00C41476" w:rsidRDefault="002F6ACD">
      <w:pPr>
        <w:numPr>
          <w:ilvl w:val="0"/>
          <w:numId w:val="10"/>
        </w:numPr>
        <w:ind w:hanging="427"/>
      </w:pPr>
      <w:r>
        <w:t xml:space="preserve">Roczne sprawozdanie z realizacji programu wójt/burmistrz/prezydent miasta przekazuje do właściwego wojewody w terminie do dnia 31 stycznia 2024 r. </w:t>
      </w:r>
    </w:p>
    <w:p w:rsidR="00C41476" w:rsidRDefault="002F6ACD">
      <w:pPr>
        <w:numPr>
          <w:ilvl w:val="0"/>
          <w:numId w:val="10"/>
        </w:numPr>
        <w:ind w:hanging="427"/>
      </w:pPr>
      <w:r>
        <w:t xml:space="preserve">Wojewoda przekazuje do ministra właściwego do spraw zabezpieczenia społecznego, w terminie do dnia 29 lutego 2024 r., roczne sprawozdanie z realizacji programu według wzoru określonego przez Ministra Rodziny i Polityki Społecznej. </w:t>
      </w:r>
    </w:p>
    <w:p w:rsidR="00C41476" w:rsidRDefault="002F6ACD">
      <w:pPr>
        <w:numPr>
          <w:ilvl w:val="0"/>
          <w:numId w:val="10"/>
        </w:numPr>
        <w:ind w:hanging="427"/>
      </w:pPr>
      <w:r>
        <w:t>Sporządzenie sprawozdani</w:t>
      </w:r>
      <w:r>
        <w:t xml:space="preserve">a zbiorczego z realizacji programu, w terminie do dnia  18 kwietnia 2024 r., należy do zadań ministra właściwego do spraw zabezpieczenia społecznego. </w:t>
      </w:r>
    </w:p>
    <w:p w:rsidR="00C41476" w:rsidRDefault="002F6ACD">
      <w:pPr>
        <w:spacing w:after="0" w:line="259" w:lineRule="auto"/>
        <w:ind w:left="42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41476">
      <w:footerReference w:type="even" r:id="rId19"/>
      <w:footerReference w:type="default" r:id="rId20"/>
      <w:footerReference w:type="first" r:id="rId21"/>
      <w:pgSz w:w="11906" w:h="16838"/>
      <w:pgMar w:top="1003" w:right="1412" w:bottom="1429" w:left="99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CD" w:rsidRDefault="002F6ACD">
      <w:pPr>
        <w:spacing w:after="0" w:line="240" w:lineRule="auto"/>
      </w:pPr>
      <w:r>
        <w:separator/>
      </w:r>
    </w:p>
  </w:endnote>
  <w:endnote w:type="continuationSeparator" w:id="0">
    <w:p w:rsidR="002F6ACD" w:rsidRDefault="002F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6" w:rsidRDefault="002F6ACD">
    <w:pPr>
      <w:spacing w:after="167" w:line="259" w:lineRule="auto"/>
      <w:ind w:left="428" w:firstLine="0"/>
      <w:jc w:val="left"/>
    </w:pPr>
    <w:r>
      <w:rPr>
        <w:b/>
        <w:sz w:val="28"/>
      </w:rPr>
      <w:t xml:space="preserve"> </w:t>
    </w:r>
  </w:p>
  <w:p w:rsidR="00C41476" w:rsidRDefault="002F6ACD">
    <w:pPr>
      <w:spacing w:after="0" w:line="259" w:lineRule="auto"/>
      <w:ind w:left="4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C41476" w:rsidRDefault="002F6ACD">
    <w:pPr>
      <w:spacing w:after="0" w:line="259" w:lineRule="auto"/>
      <w:ind w:left="42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6" w:rsidRDefault="002F6ACD">
    <w:pPr>
      <w:spacing w:after="167" w:line="259" w:lineRule="auto"/>
      <w:ind w:left="428" w:firstLine="0"/>
      <w:jc w:val="left"/>
    </w:pPr>
    <w:r>
      <w:rPr>
        <w:b/>
        <w:sz w:val="28"/>
      </w:rPr>
      <w:t xml:space="preserve"> </w:t>
    </w:r>
  </w:p>
  <w:p w:rsidR="00C41476" w:rsidRDefault="002F6ACD">
    <w:pPr>
      <w:spacing w:after="0" w:line="259" w:lineRule="auto"/>
      <w:ind w:left="4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C41476" w:rsidRDefault="002F6ACD">
    <w:pPr>
      <w:spacing w:after="0" w:line="259" w:lineRule="auto"/>
      <w:ind w:left="42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6" w:rsidRDefault="00C4147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CD" w:rsidRDefault="002F6ACD">
      <w:pPr>
        <w:spacing w:after="0" w:line="240" w:lineRule="auto"/>
      </w:pPr>
      <w:r>
        <w:separator/>
      </w:r>
    </w:p>
  </w:footnote>
  <w:footnote w:type="continuationSeparator" w:id="0">
    <w:p w:rsidR="002F6ACD" w:rsidRDefault="002F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332"/>
    <w:multiLevelType w:val="hybridMultilevel"/>
    <w:tmpl w:val="2F7050C8"/>
    <w:lvl w:ilvl="0" w:tplc="8808020C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AE41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26386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253B4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AD9B8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463A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CAA8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A8606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538A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F3A15"/>
    <w:multiLevelType w:val="hybridMultilevel"/>
    <w:tmpl w:val="E4B47D9C"/>
    <w:lvl w:ilvl="0" w:tplc="2F647FAA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E6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E4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4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A7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A7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A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D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4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D1561"/>
    <w:multiLevelType w:val="hybridMultilevel"/>
    <w:tmpl w:val="CFA80AA0"/>
    <w:lvl w:ilvl="0" w:tplc="DB2CD77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600CA">
      <w:start w:val="1"/>
      <w:numFmt w:val="decimal"/>
      <w:lvlText w:val="%2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E6D3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C270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BBF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51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1A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22AE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382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3E1AD1"/>
    <w:multiLevelType w:val="hybridMultilevel"/>
    <w:tmpl w:val="DD98D090"/>
    <w:lvl w:ilvl="0" w:tplc="AE905F0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68C5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4C5B8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041C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345C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8D5D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0445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5192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C04A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86062"/>
    <w:multiLevelType w:val="hybridMultilevel"/>
    <w:tmpl w:val="9732DACA"/>
    <w:lvl w:ilvl="0" w:tplc="F02C744C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65DD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E1F5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49B2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B6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9AC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A434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22C8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B98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B33DE"/>
    <w:multiLevelType w:val="hybridMultilevel"/>
    <w:tmpl w:val="0ED0987C"/>
    <w:lvl w:ilvl="0" w:tplc="6BEA841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E5814">
      <w:start w:val="1"/>
      <w:numFmt w:val="decimal"/>
      <w:lvlText w:val="%2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6D56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6816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005E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EADD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A182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E4C8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FCA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2C347E"/>
    <w:multiLevelType w:val="hybridMultilevel"/>
    <w:tmpl w:val="F348CC4C"/>
    <w:lvl w:ilvl="0" w:tplc="1EF2A4D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27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6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2B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49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C9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AC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A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9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B36879"/>
    <w:multiLevelType w:val="hybridMultilevel"/>
    <w:tmpl w:val="8E20EC66"/>
    <w:lvl w:ilvl="0" w:tplc="91A2733C">
      <w:start w:val="1"/>
      <w:numFmt w:val="decimal"/>
      <w:lvlText w:val="%1)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CC39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EBB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C58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21B7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E8A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EBF2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0E8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0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810B81"/>
    <w:multiLevelType w:val="hybridMultilevel"/>
    <w:tmpl w:val="F372E790"/>
    <w:lvl w:ilvl="0" w:tplc="0B620102">
      <w:start w:val="1"/>
      <w:numFmt w:val="decimal"/>
      <w:lvlText w:val="%1)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4EDB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8F72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E5A9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8EF5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0391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C01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E3F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01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35B9E"/>
    <w:multiLevelType w:val="hybridMultilevel"/>
    <w:tmpl w:val="F8AA16AE"/>
    <w:lvl w:ilvl="0" w:tplc="93687C84">
      <w:start w:val="1"/>
      <w:numFmt w:val="decimal"/>
      <w:lvlText w:val="%1)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4D9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AA0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D0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6CB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2E42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4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2F0D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AA85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C05993"/>
    <w:multiLevelType w:val="hybridMultilevel"/>
    <w:tmpl w:val="26E0A804"/>
    <w:lvl w:ilvl="0" w:tplc="0A98DCE6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5B9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6208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C750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A7A9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8E6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6E9E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077F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A45A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76"/>
    <w:rsid w:val="002F6ACD"/>
    <w:rsid w:val="00BD3C6C"/>
    <w:rsid w:val="00C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1157D-1E47-4BA0-9395-D3825A6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" w:line="387" w:lineRule="auto"/>
      <w:ind w:left="4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38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8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Spistreci1">
    <w:name w:val="toc 1"/>
    <w:hidden/>
    <w:pPr>
      <w:spacing w:after="259"/>
      <w:ind w:left="45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?hiperlink=type=tresc:nro=Powszechny.1542656:part=a17u1p3&amp;full=1" TargetMode="External"/><Relationship Id="rId13" Type="http://schemas.openxmlformats.org/officeDocument/2006/relationships/hyperlink" Target="http://lexint/lex/index.rpc?hiperlink=type=tresc:nro=Powszechny.1542656:part=a115u2&amp;full=1" TargetMode="External"/><Relationship Id="rId18" Type="http://schemas.openxmlformats.org/officeDocument/2006/relationships/hyperlink" Target="http://lexint/lex/index.rpc?hiperlink=type=tresc:nro=Powszechny.1542656:part=a115u2&amp;full=1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lexint/lex/index.rpc?hiperlink=type=tresc:nro=Powszechny.1542656:part=a17u1p3&amp;full=1" TargetMode="External"/><Relationship Id="rId12" Type="http://schemas.openxmlformats.org/officeDocument/2006/relationships/hyperlink" Target="http://lexint/lex/index.rpc?hiperlink=type=tresc:nro=Powszechny.1542656:part=a17u1p3&amp;full=1" TargetMode="External"/><Relationship Id="rId17" Type="http://schemas.openxmlformats.org/officeDocument/2006/relationships/hyperlink" Target="http://lexint/lex/index.rpc?hiperlink=type=tresc:nro=Powszechny.1542656:part=a115u2&amp;full=1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int/lex/index.rpc?hiperlink=type=tresc:nro=Powszechny.1542656:part=a115u2&amp;full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int/lex/index.rpc?hiperlink=type=tresc:nro=Powszechny.1542656:part=a17u1p3&amp;full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xint/lex/index.rpc?hiperlink=type=tresc:nro=Powszechny.1542656:part=a115u2&amp;full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xint/lex/index.rpc?hiperlink=type=tresc:nro=Powszechny.1542656:part=a17u1p3&amp;full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xint/lex/index.rpc?hiperlink=type=tresc:nro=Powszechny.1542656:part=a17u1p3&amp;full=1" TargetMode="External"/><Relationship Id="rId14" Type="http://schemas.openxmlformats.org/officeDocument/2006/relationships/hyperlink" Target="http://lexint/lex/index.rpc?hiperlink=type=tresc:nro=Powszechny.1542656:part=a115u2&amp;full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cp:lastModifiedBy>Anna Żukowska</cp:lastModifiedBy>
  <cp:revision>2</cp:revision>
  <dcterms:created xsi:type="dcterms:W3CDTF">2022-11-17T08:35:00Z</dcterms:created>
  <dcterms:modified xsi:type="dcterms:W3CDTF">2022-11-17T08:35:00Z</dcterms:modified>
</cp:coreProperties>
</file>