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1B704" w14:textId="11707AF9" w:rsidR="00A65CE0" w:rsidRDefault="006F634F" w:rsidP="004C49AE">
      <w:pPr>
        <w:rPr>
          <w:sz w:val="22"/>
        </w:rPr>
      </w:pPr>
      <w:r w:rsidRPr="00C61B38">
        <w:rPr>
          <w:sz w:val="22"/>
        </w:rPr>
        <w:t>Załącznik</w:t>
      </w:r>
      <w:r w:rsidR="00A65CE0">
        <w:rPr>
          <w:sz w:val="22"/>
        </w:rPr>
        <w:t xml:space="preserve"> C.</w:t>
      </w:r>
      <w:r w:rsidR="00806611">
        <w:rPr>
          <w:sz w:val="22"/>
        </w:rPr>
        <w:t>92</w:t>
      </w:r>
      <w:r w:rsidR="00AB1236">
        <w:rPr>
          <w:sz w:val="22"/>
        </w:rPr>
        <w:t>.</w:t>
      </w:r>
      <w:r w:rsidR="00F150E4">
        <w:rPr>
          <w:sz w:val="22"/>
        </w:rPr>
        <w:t>b.</w:t>
      </w:r>
    </w:p>
    <w:p w14:paraId="2F4F96EF" w14:textId="77777777" w:rsidR="004C49AE" w:rsidRDefault="004C49AE" w:rsidP="004C49AE">
      <w:pPr>
        <w:rPr>
          <w:sz w:val="22"/>
        </w:rPr>
      </w:pPr>
    </w:p>
    <w:p w14:paraId="5F6A6506" w14:textId="72AD2DE7" w:rsidR="00140363" w:rsidRPr="004C49AE" w:rsidRDefault="00AB1236" w:rsidP="004C49AE">
      <w:pPr>
        <w:spacing w:after="240"/>
        <w:rPr>
          <w:b/>
          <w:sz w:val="28"/>
          <w:szCs w:val="28"/>
        </w:rPr>
      </w:pPr>
      <w:r w:rsidRPr="004C49AE">
        <w:rPr>
          <w:b/>
          <w:sz w:val="28"/>
          <w:szCs w:val="28"/>
        </w:rPr>
        <w:t>DASATINIB</w:t>
      </w:r>
    </w:p>
    <w:tbl>
      <w:tblPr>
        <w:tblW w:w="5000" w:type="pct"/>
        <w:tblCellMar>
          <w:left w:w="70" w:type="dxa"/>
          <w:right w:w="70" w:type="dxa"/>
        </w:tblCellMar>
        <w:tblLook w:val="0000" w:firstRow="0" w:lastRow="0" w:firstColumn="0" w:lastColumn="0" w:noHBand="0" w:noVBand="0"/>
      </w:tblPr>
      <w:tblGrid>
        <w:gridCol w:w="1304"/>
        <w:gridCol w:w="3918"/>
        <w:gridCol w:w="1647"/>
        <w:gridCol w:w="8519"/>
      </w:tblGrid>
      <w:tr w:rsidR="00A65CE0" w:rsidRPr="004C49AE" w14:paraId="539F83D2" w14:textId="77777777" w:rsidTr="00C01A4A">
        <w:trPr>
          <w:cantSplit/>
          <w:trHeight w:val="851"/>
          <w:tblHeader/>
        </w:trPr>
        <w:tc>
          <w:tcPr>
            <w:tcW w:w="4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B28B06" w14:textId="77777777" w:rsidR="00140363" w:rsidRPr="004C49AE" w:rsidRDefault="00140363" w:rsidP="00B9157D">
            <w:pPr>
              <w:jc w:val="center"/>
              <w:rPr>
                <w:b/>
                <w:color w:val="000000"/>
                <w:sz w:val="20"/>
                <w:szCs w:val="20"/>
              </w:rPr>
            </w:pPr>
            <w:r w:rsidRPr="004C49AE">
              <w:rPr>
                <w:b/>
                <w:color w:val="000000"/>
                <w:sz w:val="20"/>
                <w:szCs w:val="20"/>
              </w:rPr>
              <w:t>Lp</w:t>
            </w:r>
            <w:r w:rsidR="00B573DE" w:rsidRPr="004C49AE">
              <w:rPr>
                <w:b/>
                <w:color w:val="000000"/>
                <w:sz w:val="20"/>
                <w:szCs w:val="20"/>
              </w:rPr>
              <w:t>.</w:t>
            </w:r>
          </w:p>
        </w:tc>
        <w:tc>
          <w:tcPr>
            <w:tcW w:w="1273" w:type="pct"/>
            <w:tcBorders>
              <w:top w:val="single" w:sz="4" w:space="0" w:color="auto"/>
              <w:left w:val="nil"/>
              <w:bottom w:val="single" w:sz="4" w:space="0" w:color="auto"/>
              <w:right w:val="single" w:sz="4" w:space="0" w:color="auto"/>
            </w:tcBorders>
            <w:shd w:val="clear" w:color="auto" w:fill="auto"/>
            <w:vAlign w:val="center"/>
          </w:tcPr>
          <w:p w14:paraId="4F8C119D" w14:textId="4E82736E" w:rsidR="00140363" w:rsidRPr="004C49AE" w:rsidRDefault="00C01A4A" w:rsidP="00B9157D">
            <w:pPr>
              <w:jc w:val="center"/>
              <w:rPr>
                <w:b/>
                <w:bCs/>
                <w:color w:val="000000"/>
                <w:sz w:val="20"/>
                <w:szCs w:val="20"/>
              </w:rPr>
            </w:pPr>
            <w:bookmarkStart w:id="0" w:name="_Hlk145619570"/>
            <w:r w:rsidRPr="00A72371">
              <w:rPr>
                <w:b/>
                <w:bCs/>
                <w:color w:val="000000"/>
                <w:sz w:val="20"/>
                <w:szCs w:val="20"/>
              </w:rPr>
              <w:t>NAZWA SUBSTANCJI CZYNNEJ ORAZ</w:t>
            </w:r>
            <w:r>
              <w:rPr>
                <w:b/>
                <w:bCs/>
                <w:color w:val="000000"/>
                <w:sz w:val="20"/>
                <w:szCs w:val="20"/>
              </w:rPr>
              <w:t xml:space="preserve"> </w:t>
            </w:r>
            <w:r w:rsidRPr="00A72371">
              <w:rPr>
                <w:b/>
                <w:bCs/>
                <w:color w:val="000000"/>
                <w:sz w:val="20"/>
                <w:szCs w:val="20"/>
              </w:rPr>
              <w:t>DROGA PODANIA</w:t>
            </w:r>
            <w:r>
              <w:rPr>
                <w:b/>
                <w:bCs/>
                <w:color w:val="000000"/>
                <w:sz w:val="20"/>
                <w:szCs w:val="20"/>
              </w:rPr>
              <w:t xml:space="preserve"> (J</w:t>
            </w:r>
            <w:r w:rsidRPr="00A72371">
              <w:rPr>
                <w:b/>
                <w:bCs/>
                <w:color w:val="000000"/>
                <w:sz w:val="20"/>
                <w:szCs w:val="20"/>
              </w:rPr>
              <w:t>EŻELI DOTYCZY</w:t>
            </w:r>
            <w:r>
              <w:rPr>
                <w:b/>
                <w:bCs/>
                <w:color w:val="000000"/>
                <w:sz w:val="20"/>
                <w:szCs w:val="20"/>
              </w:rPr>
              <w:t>)</w:t>
            </w:r>
            <w:bookmarkEnd w:id="0"/>
          </w:p>
        </w:tc>
        <w:tc>
          <w:tcPr>
            <w:tcW w:w="535" w:type="pct"/>
            <w:tcBorders>
              <w:top w:val="single" w:sz="4" w:space="0" w:color="auto"/>
              <w:left w:val="nil"/>
              <w:bottom w:val="single" w:sz="4" w:space="0" w:color="auto"/>
              <w:right w:val="single" w:sz="4" w:space="0" w:color="auto"/>
            </w:tcBorders>
            <w:shd w:val="clear" w:color="auto" w:fill="auto"/>
            <w:vAlign w:val="center"/>
          </w:tcPr>
          <w:p w14:paraId="4B8C82DC" w14:textId="77777777" w:rsidR="00140363" w:rsidRPr="004C49AE" w:rsidRDefault="00140363" w:rsidP="00B9157D">
            <w:pPr>
              <w:jc w:val="center"/>
              <w:rPr>
                <w:b/>
                <w:bCs/>
                <w:color w:val="000000"/>
                <w:sz w:val="20"/>
                <w:szCs w:val="20"/>
              </w:rPr>
            </w:pPr>
            <w:r w:rsidRPr="004C49AE">
              <w:rPr>
                <w:b/>
                <w:bCs/>
                <w:color w:val="000000"/>
                <w:sz w:val="20"/>
                <w:szCs w:val="20"/>
              </w:rPr>
              <w:t>KOD ICD-10</w:t>
            </w:r>
          </w:p>
        </w:tc>
        <w:tc>
          <w:tcPr>
            <w:tcW w:w="2768" w:type="pct"/>
            <w:tcBorders>
              <w:top w:val="single" w:sz="4" w:space="0" w:color="auto"/>
              <w:left w:val="nil"/>
              <w:bottom w:val="single" w:sz="4" w:space="0" w:color="auto"/>
              <w:right w:val="single" w:sz="4" w:space="0" w:color="auto"/>
            </w:tcBorders>
            <w:shd w:val="clear" w:color="auto" w:fill="auto"/>
            <w:vAlign w:val="center"/>
          </w:tcPr>
          <w:p w14:paraId="68850F0E" w14:textId="77777777" w:rsidR="00140363" w:rsidRPr="004C49AE" w:rsidRDefault="00140363" w:rsidP="00B9157D">
            <w:pPr>
              <w:jc w:val="center"/>
              <w:rPr>
                <w:b/>
                <w:bCs/>
                <w:color w:val="000000"/>
                <w:sz w:val="20"/>
                <w:szCs w:val="20"/>
              </w:rPr>
            </w:pPr>
            <w:r w:rsidRPr="004C49AE">
              <w:rPr>
                <w:b/>
                <w:bCs/>
                <w:color w:val="000000"/>
                <w:sz w:val="20"/>
                <w:szCs w:val="20"/>
              </w:rPr>
              <w:t>NAZWA ICD-10</w:t>
            </w:r>
          </w:p>
        </w:tc>
      </w:tr>
      <w:tr w:rsidR="00A83BF3" w:rsidRPr="00645B23" w14:paraId="24028D0F" w14:textId="77777777" w:rsidTr="003427FD">
        <w:trPr>
          <w:trHeight w:val="20"/>
        </w:trPr>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148F1367" w14:textId="77777777" w:rsidR="00A83BF3" w:rsidRPr="00645B23" w:rsidRDefault="00A83BF3" w:rsidP="00EF6412">
            <w:pPr>
              <w:numPr>
                <w:ilvl w:val="0"/>
                <w:numId w:val="1"/>
              </w:numPr>
              <w:tabs>
                <w:tab w:val="num" w:pos="720"/>
              </w:tabs>
              <w:spacing w:before="60" w:after="60"/>
              <w:ind w:left="720" w:hanging="360"/>
              <w:jc w:val="center"/>
              <w:rPr>
                <w:color w:val="000000"/>
                <w:sz w:val="18"/>
                <w:szCs w:val="18"/>
              </w:rPr>
            </w:pPr>
          </w:p>
        </w:tc>
        <w:tc>
          <w:tcPr>
            <w:tcW w:w="1273" w:type="pct"/>
            <w:tcBorders>
              <w:top w:val="single" w:sz="4" w:space="0" w:color="auto"/>
              <w:left w:val="nil"/>
              <w:bottom w:val="single" w:sz="4" w:space="0" w:color="auto"/>
              <w:right w:val="single" w:sz="4" w:space="0" w:color="auto"/>
            </w:tcBorders>
            <w:shd w:val="clear" w:color="auto" w:fill="auto"/>
            <w:vAlign w:val="center"/>
          </w:tcPr>
          <w:p w14:paraId="4FE8247E" w14:textId="1336201F" w:rsidR="00A83BF3" w:rsidRPr="00645B23" w:rsidRDefault="00AB1236" w:rsidP="00B9157D">
            <w:pPr>
              <w:rPr>
                <w:b/>
                <w:bCs/>
                <w:color w:val="000000"/>
                <w:sz w:val="18"/>
                <w:szCs w:val="18"/>
              </w:rPr>
            </w:pPr>
            <w:r w:rsidRPr="00645B23">
              <w:rPr>
                <w:b/>
                <w:bCs/>
                <w:color w:val="000000"/>
                <w:sz w:val="18"/>
                <w:szCs w:val="18"/>
              </w:rPr>
              <w:t>DASATINIB</w:t>
            </w:r>
          </w:p>
        </w:tc>
        <w:tc>
          <w:tcPr>
            <w:tcW w:w="535" w:type="pct"/>
            <w:tcBorders>
              <w:top w:val="single" w:sz="4" w:space="0" w:color="auto"/>
              <w:left w:val="nil"/>
              <w:bottom w:val="single" w:sz="4" w:space="0" w:color="auto"/>
              <w:right w:val="single" w:sz="4" w:space="0" w:color="auto"/>
            </w:tcBorders>
            <w:shd w:val="clear" w:color="auto" w:fill="auto"/>
            <w:vAlign w:val="center"/>
          </w:tcPr>
          <w:p w14:paraId="17CCD9F5" w14:textId="1860BF75" w:rsidR="00A83BF3" w:rsidRPr="00645B23" w:rsidRDefault="00E76CA7" w:rsidP="00B9157D">
            <w:pPr>
              <w:jc w:val="center"/>
              <w:rPr>
                <w:color w:val="000000"/>
                <w:sz w:val="18"/>
                <w:szCs w:val="18"/>
              </w:rPr>
            </w:pPr>
            <w:r w:rsidRPr="00645B23">
              <w:rPr>
                <w:color w:val="000000"/>
                <w:sz w:val="18"/>
                <w:szCs w:val="18"/>
              </w:rPr>
              <w:t>C9</w:t>
            </w:r>
            <w:r w:rsidR="00AB1236" w:rsidRPr="00645B23">
              <w:rPr>
                <w:color w:val="000000"/>
                <w:sz w:val="18"/>
                <w:szCs w:val="18"/>
              </w:rPr>
              <w:t>1.0</w:t>
            </w:r>
          </w:p>
        </w:tc>
        <w:tc>
          <w:tcPr>
            <w:tcW w:w="2768" w:type="pct"/>
            <w:tcBorders>
              <w:top w:val="single" w:sz="4" w:space="0" w:color="auto"/>
              <w:left w:val="nil"/>
              <w:bottom w:val="single" w:sz="4" w:space="0" w:color="auto"/>
              <w:right w:val="single" w:sz="4" w:space="0" w:color="auto"/>
            </w:tcBorders>
            <w:shd w:val="clear" w:color="auto" w:fill="auto"/>
            <w:vAlign w:val="center"/>
          </w:tcPr>
          <w:p w14:paraId="07702463" w14:textId="12FBF887" w:rsidR="00A83BF3" w:rsidRPr="00645B23" w:rsidRDefault="00AB1236" w:rsidP="003427FD">
            <w:pPr>
              <w:spacing w:before="60" w:after="60"/>
              <w:rPr>
                <w:color w:val="000000"/>
                <w:sz w:val="18"/>
                <w:szCs w:val="18"/>
              </w:rPr>
            </w:pPr>
            <w:r w:rsidRPr="00645B23">
              <w:rPr>
                <w:color w:val="000000"/>
                <w:sz w:val="18"/>
                <w:szCs w:val="18"/>
              </w:rPr>
              <w:t>OSTRA BIAŁACZKA LIMFOBLASTYCZNA</w:t>
            </w:r>
          </w:p>
          <w:p w14:paraId="47B9FB8D" w14:textId="54156AC3" w:rsidR="00AB1236" w:rsidRPr="00645B23" w:rsidRDefault="00760869" w:rsidP="003427FD">
            <w:pPr>
              <w:spacing w:before="60" w:after="60"/>
              <w:jc w:val="both"/>
              <w:rPr>
                <w:i/>
                <w:iCs/>
                <w:color w:val="000000"/>
                <w:sz w:val="18"/>
                <w:szCs w:val="18"/>
              </w:rPr>
            </w:pPr>
            <w:r w:rsidRPr="00645B23">
              <w:rPr>
                <w:i/>
                <w:iCs/>
                <w:color w:val="000000"/>
                <w:sz w:val="18"/>
                <w:szCs w:val="18"/>
              </w:rPr>
              <w:t>leczeni</w:t>
            </w:r>
            <w:r w:rsidR="00AB1236" w:rsidRPr="00645B23">
              <w:rPr>
                <w:i/>
                <w:iCs/>
                <w:color w:val="000000"/>
                <w:sz w:val="18"/>
                <w:szCs w:val="18"/>
              </w:rPr>
              <w:t>e</w:t>
            </w:r>
            <w:r w:rsidR="008F148D" w:rsidRPr="00645B23">
              <w:rPr>
                <w:i/>
                <w:iCs/>
                <w:color w:val="000000"/>
                <w:sz w:val="18"/>
                <w:szCs w:val="18"/>
              </w:rPr>
              <w:t xml:space="preserve"> dorosłych chorych na </w:t>
            </w:r>
            <w:r w:rsidR="00AB1236" w:rsidRPr="00645B23">
              <w:rPr>
                <w:i/>
                <w:iCs/>
                <w:color w:val="000000"/>
                <w:sz w:val="18"/>
                <w:szCs w:val="18"/>
              </w:rPr>
              <w:t>ostr</w:t>
            </w:r>
            <w:r w:rsidR="008F148D" w:rsidRPr="00645B23">
              <w:rPr>
                <w:i/>
                <w:iCs/>
                <w:color w:val="000000"/>
                <w:sz w:val="18"/>
                <w:szCs w:val="18"/>
              </w:rPr>
              <w:t>ą</w:t>
            </w:r>
            <w:r w:rsidR="00AB1236" w:rsidRPr="00645B23">
              <w:rPr>
                <w:i/>
                <w:iCs/>
                <w:color w:val="000000"/>
                <w:sz w:val="18"/>
                <w:szCs w:val="18"/>
              </w:rPr>
              <w:t xml:space="preserve"> białaczk</w:t>
            </w:r>
            <w:r w:rsidR="008F148D" w:rsidRPr="00645B23">
              <w:rPr>
                <w:i/>
                <w:iCs/>
                <w:color w:val="000000"/>
                <w:sz w:val="18"/>
                <w:szCs w:val="18"/>
              </w:rPr>
              <w:t>ę</w:t>
            </w:r>
            <w:r w:rsidR="00AB1236" w:rsidRPr="00645B23">
              <w:rPr>
                <w:i/>
                <w:iCs/>
                <w:color w:val="000000"/>
                <w:sz w:val="18"/>
                <w:szCs w:val="18"/>
              </w:rPr>
              <w:t xml:space="preserve"> limfoblastyczn</w:t>
            </w:r>
            <w:r w:rsidR="008F148D" w:rsidRPr="00645B23">
              <w:rPr>
                <w:i/>
                <w:iCs/>
                <w:color w:val="000000"/>
                <w:sz w:val="18"/>
                <w:szCs w:val="18"/>
              </w:rPr>
              <w:t>ą</w:t>
            </w:r>
            <w:r w:rsidR="00AB1236" w:rsidRPr="00645B23">
              <w:rPr>
                <w:i/>
                <w:iCs/>
                <w:color w:val="000000"/>
                <w:sz w:val="18"/>
                <w:szCs w:val="18"/>
              </w:rPr>
              <w:t xml:space="preserve"> z obecnością genu BCR-ABL lub chromosomu Filadelfia (Ph+) oraz</w:t>
            </w:r>
            <w:r w:rsidR="008F148D" w:rsidRPr="00645B23">
              <w:rPr>
                <w:i/>
                <w:iCs/>
                <w:color w:val="000000"/>
                <w:sz w:val="18"/>
                <w:szCs w:val="18"/>
              </w:rPr>
              <w:t xml:space="preserve"> dorosłych chorych na</w:t>
            </w:r>
            <w:r w:rsidR="00AB1236" w:rsidRPr="00645B23">
              <w:rPr>
                <w:i/>
                <w:iCs/>
                <w:color w:val="000000"/>
                <w:sz w:val="18"/>
                <w:szCs w:val="18"/>
              </w:rPr>
              <w:t xml:space="preserve"> kryz</w:t>
            </w:r>
            <w:r w:rsidR="008F148D" w:rsidRPr="00645B23">
              <w:rPr>
                <w:i/>
                <w:iCs/>
                <w:color w:val="000000"/>
                <w:sz w:val="18"/>
                <w:szCs w:val="18"/>
              </w:rPr>
              <w:t>ę</w:t>
            </w:r>
            <w:r w:rsidR="00AB1236" w:rsidRPr="00645B23">
              <w:rPr>
                <w:i/>
                <w:iCs/>
                <w:color w:val="000000"/>
                <w:sz w:val="18"/>
                <w:szCs w:val="18"/>
              </w:rPr>
              <w:t xml:space="preserve"> limfoblastyczn</w:t>
            </w:r>
            <w:r w:rsidR="008F148D" w:rsidRPr="00645B23">
              <w:rPr>
                <w:i/>
                <w:iCs/>
                <w:color w:val="000000"/>
                <w:sz w:val="18"/>
                <w:szCs w:val="18"/>
              </w:rPr>
              <w:t>ą</w:t>
            </w:r>
            <w:r w:rsidR="00AB1236" w:rsidRPr="00645B23">
              <w:rPr>
                <w:i/>
                <w:iCs/>
                <w:color w:val="000000"/>
                <w:sz w:val="18"/>
                <w:szCs w:val="18"/>
              </w:rPr>
              <w:t xml:space="preserve"> przewlekłej białaczki szpikowej </w:t>
            </w:r>
          </w:p>
          <w:p w14:paraId="796A396C" w14:textId="50A0E690" w:rsidR="00AB1236" w:rsidRPr="00645B23" w:rsidRDefault="00AB1236" w:rsidP="003427FD">
            <w:pPr>
              <w:spacing w:before="60" w:after="60"/>
              <w:jc w:val="both"/>
              <w:rPr>
                <w:i/>
                <w:iCs/>
                <w:color w:val="000000"/>
                <w:sz w:val="18"/>
                <w:szCs w:val="18"/>
              </w:rPr>
            </w:pPr>
            <w:r w:rsidRPr="00645B23">
              <w:rPr>
                <w:i/>
                <w:iCs/>
                <w:color w:val="000000"/>
                <w:sz w:val="18"/>
                <w:szCs w:val="18"/>
              </w:rPr>
              <w:t>w przypadku:</w:t>
            </w:r>
          </w:p>
          <w:p w14:paraId="1FB31B29" w14:textId="5445E795" w:rsidR="00AB1236" w:rsidRPr="00645B23" w:rsidRDefault="00AB1236" w:rsidP="003427FD">
            <w:pPr>
              <w:spacing w:before="60" w:after="60"/>
              <w:jc w:val="both"/>
              <w:rPr>
                <w:i/>
                <w:iCs/>
                <w:color w:val="000000"/>
                <w:sz w:val="18"/>
                <w:szCs w:val="18"/>
              </w:rPr>
            </w:pPr>
            <w:r w:rsidRPr="00645B23">
              <w:rPr>
                <w:i/>
                <w:iCs/>
                <w:color w:val="000000"/>
                <w:sz w:val="18"/>
                <w:szCs w:val="18"/>
              </w:rPr>
              <w:t>oporności lub niepowodzenia leczenia (np. brak całkowitej remisji hematologicznej po leczeniu indukującym remisję lub większej odpowiedzi molekularnej po leczeniu konsolidującym remisję) albo wznowy hematologicznej lub molekularnej (narastanie mierzalnej choroby resztkowej), jeśli protokół wcześniejszego leczenia nie obejmował dazatynibu,</w:t>
            </w:r>
          </w:p>
          <w:p w14:paraId="3525C3FE" w14:textId="77777777" w:rsidR="00AB1236" w:rsidRPr="00645B23" w:rsidRDefault="00AB1236" w:rsidP="003427FD">
            <w:pPr>
              <w:spacing w:before="60" w:after="60"/>
              <w:jc w:val="both"/>
              <w:rPr>
                <w:i/>
                <w:iCs/>
                <w:color w:val="000000"/>
                <w:sz w:val="18"/>
                <w:szCs w:val="18"/>
              </w:rPr>
            </w:pPr>
            <w:r w:rsidRPr="00645B23">
              <w:rPr>
                <w:i/>
                <w:iCs/>
                <w:color w:val="000000"/>
                <w:sz w:val="18"/>
                <w:szCs w:val="18"/>
              </w:rPr>
              <w:t>lub</w:t>
            </w:r>
          </w:p>
          <w:p w14:paraId="24E91BB3" w14:textId="002085DA" w:rsidR="00AB1236" w:rsidRPr="00645B23" w:rsidRDefault="00AB1236" w:rsidP="003427FD">
            <w:pPr>
              <w:spacing w:before="60" w:after="60"/>
              <w:jc w:val="both"/>
              <w:rPr>
                <w:i/>
                <w:iCs/>
                <w:color w:val="000000"/>
                <w:sz w:val="18"/>
                <w:szCs w:val="18"/>
              </w:rPr>
            </w:pPr>
            <w:r w:rsidRPr="00645B23">
              <w:rPr>
                <w:i/>
                <w:iCs/>
                <w:color w:val="000000"/>
                <w:sz w:val="18"/>
                <w:szCs w:val="18"/>
              </w:rPr>
              <w:t>gdy wystąpiły objawy nietolerancji imatynibu w trakcie wcześniejszej terapii w stopniu uniemożliwiającym dalsze jego stosowanie,</w:t>
            </w:r>
          </w:p>
          <w:p w14:paraId="1DD865EA" w14:textId="77777777" w:rsidR="00AB1236" w:rsidRPr="00645B23" w:rsidRDefault="00AB1236" w:rsidP="003427FD">
            <w:pPr>
              <w:spacing w:before="60" w:after="60"/>
              <w:jc w:val="both"/>
              <w:rPr>
                <w:i/>
                <w:iCs/>
                <w:color w:val="000000"/>
                <w:sz w:val="18"/>
                <w:szCs w:val="18"/>
              </w:rPr>
            </w:pPr>
            <w:r w:rsidRPr="00645B23">
              <w:rPr>
                <w:i/>
                <w:iCs/>
                <w:color w:val="000000"/>
                <w:sz w:val="18"/>
                <w:szCs w:val="18"/>
              </w:rPr>
              <w:t>lub</w:t>
            </w:r>
          </w:p>
          <w:p w14:paraId="2B9715F1" w14:textId="70B99888" w:rsidR="00AB1236" w:rsidRPr="00645B23" w:rsidRDefault="00AB1236" w:rsidP="003427FD">
            <w:pPr>
              <w:spacing w:before="60" w:after="60"/>
              <w:jc w:val="both"/>
              <w:rPr>
                <w:i/>
                <w:iCs/>
                <w:color w:val="000000"/>
                <w:sz w:val="18"/>
                <w:szCs w:val="18"/>
              </w:rPr>
            </w:pPr>
            <w:r w:rsidRPr="00645B23">
              <w:rPr>
                <w:i/>
                <w:iCs/>
                <w:color w:val="000000"/>
                <w:sz w:val="18"/>
                <w:szCs w:val="18"/>
              </w:rPr>
              <w:t>gdy uzyskano całkowitą remisję hematologiczną lub odpowiedź molekularną w wyniku leczenia dazatynibem i prowadzone jest leczenie podtrzymujące obejmujące dazatynib, w tym po przeszczepieniu allogenicznych krwiotwórczych komórek macierzystych (w szczególności jeśli przed przeszczepieniem nie uzyskano całkowitej odpowiedzi molekularnej),</w:t>
            </w:r>
          </w:p>
          <w:p w14:paraId="5E3193AB" w14:textId="77777777" w:rsidR="00AB1236" w:rsidRPr="00645B23" w:rsidRDefault="00AB1236" w:rsidP="003427FD">
            <w:pPr>
              <w:spacing w:before="60" w:after="60"/>
              <w:jc w:val="both"/>
              <w:rPr>
                <w:i/>
                <w:iCs/>
                <w:color w:val="000000"/>
                <w:sz w:val="18"/>
                <w:szCs w:val="18"/>
              </w:rPr>
            </w:pPr>
            <w:r w:rsidRPr="00645B23">
              <w:rPr>
                <w:i/>
                <w:iCs/>
                <w:color w:val="000000"/>
                <w:sz w:val="18"/>
                <w:szCs w:val="18"/>
              </w:rPr>
              <w:t>lub</w:t>
            </w:r>
          </w:p>
          <w:p w14:paraId="28D239DD" w14:textId="08B03286" w:rsidR="00E76CA7" w:rsidRPr="00645B23" w:rsidRDefault="00AB1236" w:rsidP="003427FD">
            <w:pPr>
              <w:spacing w:before="60" w:after="60"/>
              <w:jc w:val="both"/>
              <w:rPr>
                <w:i/>
                <w:iCs/>
                <w:color w:val="000000"/>
                <w:sz w:val="18"/>
                <w:szCs w:val="18"/>
              </w:rPr>
            </w:pPr>
            <w:r w:rsidRPr="00645B23">
              <w:rPr>
                <w:i/>
                <w:iCs/>
                <w:color w:val="000000"/>
                <w:sz w:val="18"/>
                <w:szCs w:val="18"/>
              </w:rPr>
              <w:t>gdy przy rozpoznaniu lub na jakimkolwiek etapie leczenia stwierdzono pierwotne zajęcie ośrodkowego układu nerwowego (OUN).</w:t>
            </w:r>
          </w:p>
        </w:tc>
      </w:tr>
    </w:tbl>
    <w:p w14:paraId="5DA66E90" w14:textId="3A1F3142" w:rsidR="00B9157D" w:rsidRDefault="00B9157D">
      <w:pPr>
        <w:rPr>
          <w:sz w:val="22"/>
        </w:rPr>
      </w:pPr>
    </w:p>
    <w:sectPr w:rsidR="00B9157D" w:rsidSect="00A65CE0">
      <w:pgSz w:w="16838" w:h="11906" w:orient="landscape"/>
      <w:pgMar w:top="1588" w:right="720" w:bottom="1418"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613B4"/>
    <w:multiLevelType w:val="hybridMultilevel"/>
    <w:tmpl w:val="3F7E208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41C6504"/>
    <w:multiLevelType w:val="hybridMultilevel"/>
    <w:tmpl w:val="3F7E208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E731120"/>
    <w:multiLevelType w:val="hybridMultilevel"/>
    <w:tmpl w:val="3F7E208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17F71928"/>
    <w:multiLevelType w:val="hybridMultilevel"/>
    <w:tmpl w:val="3F7E208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29475216"/>
    <w:multiLevelType w:val="multilevel"/>
    <w:tmpl w:val="9A1236F2"/>
    <w:lvl w:ilvl="0">
      <w:start w:val="1"/>
      <w:numFmt w:val="decimal"/>
      <w:suff w:val="nothing"/>
      <w:lvlText w:val="%1."/>
      <w:lvlJc w:val="left"/>
      <w:pPr>
        <w:ind w:left="0" w:firstLine="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2C7D669F"/>
    <w:multiLevelType w:val="multilevel"/>
    <w:tmpl w:val="47E20702"/>
    <w:lvl w:ilvl="0">
      <w:start w:val="1"/>
      <w:numFmt w:val="decimal"/>
      <w:lvlText w:val="%1."/>
      <w:lvlJc w:val="center"/>
      <w:pPr>
        <w:ind w:left="710" w:firstLine="0"/>
      </w:pPr>
      <w:rPr>
        <w:rFonts w:hint="default"/>
        <w:sz w:val="18"/>
        <w:szCs w:val="18"/>
      </w:rPr>
    </w:lvl>
    <w:lvl w:ilvl="1">
      <w:start w:val="1"/>
      <w:numFmt w:val="lowerLetter"/>
      <w:lvlText w:val="%2."/>
      <w:lvlJc w:val="left"/>
      <w:pPr>
        <w:tabs>
          <w:tab w:val="num" w:pos="2150"/>
        </w:tabs>
        <w:ind w:left="2150" w:hanging="360"/>
      </w:pPr>
      <w:rPr>
        <w:rFonts w:hint="default"/>
      </w:rPr>
    </w:lvl>
    <w:lvl w:ilvl="2">
      <w:start w:val="1"/>
      <w:numFmt w:val="lowerRoman"/>
      <w:lvlText w:val="%3."/>
      <w:lvlJc w:val="right"/>
      <w:pPr>
        <w:tabs>
          <w:tab w:val="num" w:pos="2870"/>
        </w:tabs>
        <w:ind w:left="2870" w:hanging="180"/>
      </w:pPr>
      <w:rPr>
        <w:rFonts w:hint="default"/>
      </w:rPr>
    </w:lvl>
    <w:lvl w:ilvl="3">
      <w:start w:val="1"/>
      <w:numFmt w:val="decimal"/>
      <w:lvlText w:val="%4."/>
      <w:lvlJc w:val="left"/>
      <w:pPr>
        <w:tabs>
          <w:tab w:val="num" w:pos="359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6" w15:restartNumberingAfterBreak="0">
    <w:nsid w:val="32825510"/>
    <w:multiLevelType w:val="multilevel"/>
    <w:tmpl w:val="45508CC4"/>
    <w:lvl w:ilvl="0">
      <w:start w:val="1"/>
      <w:numFmt w:val="decimal"/>
      <w:lvlText w:val="%1."/>
      <w:lvlJc w:val="center"/>
      <w:pPr>
        <w:ind w:left="710" w:firstLine="0"/>
      </w:pPr>
      <w:rPr>
        <w:rFonts w:hint="default"/>
        <w:sz w:val="18"/>
        <w:szCs w:val="18"/>
      </w:rPr>
    </w:lvl>
    <w:lvl w:ilvl="1">
      <w:start w:val="1"/>
      <w:numFmt w:val="lowerLetter"/>
      <w:lvlText w:val="%2."/>
      <w:lvlJc w:val="left"/>
      <w:pPr>
        <w:tabs>
          <w:tab w:val="num" w:pos="2150"/>
        </w:tabs>
        <w:ind w:left="2150" w:hanging="360"/>
      </w:pPr>
      <w:rPr>
        <w:rFonts w:hint="default"/>
      </w:rPr>
    </w:lvl>
    <w:lvl w:ilvl="2">
      <w:start w:val="1"/>
      <w:numFmt w:val="lowerRoman"/>
      <w:lvlText w:val="%3."/>
      <w:lvlJc w:val="right"/>
      <w:pPr>
        <w:tabs>
          <w:tab w:val="num" w:pos="2870"/>
        </w:tabs>
        <w:ind w:left="2870" w:hanging="180"/>
      </w:pPr>
      <w:rPr>
        <w:rFonts w:hint="default"/>
      </w:rPr>
    </w:lvl>
    <w:lvl w:ilvl="3">
      <w:start w:val="1"/>
      <w:numFmt w:val="decimal"/>
      <w:lvlText w:val="%4."/>
      <w:lvlJc w:val="left"/>
      <w:pPr>
        <w:tabs>
          <w:tab w:val="num" w:pos="359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7" w15:restartNumberingAfterBreak="0">
    <w:nsid w:val="36397195"/>
    <w:multiLevelType w:val="hybridMultilevel"/>
    <w:tmpl w:val="3F7E208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502138B2"/>
    <w:multiLevelType w:val="hybridMultilevel"/>
    <w:tmpl w:val="3F7E208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54737ED6"/>
    <w:multiLevelType w:val="hybridMultilevel"/>
    <w:tmpl w:val="55A288A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580334A3"/>
    <w:multiLevelType w:val="hybridMultilevel"/>
    <w:tmpl w:val="3F7E208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61055819"/>
    <w:multiLevelType w:val="hybridMultilevel"/>
    <w:tmpl w:val="3F7E208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6E005618"/>
    <w:multiLevelType w:val="hybridMultilevel"/>
    <w:tmpl w:val="3F7E208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254097359">
    <w:abstractNumId w:val="5"/>
  </w:num>
  <w:num w:numId="2" w16cid:durableId="752167679">
    <w:abstractNumId w:val="9"/>
  </w:num>
  <w:num w:numId="3" w16cid:durableId="442767989">
    <w:abstractNumId w:val="8"/>
  </w:num>
  <w:num w:numId="4" w16cid:durableId="1051153734">
    <w:abstractNumId w:val="3"/>
  </w:num>
  <w:num w:numId="5" w16cid:durableId="179585986">
    <w:abstractNumId w:val="1"/>
  </w:num>
  <w:num w:numId="6" w16cid:durableId="1892418848">
    <w:abstractNumId w:val="2"/>
  </w:num>
  <w:num w:numId="7" w16cid:durableId="1129058059">
    <w:abstractNumId w:val="10"/>
  </w:num>
  <w:num w:numId="8" w16cid:durableId="1921062835">
    <w:abstractNumId w:val="7"/>
  </w:num>
  <w:num w:numId="9" w16cid:durableId="833303556">
    <w:abstractNumId w:val="12"/>
  </w:num>
  <w:num w:numId="10" w16cid:durableId="1777672729">
    <w:abstractNumId w:val="11"/>
  </w:num>
  <w:num w:numId="11" w16cid:durableId="1616980129">
    <w:abstractNumId w:val="0"/>
  </w:num>
  <w:num w:numId="12" w16cid:durableId="1803227160">
    <w:abstractNumId w:val="4"/>
  </w:num>
  <w:num w:numId="13" w16cid:durableId="9816637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363"/>
    <w:rsid w:val="0003092E"/>
    <w:rsid w:val="00031B5F"/>
    <w:rsid w:val="001166CA"/>
    <w:rsid w:val="0012430E"/>
    <w:rsid w:val="00140204"/>
    <w:rsid w:val="00140363"/>
    <w:rsid w:val="001C24A8"/>
    <w:rsid w:val="001C4F20"/>
    <w:rsid w:val="002349F1"/>
    <w:rsid w:val="0029666A"/>
    <w:rsid w:val="002A1B69"/>
    <w:rsid w:val="002A3065"/>
    <w:rsid w:val="002C7B75"/>
    <w:rsid w:val="00341E9C"/>
    <w:rsid w:val="003427FD"/>
    <w:rsid w:val="003545DF"/>
    <w:rsid w:val="003974AA"/>
    <w:rsid w:val="003B290D"/>
    <w:rsid w:val="004372BB"/>
    <w:rsid w:val="004831F9"/>
    <w:rsid w:val="004C49AE"/>
    <w:rsid w:val="004E45C9"/>
    <w:rsid w:val="00566DE6"/>
    <w:rsid w:val="005C7A5E"/>
    <w:rsid w:val="006036FE"/>
    <w:rsid w:val="00612300"/>
    <w:rsid w:val="00645B23"/>
    <w:rsid w:val="00646691"/>
    <w:rsid w:val="00654B89"/>
    <w:rsid w:val="006F634F"/>
    <w:rsid w:val="00726315"/>
    <w:rsid w:val="007269A7"/>
    <w:rsid w:val="00760869"/>
    <w:rsid w:val="00794590"/>
    <w:rsid w:val="007C3583"/>
    <w:rsid w:val="00803F5E"/>
    <w:rsid w:val="00806611"/>
    <w:rsid w:val="008218A5"/>
    <w:rsid w:val="008B2389"/>
    <w:rsid w:val="008D05CA"/>
    <w:rsid w:val="008F148D"/>
    <w:rsid w:val="00940E35"/>
    <w:rsid w:val="00A65CE0"/>
    <w:rsid w:val="00A673E4"/>
    <w:rsid w:val="00A83BF3"/>
    <w:rsid w:val="00AA26E4"/>
    <w:rsid w:val="00AB1236"/>
    <w:rsid w:val="00AE484B"/>
    <w:rsid w:val="00B24283"/>
    <w:rsid w:val="00B573DE"/>
    <w:rsid w:val="00B665F8"/>
    <w:rsid w:val="00B9144B"/>
    <w:rsid w:val="00B9157D"/>
    <w:rsid w:val="00C01A4A"/>
    <w:rsid w:val="00C416FB"/>
    <w:rsid w:val="00C61B38"/>
    <w:rsid w:val="00CC633E"/>
    <w:rsid w:val="00D018FC"/>
    <w:rsid w:val="00D3319F"/>
    <w:rsid w:val="00D44F46"/>
    <w:rsid w:val="00D53114"/>
    <w:rsid w:val="00D633D7"/>
    <w:rsid w:val="00E76CA7"/>
    <w:rsid w:val="00EF6412"/>
    <w:rsid w:val="00F150E4"/>
    <w:rsid w:val="00F60B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4093B0"/>
  <w15:chartTrackingRefBased/>
  <w15:docId w15:val="{5441BFAC-1E4F-43B5-A45A-160426038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rsid w:val="00612300"/>
    <w:rPr>
      <w:sz w:val="16"/>
      <w:szCs w:val="16"/>
    </w:rPr>
  </w:style>
  <w:style w:type="paragraph" w:styleId="Tekstkomentarza">
    <w:name w:val="annotation text"/>
    <w:basedOn w:val="Normalny"/>
    <w:link w:val="TekstkomentarzaZnak"/>
    <w:rsid w:val="00612300"/>
    <w:rPr>
      <w:sz w:val="20"/>
      <w:szCs w:val="20"/>
    </w:rPr>
  </w:style>
  <w:style w:type="character" w:customStyle="1" w:styleId="TekstkomentarzaZnak">
    <w:name w:val="Tekst komentarza Znak"/>
    <w:basedOn w:val="Domylnaczcionkaakapitu"/>
    <w:link w:val="Tekstkomentarza"/>
    <w:rsid w:val="00612300"/>
  </w:style>
  <w:style w:type="paragraph" w:styleId="Tematkomentarza">
    <w:name w:val="annotation subject"/>
    <w:basedOn w:val="Tekstkomentarza"/>
    <w:next w:val="Tekstkomentarza"/>
    <w:link w:val="TematkomentarzaZnak"/>
    <w:semiHidden/>
    <w:unhideWhenUsed/>
    <w:rsid w:val="00612300"/>
    <w:rPr>
      <w:b/>
      <w:bCs/>
    </w:rPr>
  </w:style>
  <w:style w:type="character" w:customStyle="1" w:styleId="TematkomentarzaZnak">
    <w:name w:val="Temat komentarza Znak"/>
    <w:basedOn w:val="TekstkomentarzaZnak"/>
    <w:link w:val="Tematkomentarza"/>
    <w:semiHidden/>
    <w:rsid w:val="00612300"/>
    <w:rPr>
      <w:b/>
      <w:bCs/>
    </w:rPr>
  </w:style>
  <w:style w:type="paragraph" w:styleId="Poprawka">
    <w:name w:val="Revision"/>
    <w:hidden/>
    <w:uiPriority w:val="99"/>
    <w:semiHidden/>
    <w:rsid w:val="0029666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4461874">
      <w:bodyDiv w:val="1"/>
      <w:marLeft w:val="0"/>
      <w:marRight w:val="0"/>
      <w:marTop w:val="0"/>
      <w:marBottom w:val="0"/>
      <w:divBdr>
        <w:top w:val="none" w:sz="0" w:space="0" w:color="auto"/>
        <w:left w:val="none" w:sz="0" w:space="0" w:color="auto"/>
        <w:bottom w:val="none" w:sz="0" w:space="0" w:color="auto"/>
        <w:right w:val="none" w:sz="0" w:space="0" w:color="auto"/>
      </w:divBdr>
    </w:div>
    <w:div w:id="986520926">
      <w:bodyDiv w:val="1"/>
      <w:marLeft w:val="0"/>
      <w:marRight w:val="0"/>
      <w:marTop w:val="0"/>
      <w:marBottom w:val="0"/>
      <w:divBdr>
        <w:top w:val="none" w:sz="0" w:space="0" w:color="auto"/>
        <w:left w:val="none" w:sz="0" w:space="0" w:color="auto"/>
        <w:bottom w:val="none" w:sz="0" w:space="0" w:color="auto"/>
        <w:right w:val="none" w:sz="0" w:space="0" w:color="auto"/>
      </w:divBdr>
    </w:div>
    <w:div w:id="102695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155</Words>
  <Characters>1172</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Załącznik do decyzji</vt:lpstr>
    </vt:vector>
  </TitlesOfParts>
  <Company/>
  <LinksUpToDate>false</LinksUpToDate>
  <CharactersWithSpaces>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do decyzji</dc:title>
  <dc:subject>Chemioterapia</dc:subject>
  <dc:creator>Ministerstwo Zdrowia;Kurek Katarzyna</dc:creator>
  <cp:keywords/>
  <cp:lastModifiedBy>Królak-Buzakowska Joanna</cp:lastModifiedBy>
  <cp:revision>3</cp:revision>
  <dcterms:created xsi:type="dcterms:W3CDTF">2023-09-18T13:25:00Z</dcterms:created>
  <dcterms:modified xsi:type="dcterms:W3CDTF">2023-09-29T07:33:00Z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de15052f7d5a475f85d013c111ff16c597de610e4c0a7443e0e51d981521eb86</vt:lpwstr>
  </property>
</Properties>
</file>