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4BAE2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06"/>
        <w:gridCol w:w="1535"/>
        <w:gridCol w:w="7315"/>
      </w:tblGrid>
      <w:tr w:rsidR="00645ADA" w:rsidRPr="002450C4" w14:paraId="1D295413" w14:textId="77777777" w:rsidTr="00645ADA">
        <w:tc>
          <w:tcPr>
            <w:tcW w:w="506" w:type="dxa"/>
          </w:tcPr>
          <w:p w14:paraId="5E624392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35" w:type="dxa"/>
          </w:tcPr>
          <w:p w14:paraId="7AC71F36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315" w:type="dxa"/>
          </w:tcPr>
          <w:p w14:paraId="44055F64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645ADA" w:rsidRPr="002450C4" w14:paraId="121D32B7" w14:textId="77777777" w:rsidTr="00645ADA">
        <w:tc>
          <w:tcPr>
            <w:tcW w:w="506" w:type="dxa"/>
          </w:tcPr>
          <w:p w14:paraId="558B211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55812E12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7315" w:type="dxa"/>
          </w:tcPr>
          <w:p w14:paraId="57D143A7" w14:textId="3C7D6DB2" w:rsidR="007A0A3D" w:rsidRPr="00FA5CFB" w:rsidRDefault="00FA5CFB" w:rsidP="0092099A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Internetowa Platforma Doradztwa i Wspomagania Decyzji w Integrowanej Ochronie Roślin</w:t>
            </w:r>
          </w:p>
        </w:tc>
      </w:tr>
      <w:tr w:rsidR="00645ADA" w:rsidRPr="002450C4" w14:paraId="648E1637" w14:textId="77777777" w:rsidTr="00645ADA">
        <w:trPr>
          <w:trHeight w:val="265"/>
        </w:trPr>
        <w:tc>
          <w:tcPr>
            <w:tcW w:w="506" w:type="dxa"/>
          </w:tcPr>
          <w:p w14:paraId="052F502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0323A2F2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315" w:type="dxa"/>
          </w:tcPr>
          <w:p w14:paraId="092ED42A" w14:textId="2658F04F" w:rsidR="001C611C" w:rsidRPr="00FA5CFB" w:rsidRDefault="00FA5CFB" w:rsidP="0092099A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Wielkopolski Ośrodek Doradztwa Rolniczego w Poznaniu (WODR)</w:t>
            </w:r>
          </w:p>
        </w:tc>
      </w:tr>
      <w:tr w:rsidR="00645ADA" w:rsidRPr="002450C4" w14:paraId="66F926A2" w14:textId="77777777" w:rsidTr="00645ADA">
        <w:tc>
          <w:tcPr>
            <w:tcW w:w="506" w:type="dxa"/>
          </w:tcPr>
          <w:p w14:paraId="39F72D57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5A932657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315" w:type="dxa"/>
          </w:tcPr>
          <w:p w14:paraId="7C9538AD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Instytut Ochrony Roślin - Państwowy Instytut Badawczy (IOR),</w:t>
            </w:r>
          </w:p>
          <w:p w14:paraId="03AC346B" w14:textId="71F48591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Instytut Chemii Bioorganicznej Polskiej Akademii Nauk - Poznańskie Centrum Superkomputerowo-Sieciowe (PCSS),</w:t>
            </w:r>
          </w:p>
          <w:p w14:paraId="0063B22F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Centrum Doradztwa Rolniczego w Brwinowie (CDR),</w:t>
            </w:r>
          </w:p>
          <w:p w14:paraId="0BB7693A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Pomorski Ośrodek Doradztwa Rolniczego w Lubaniu,</w:t>
            </w:r>
          </w:p>
          <w:p w14:paraId="164C99BC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Mazowiecki Ośrodek Doradztwa Rolniczego w Warszawie,</w:t>
            </w:r>
          </w:p>
          <w:p w14:paraId="13B283FA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Lubuski Ośrodek Doradztwa Rolniczego,</w:t>
            </w:r>
          </w:p>
          <w:p w14:paraId="427DCB60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Dolnośląski Ośrodek Doradztwa Rolniczego we Wrocławiu,</w:t>
            </w:r>
          </w:p>
          <w:p w14:paraId="6EEFF0E2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Kujawsko-Pomorski Ośrodek Doradztwa Rolniczego w Minikowie,</w:t>
            </w:r>
          </w:p>
          <w:p w14:paraId="05F90FE2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Lubelski Ośrodek Doradztwa Rolniczego w Końskowoli,</w:t>
            </w:r>
          </w:p>
          <w:p w14:paraId="3EE2F54B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Łódzki Ośrodek Doradztwa Rolniczego w Bratoszewicach,</w:t>
            </w:r>
          </w:p>
          <w:p w14:paraId="23E90DD2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Małopolski Ośrodek Doradztwa Rolniczego w Karniowicach,</w:t>
            </w:r>
          </w:p>
          <w:p w14:paraId="3EC40762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Opolski Ośrodek Doradztwa Rolniczego w Łosiowie,</w:t>
            </w:r>
          </w:p>
          <w:p w14:paraId="015C0921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Podkarpacki Ośrodek Doradztwa Rolniczego w Boguchwale,</w:t>
            </w:r>
          </w:p>
          <w:p w14:paraId="42D6F840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Podlaski Ośrodek Doradztwa Rolniczego w Szepietowie,</w:t>
            </w:r>
          </w:p>
          <w:p w14:paraId="4BFE911B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Śląski Ośrodek Doradztwa Rolniczego w Częstochowie,</w:t>
            </w:r>
          </w:p>
          <w:p w14:paraId="0011A6A8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Świętokrzyski Ośrodek Doradztwa Rolniczego w Modliszewicach,</w:t>
            </w:r>
          </w:p>
          <w:p w14:paraId="40333972" w14:textId="77777777" w:rsidR="00FA5CFB" w:rsidRPr="00FA5CFB" w:rsidRDefault="00FA5CFB" w:rsidP="00FA5CFB">
            <w:pPr>
              <w:jc w:val="both"/>
              <w:rPr>
                <w:iCs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Warmińsko-Mazurski Ośrodek Doradztwa Rolniczego w Olsztynie,</w:t>
            </w:r>
          </w:p>
          <w:p w14:paraId="5A32B93C" w14:textId="082FB006" w:rsidR="007A0A3D" w:rsidRPr="002450C4" w:rsidRDefault="00FA5CFB" w:rsidP="00FA5CFB">
            <w:pPr>
              <w:jc w:val="both"/>
              <w:rPr>
                <w:i/>
                <w:sz w:val="18"/>
                <w:szCs w:val="20"/>
              </w:rPr>
            </w:pPr>
            <w:r w:rsidRPr="00FA5CFB">
              <w:rPr>
                <w:iCs/>
                <w:sz w:val="18"/>
                <w:szCs w:val="20"/>
              </w:rPr>
              <w:t>Zachodniopomorski Ośrodek Doradztwa Rolniczego w Barzkowicach</w:t>
            </w:r>
          </w:p>
        </w:tc>
      </w:tr>
      <w:tr w:rsidR="00645ADA" w:rsidRPr="002450C4" w14:paraId="339B0C98" w14:textId="77777777" w:rsidTr="00645ADA">
        <w:tc>
          <w:tcPr>
            <w:tcW w:w="506" w:type="dxa"/>
          </w:tcPr>
          <w:p w14:paraId="7F4C0E02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502168E8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  <w:p w14:paraId="38DA44AD" w14:textId="77777777" w:rsidR="00B11E9C" w:rsidRDefault="00B11E9C" w:rsidP="0092099A">
            <w:pPr>
              <w:jc w:val="both"/>
              <w:rPr>
                <w:sz w:val="18"/>
                <w:szCs w:val="20"/>
              </w:rPr>
            </w:pPr>
          </w:p>
          <w:p w14:paraId="23C257EB" w14:textId="2CC26646" w:rsidR="00B11E9C" w:rsidRDefault="00B11E9C" w:rsidP="00FB19E0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7315" w:type="dxa"/>
          </w:tcPr>
          <w:p w14:paraId="4049E60D" w14:textId="77777777" w:rsidR="00686F1E" w:rsidRDefault="008865D6" w:rsidP="008865D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Planowany koszt projektu:</w:t>
            </w:r>
          </w:p>
          <w:p w14:paraId="41ABA3F0" w14:textId="6DA4CD7B" w:rsidR="008865D6" w:rsidRDefault="00686F1E" w:rsidP="008865D6">
            <w:pPr>
              <w:jc w:val="both"/>
              <w:rPr>
                <w:iCs/>
                <w:sz w:val="18"/>
                <w:szCs w:val="20"/>
              </w:rPr>
            </w:pPr>
            <w:r w:rsidRPr="00686F1E">
              <w:rPr>
                <w:iCs/>
                <w:sz w:val="18"/>
                <w:szCs w:val="20"/>
              </w:rPr>
              <w:t>Pierwotny planowany koszt realizacji</w:t>
            </w:r>
            <w:r>
              <w:rPr>
                <w:iCs/>
                <w:sz w:val="18"/>
                <w:szCs w:val="20"/>
              </w:rPr>
              <w:t xml:space="preserve">: </w:t>
            </w:r>
            <w:r w:rsidR="008865D6">
              <w:rPr>
                <w:iCs/>
                <w:sz w:val="18"/>
                <w:szCs w:val="20"/>
              </w:rPr>
              <w:t xml:space="preserve"> </w:t>
            </w:r>
            <w:r w:rsidRPr="00686F1E">
              <w:rPr>
                <w:iCs/>
                <w:sz w:val="18"/>
                <w:szCs w:val="20"/>
              </w:rPr>
              <w:t>20 920 583,10 zł</w:t>
            </w:r>
          </w:p>
          <w:p w14:paraId="2B5977DC" w14:textId="6E1C77D6" w:rsidR="00686F1E" w:rsidRDefault="00686F1E" w:rsidP="008865D6">
            <w:pPr>
              <w:jc w:val="both"/>
              <w:rPr>
                <w:iCs/>
                <w:sz w:val="18"/>
                <w:szCs w:val="20"/>
              </w:rPr>
            </w:pPr>
            <w:r w:rsidRPr="00686F1E">
              <w:rPr>
                <w:iCs/>
                <w:sz w:val="18"/>
                <w:szCs w:val="20"/>
              </w:rPr>
              <w:t>Ostatni planowany koszt realizacji projektu</w:t>
            </w:r>
            <w:r>
              <w:rPr>
                <w:iCs/>
                <w:sz w:val="18"/>
                <w:szCs w:val="20"/>
              </w:rPr>
              <w:t xml:space="preserve">: </w:t>
            </w:r>
            <w:r w:rsidRPr="00686F1E">
              <w:rPr>
                <w:iCs/>
                <w:sz w:val="18"/>
                <w:szCs w:val="20"/>
              </w:rPr>
              <w:t>20 902 508,02 zł</w:t>
            </w:r>
          </w:p>
          <w:p w14:paraId="254D9944" w14:textId="77777777" w:rsidR="00686F1E" w:rsidRDefault="00686F1E" w:rsidP="008865D6">
            <w:pPr>
              <w:jc w:val="both"/>
              <w:rPr>
                <w:iCs/>
                <w:sz w:val="18"/>
                <w:szCs w:val="20"/>
              </w:rPr>
            </w:pPr>
          </w:p>
          <w:p w14:paraId="70BCFDD5" w14:textId="77777777" w:rsidR="008865D6" w:rsidRDefault="008865D6" w:rsidP="008865D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Faktyczny koszt projektu: 19 864 032,96 zł</w:t>
            </w:r>
          </w:p>
          <w:p w14:paraId="1D62D7CE" w14:textId="77777777" w:rsidR="008865D6" w:rsidRDefault="008865D6" w:rsidP="008865D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Przyczyny odchyleń:</w:t>
            </w:r>
          </w:p>
          <w:p w14:paraId="73FDC463" w14:textId="77777777" w:rsidR="008865D6" w:rsidRDefault="008865D6" w:rsidP="008865D6">
            <w:pPr>
              <w:jc w:val="both"/>
              <w:rPr>
                <w:iCs/>
                <w:sz w:val="18"/>
                <w:szCs w:val="20"/>
              </w:rPr>
            </w:pPr>
            <w:r w:rsidRPr="00635A34">
              <w:rPr>
                <w:iCs/>
                <w:sz w:val="18"/>
                <w:szCs w:val="20"/>
              </w:rPr>
              <w:t>Odchylenia wynikają z</w:t>
            </w:r>
            <w:r>
              <w:rPr>
                <w:iCs/>
                <w:sz w:val="18"/>
                <w:szCs w:val="20"/>
              </w:rPr>
              <w:t>:</w:t>
            </w:r>
          </w:p>
          <w:p w14:paraId="6963FFE6" w14:textId="77777777" w:rsidR="008865D6" w:rsidRPr="00635A34" w:rsidRDefault="008865D6" w:rsidP="008865D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1)</w:t>
            </w:r>
            <w:r w:rsidRPr="00635A34">
              <w:rPr>
                <w:iCs/>
                <w:sz w:val="18"/>
                <w:szCs w:val="20"/>
              </w:rPr>
              <w:t xml:space="preserve"> okresu pandemii COVID-19 w trakcie którego wiele zaplanowanych aktywności (delegacje, szkolenia) nie odbyło się bądź odbyło się w formie zdalnej</w:t>
            </w:r>
            <w:r>
              <w:rPr>
                <w:iCs/>
                <w:sz w:val="18"/>
                <w:szCs w:val="20"/>
              </w:rPr>
              <w:t>;</w:t>
            </w:r>
          </w:p>
          <w:p w14:paraId="3C5D1729" w14:textId="77777777" w:rsidR="008865D6" w:rsidRDefault="008865D6" w:rsidP="008865D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2) ofert złożonych przez wykonawców w ramach postępowaniach zakupowych w trakcie realizacji projektu </w:t>
            </w:r>
          </w:p>
          <w:p w14:paraId="5A4E5C5B" w14:textId="6C5BE637" w:rsidR="008865D6" w:rsidRPr="00635A34" w:rsidRDefault="008865D6" w:rsidP="008865D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3) </w:t>
            </w:r>
            <w:r w:rsidR="00EF6575">
              <w:rPr>
                <w:iCs/>
                <w:sz w:val="18"/>
                <w:szCs w:val="20"/>
              </w:rPr>
              <w:t>zmniejszonych</w:t>
            </w:r>
            <w:r>
              <w:rPr>
                <w:iCs/>
                <w:sz w:val="18"/>
                <w:szCs w:val="20"/>
              </w:rPr>
              <w:t xml:space="preserve"> opłat za usługi</w:t>
            </w:r>
            <w:r w:rsidR="00EF6575">
              <w:rPr>
                <w:iCs/>
                <w:sz w:val="18"/>
                <w:szCs w:val="20"/>
              </w:rPr>
              <w:t xml:space="preserve"> / licencje</w:t>
            </w:r>
            <w:r>
              <w:rPr>
                <w:iCs/>
                <w:sz w:val="18"/>
                <w:szCs w:val="20"/>
              </w:rPr>
              <w:t xml:space="preserve"> </w:t>
            </w:r>
            <w:r w:rsidR="00EF6575">
              <w:rPr>
                <w:iCs/>
                <w:sz w:val="18"/>
                <w:szCs w:val="20"/>
              </w:rPr>
              <w:t>dostępu do danych i modeli, prognozy pogody oraz zagraniczne modele wspomagania decyzji otrzymujemy bezpłatnie</w:t>
            </w:r>
            <w:r>
              <w:rPr>
                <w:iCs/>
                <w:sz w:val="18"/>
                <w:szCs w:val="20"/>
              </w:rPr>
              <w:t>.</w:t>
            </w:r>
          </w:p>
          <w:p w14:paraId="0B39EE72" w14:textId="77777777" w:rsidR="008865D6" w:rsidRDefault="008865D6" w:rsidP="008865D6">
            <w:pPr>
              <w:jc w:val="both"/>
              <w:rPr>
                <w:iCs/>
                <w:sz w:val="18"/>
                <w:szCs w:val="20"/>
              </w:rPr>
            </w:pPr>
          </w:p>
          <w:p w14:paraId="487D47A8" w14:textId="77777777" w:rsidR="008865D6" w:rsidRDefault="008865D6" w:rsidP="008865D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Korekty finansowe:</w:t>
            </w:r>
          </w:p>
          <w:p w14:paraId="0932D35F" w14:textId="77777777" w:rsidR="008865D6" w:rsidRDefault="008865D6" w:rsidP="008865D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Przyczyny korekt: </w:t>
            </w:r>
          </w:p>
          <w:p w14:paraId="7DE3A718" w14:textId="77777777" w:rsidR="008865D6" w:rsidRPr="00BA127B" w:rsidRDefault="008865D6" w:rsidP="008865D6">
            <w:pPr>
              <w:pStyle w:val="Akapitzlist"/>
              <w:numPr>
                <w:ilvl w:val="0"/>
                <w:numId w:val="7"/>
              </w:numPr>
              <w:jc w:val="both"/>
              <w:rPr>
                <w:iCs/>
                <w:sz w:val="18"/>
                <w:szCs w:val="20"/>
              </w:rPr>
            </w:pPr>
            <w:r w:rsidRPr="00BA127B">
              <w:rPr>
                <w:iCs/>
                <w:sz w:val="18"/>
                <w:szCs w:val="20"/>
              </w:rPr>
              <w:t>ocena ex-post wykonana przez Instytucję Pośredniczącą dotycząca postępowania na zakup stacji meteo (AG.271.03.20) – korekta 5% wartości umowy w kwocie: 198 298,88 zł</w:t>
            </w:r>
          </w:p>
          <w:p w14:paraId="218E3DC7" w14:textId="77777777" w:rsidR="008865D6" w:rsidRDefault="008865D6" w:rsidP="008865D6">
            <w:pPr>
              <w:pStyle w:val="Akapitzlist"/>
              <w:numPr>
                <w:ilvl w:val="0"/>
                <w:numId w:val="7"/>
              </w:numPr>
              <w:jc w:val="both"/>
              <w:rPr>
                <w:iCs/>
                <w:sz w:val="18"/>
                <w:szCs w:val="20"/>
              </w:rPr>
            </w:pPr>
            <w:r w:rsidRPr="00BA127B">
              <w:rPr>
                <w:iCs/>
                <w:sz w:val="18"/>
                <w:szCs w:val="20"/>
              </w:rPr>
              <w:t xml:space="preserve">ocena ex-post wykonana przez Instytucję Pośredniczącą dotycząca postępowania na </w:t>
            </w:r>
            <w:r>
              <w:rPr>
                <w:iCs/>
                <w:sz w:val="18"/>
                <w:szCs w:val="20"/>
              </w:rPr>
              <w:t xml:space="preserve">sukcesywną dostawę sprzętu komputerowego PN/37/12/2020     i obejmująca II część w/w zamówienia – korekta 5% w kwocie 569,49 zł </w:t>
            </w:r>
          </w:p>
          <w:p w14:paraId="427C32BB" w14:textId="0CE900F6" w:rsidR="00984BDB" w:rsidRDefault="00984BDB" w:rsidP="00984BDB">
            <w:pPr>
              <w:ind w:left="360"/>
              <w:jc w:val="both"/>
              <w:rPr>
                <w:iCs/>
                <w:sz w:val="18"/>
                <w:szCs w:val="20"/>
              </w:rPr>
            </w:pPr>
          </w:p>
          <w:p w14:paraId="78EA426C" w14:textId="77777777" w:rsidR="002E3771" w:rsidRDefault="006A1ED0" w:rsidP="006A1ED0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O</w:t>
            </w:r>
            <w:r w:rsidRPr="006A1ED0">
              <w:rPr>
                <w:iCs/>
                <w:sz w:val="18"/>
                <w:szCs w:val="20"/>
              </w:rPr>
              <w:t>siągnięty poziom certyfikacji w odniesieniu do zakontraktowanej wartości dofinansowania</w:t>
            </w:r>
            <w:r>
              <w:rPr>
                <w:iCs/>
                <w:sz w:val="18"/>
                <w:szCs w:val="20"/>
              </w:rPr>
              <w:t xml:space="preserve">: </w:t>
            </w:r>
            <w:r w:rsidR="00B64FC3">
              <w:rPr>
                <w:iCs/>
                <w:sz w:val="18"/>
                <w:szCs w:val="20"/>
              </w:rPr>
              <w:t xml:space="preserve">92,8% </w:t>
            </w:r>
          </w:p>
          <w:p w14:paraId="61D68E85" w14:textId="546D45B3" w:rsidR="006A1ED0" w:rsidRPr="00984BDB" w:rsidRDefault="00B64FC3" w:rsidP="006A1ED0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(zatwierdzone wszystkie wnioski </w:t>
            </w:r>
            <w:r w:rsidR="002E3771">
              <w:rPr>
                <w:iCs/>
                <w:sz w:val="18"/>
                <w:szCs w:val="20"/>
              </w:rPr>
              <w:t xml:space="preserve">o płatność </w:t>
            </w:r>
            <w:r>
              <w:rPr>
                <w:iCs/>
                <w:sz w:val="18"/>
                <w:szCs w:val="20"/>
              </w:rPr>
              <w:t>oprócz wniosku końcowego)</w:t>
            </w:r>
          </w:p>
          <w:p w14:paraId="0FA121D1" w14:textId="424D0A0E" w:rsidR="003B107D" w:rsidRPr="002450C4" w:rsidRDefault="003B107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45ADA" w:rsidRPr="002450C4" w14:paraId="38F65DA3" w14:textId="77777777" w:rsidTr="00645ADA">
        <w:tc>
          <w:tcPr>
            <w:tcW w:w="506" w:type="dxa"/>
          </w:tcPr>
          <w:p w14:paraId="5E3EE98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E90BBE0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7315" w:type="dxa"/>
          </w:tcPr>
          <w:p w14:paraId="3481AD4E" w14:textId="449EAC97" w:rsidR="00120B34" w:rsidRDefault="00120B34" w:rsidP="00120B34">
            <w:pPr>
              <w:rPr>
                <w:iCs/>
                <w:sz w:val="18"/>
                <w:szCs w:val="20"/>
              </w:rPr>
            </w:pPr>
            <w:r w:rsidRPr="00120B34">
              <w:rPr>
                <w:iCs/>
                <w:sz w:val="18"/>
                <w:szCs w:val="20"/>
              </w:rPr>
              <w:t>Pierwotna planowana data rozpoczęcia realizacji projektu</w:t>
            </w:r>
            <w:r>
              <w:rPr>
                <w:iCs/>
                <w:sz w:val="18"/>
                <w:szCs w:val="20"/>
              </w:rPr>
              <w:t xml:space="preserve">: </w:t>
            </w:r>
            <w:r w:rsidR="00522DA2" w:rsidRPr="00522DA2">
              <w:rPr>
                <w:iCs/>
                <w:sz w:val="18"/>
                <w:szCs w:val="20"/>
              </w:rPr>
              <w:t>01-06-2019</w:t>
            </w:r>
          </w:p>
          <w:p w14:paraId="732B3189" w14:textId="286C6874" w:rsidR="00E522CB" w:rsidRDefault="00120B34" w:rsidP="00E522CB">
            <w:pPr>
              <w:rPr>
                <w:iCs/>
                <w:sz w:val="18"/>
                <w:szCs w:val="20"/>
              </w:rPr>
            </w:pPr>
            <w:r w:rsidRPr="00120B34">
              <w:rPr>
                <w:iCs/>
                <w:sz w:val="18"/>
                <w:szCs w:val="20"/>
              </w:rPr>
              <w:t>Ostatnia planowana data rozpoczęcia realizacji</w:t>
            </w:r>
            <w:r w:rsidR="00E522CB">
              <w:rPr>
                <w:iCs/>
                <w:sz w:val="18"/>
                <w:szCs w:val="20"/>
              </w:rPr>
              <w:t xml:space="preserve">: </w:t>
            </w:r>
            <w:r w:rsidR="00522DA2" w:rsidRPr="00522DA2">
              <w:rPr>
                <w:iCs/>
                <w:sz w:val="18"/>
                <w:szCs w:val="20"/>
              </w:rPr>
              <w:t>01-06-2019</w:t>
            </w:r>
          </w:p>
          <w:p w14:paraId="25E33CD5" w14:textId="71A0A644" w:rsidR="00E522CB" w:rsidRDefault="00120B34" w:rsidP="00E522CB">
            <w:pPr>
              <w:rPr>
                <w:iCs/>
                <w:sz w:val="18"/>
                <w:szCs w:val="20"/>
              </w:rPr>
            </w:pPr>
            <w:r w:rsidRPr="00120B34">
              <w:rPr>
                <w:iCs/>
                <w:sz w:val="18"/>
                <w:szCs w:val="20"/>
              </w:rPr>
              <w:t xml:space="preserve">Faktyczna data rozpoczęcia realizacji projektu: </w:t>
            </w:r>
            <w:r w:rsidR="00522DA2" w:rsidRPr="00522DA2">
              <w:rPr>
                <w:iCs/>
                <w:sz w:val="18"/>
                <w:szCs w:val="20"/>
              </w:rPr>
              <w:t>01-06-2019</w:t>
            </w:r>
          </w:p>
          <w:p w14:paraId="3B177C96" w14:textId="77777777" w:rsidR="00D07E77" w:rsidRDefault="00D07E77" w:rsidP="00E522CB">
            <w:pPr>
              <w:rPr>
                <w:iCs/>
                <w:sz w:val="18"/>
                <w:szCs w:val="20"/>
              </w:rPr>
            </w:pPr>
          </w:p>
          <w:p w14:paraId="494E0721" w14:textId="0205A3AA" w:rsidR="00E522CB" w:rsidRDefault="00120B34" w:rsidP="00E522CB">
            <w:pPr>
              <w:rPr>
                <w:iCs/>
                <w:sz w:val="18"/>
                <w:szCs w:val="20"/>
              </w:rPr>
            </w:pPr>
            <w:r w:rsidRPr="00120B34">
              <w:rPr>
                <w:iCs/>
                <w:sz w:val="18"/>
                <w:szCs w:val="20"/>
              </w:rPr>
              <w:t>Pierwotna planowana data zakończenia realizacji projektu</w:t>
            </w:r>
            <w:r w:rsidR="00522DA2">
              <w:rPr>
                <w:iCs/>
                <w:sz w:val="18"/>
                <w:szCs w:val="20"/>
              </w:rPr>
              <w:t xml:space="preserve">: </w:t>
            </w:r>
            <w:r w:rsidR="00522DA2" w:rsidRPr="00522DA2">
              <w:rPr>
                <w:iCs/>
                <w:sz w:val="18"/>
                <w:szCs w:val="20"/>
              </w:rPr>
              <w:t>31-05-2022</w:t>
            </w:r>
          </w:p>
          <w:p w14:paraId="7414E6FE" w14:textId="247A9310" w:rsidR="00E522CB" w:rsidRDefault="00120B34" w:rsidP="00E522CB">
            <w:pPr>
              <w:rPr>
                <w:iCs/>
                <w:sz w:val="18"/>
                <w:szCs w:val="20"/>
              </w:rPr>
            </w:pPr>
            <w:r w:rsidRPr="00120B34">
              <w:rPr>
                <w:iCs/>
                <w:sz w:val="18"/>
                <w:szCs w:val="20"/>
              </w:rPr>
              <w:t>Ostatnia planowana data zakończenia realizacji</w:t>
            </w:r>
            <w:r w:rsidR="00E522CB">
              <w:rPr>
                <w:iCs/>
                <w:sz w:val="18"/>
                <w:szCs w:val="20"/>
              </w:rPr>
              <w:t>:</w:t>
            </w:r>
            <w:r w:rsidR="00522DA2" w:rsidRPr="00522DA2">
              <w:rPr>
                <w:iCs/>
                <w:sz w:val="18"/>
                <w:szCs w:val="20"/>
              </w:rPr>
              <w:t xml:space="preserve"> 31-</w:t>
            </w:r>
            <w:r w:rsidR="00522DA2">
              <w:rPr>
                <w:iCs/>
                <w:sz w:val="18"/>
                <w:szCs w:val="20"/>
              </w:rPr>
              <w:t>10</w:t>
            </w:r>
            <w:r w:rsidR="00522DA2" w:rsidRPr="00522DA2">
              <w:rPr>
                <w:iCs/>
                <w:sz w:val="18"/>
                <w:szCs w:val="20"/>
              </w:rPr>
              <w:t>-2022</w:t>
            </w:r>
          </w:p>
          <w:p w14:paraId="7DDA7F5E" w14:textId="325BA202" w:rsidR="00522DA2" w:rsidRDefault="00120B34" w:rsidP="00522DA2">
            <w:pPr>
              <w:rPr>
                <w:iCs/>
                <w:sz w:val="18"/>
                <w:szCs w:val="20"/>
              </w:rPr>
            </w:pPr>
            <w:r w:rsidRPr="00120B34">
              <w:rPr>
                <w:iCs/>
                <w:sz w:val="18"/>
                <w:szCs w:val="20"/>
              </w:rPr>
              <w:t xml:space="preserve">Faktyczna data zakończenia realizacji projektu: </w:t>
            </w:r>
            <w:r w:rsidR="00522DA2" w:rsidRPr="00522DA2">
              <w:rPr>
                <w:iCs/>
                <w:sz w:val="18"/>
                <w:szCs w:val="20"/>
              </w:rPr>
              <w:t>31-</w:t>
            </w:r>
            <w:r w:rsidR="00522DA2">
              <w:rPr>
                <w:iCs/>
                <w:sz w:val="18"/>
                <w:szCs w:val="20"/>
              </w:rPr>
              <w:t>10</w:t>
            </w:r>
            <w:r w:rsidR="00522DA2" w:rsidRPr="00522DA2">
              <w:rPr>
                <w:iCs/>
                <w:sz w:val="18"/>
                <w:szCs w:val="20"/>
              </w:rPr>
              <w:t>-2022</w:t>
            </w:r>
          </w:p>
          <w:p w14:paraId="00630417" w14:textId="77777777" w:rsidR="00D07E77" w:rsidRDefault="00D07E77" w:rsidP="00522DA2">
            <w:pPr>
              <w:rPr>
                <w:iCs/>
                <w:sz w:val="18"/>
                <w:szCs w:val="20"/>
              </w:rPr>
            </w:pPr>
          </w:p>
          <w:p w14:paraId="4D743188" w14:textId="041765E8" w:rsidR="001077E1" w:rsidRDefault="001077E1" w:rsidP="00522DA2">
            <w:pPr>
              <w:rPr>
                <w:iCs/>
                <w:sz w:val="18"/>
                <w:szCs w:val="20"/>
              </w:rPr>
            </w:pPr>
            <w:r w:rsidRPr="001077E1">
              <w:rPr>
                <w:iCs/>
                <w:sz w:val="18"/>
                <w:szCs w:val="20"/>
              </w:rPr>
              <w:t>Przyczyn</w:t>
            </w:r>
            <w:r w:rsidR="00B30839">
              <w:rPr>
                <w:iCs/>
                <w:sz w:val="18"/>
                <w:szCs w:val="20"/>
              </w:rPr>
              <w:t>ami</w:t>
            </w:r>
            <w:r w:rsidRPr="001077E1">
              <w:rPr>
                <w:iCs/>
                <w:sz w:val="18"/>
                <w:szCs w:val="20"/>
              </w:rPr>
              <w:t xml:space="preserve"> zmiany terminu zakończenia realizacji projektu w stosunku do pierwotnego planu </w:t>
            </w:r>
            <w:r w:rsidR="00B30839">
              <w:rPr>
                <w:iCs/>
                <w:sz w:val="18"/>
                <w:szCs w:val="20"/>
              </w:rPr>
              <w:t xml:space="preserve">były </w:t>
            </w:r>
            <w:r w:rsidR="00B30839" w:rsidRPr="00B30839">
              <w:rPr>
                <w:iCs/>
                <w:sz w:val="18"/>
                <w:szCs w:val="20"/>
              </w:rPr>
              <w:t>kolejn</w:t>
            </w:r>
            <w:r w:rsidR="00B30839">
              <w:rPr>
                <w:iCs/>
                <w:sz w:val="18"/>
                <w:szCs w:val="20"/>
              </w:rPr>
              <w:t>e</w:t>
            </w:r>
            <w:r w:rsidR="00B30839" w:rsidRPr="00B30839">
              <w:rPr>
                <w:iCs/>
                <w:sz w:val="18"/>
                <w:szCs w:val="20"/>
              </w:rPr>
              <w:t xml:space="preserve"> fal</w:t>
            </w:r>
            <w:r w:rsidR="00B30839">
              <w:rPr>
                <w:iCs/>
                <w:sz w:val="18"/>
                <w:szCs w:val="20"/>
              </w:rPr>
              <w:t>e</w:t>
            </w:r>
            <w:r w:rsidR="00B30839" w:rsidRPr="00B30839">
              <w:rPr>
                <w:iCs/>
                <w:sz w:val="18"/>
                <w:szCs w:val="20"/>
              </w:rPr>
              <w:t xml:space="preserve"> pandemii </w:t>
            </w:r>
            <w:r w:rsidR="00B30839">
              <w:rPr>
                <w:iCs/>
                <w:sz w:val="18"/>
                <w:szCs w:val="20"/>
              </w:rPr>
              <w:t xml:space="preserve">COVID-19 podczas realizacji </w:t>
            </w:r>
            <w:r w:rsidR="00B30839" w:rsidRPr="00B30839">
              <w:rPr>
                <w:iCs/>
                <w:sz w:val="18"/>
                <w:szCs w:val="20"/>
              </w:rPr>
              <w:t xml:space="preserve">kolejnych etapów prac, co powodowało realizację </w:t>
            </w:r>
            <w:r w:rsidR="00CA669F">
              <w:rPr>
                <w:iCs/>
                <w:sz w:val="18"/>
                <w:szCs w:val="20"/>
              </w:rPr>
              <w:t xml:space="preserve">harmonogramu </w:t>
            </w:r>
            <w:r w:rsidR="00B30839" w:rsidRPr="00B30839">
              <w:rPr>
                <w:iCs/>
                <w:sz w:val="18"/>
                <w:szCs w:val="20"/>
              </w:rPr>
              <w:t xml:space="preserve">w ścieżkach krytycznych. </w:t>
            </w:r>
            <w:r w:rsidR="00CA669F">
              <w:rPr>
                <w:iCs/>
                <w:sz w:val="18"/>
                <w:szCs w:val="20"/>
              </w:rPr>
              <w:t>Ostateczną, bezpośrednia p</w:t>
            </w:r>
            <w:r w:rsidR="00B30839" w:rsidRPr="00B30839">
              <w:rPr>
                <w:iCs/>
                <w:sz w:val="18"/>
                <w:szCs w:val="20"/>
              </w:rPr>
              <w:t xml:space="preserve">rzyczyną </w:t>
            </w:r>
            <w:r w:rsidR="00B30839" w:rsidRPr="00B30839">
              <w:rPr>
                <w:iCs/>
                <w:sz w:val="18"/>
                <w:szCs w:val="20"/>
              </w:rPr>
              <w:lastRenderedPageBreak/>
              <w:t xml:space="preserve">opóźnień i zmian </w:t>
            </w:r>
            <w:r w:rsidR="002C5E8E">
              <w:rPr>
                <w:iCs/>
                <w:sz w:val="18"/>
                <w:szCs w:val="20"/>
              </w:rPr>
              <w:t>były</w:t>
            </w:r>
            <w:r w:rsidR="00B30839" w:rsidRPr="00B30839">
              <w:rPr>
                <w:iCs/>
                <w:sz w:val="18"/>
                <w:szCs w:val="20"/>
              </w:rPr>
              <w:t xml:space="preserve"> nierozpoznane wcześniej trudności zidentyfikowane w wyniku wdrażania </w:t>
            </w:r>
            <w:r w:rsidR="002C5E8E">
              <w:rPr>
                <w:iCs/>
                <w:sz w:val="18"/>
                <w:szCs w:val="20"/>
              </w:rPr>
              <w:t>produktu,</w:t>
            </w:r>
            <w:r w:rsidR="00B30839" w:rsidRPr="00B30839">
              <w:rPr>
                <w:iCs/>
                <w:sz w:val="18"/>
                <w:szCs w:val="20"/>
              </w:rPr>
              <w:t xml:space="preserve"> techniczne wymagania do spełnienia, wyzwania związane z integracją różnych systemów zewnętrznych i zmieniająca się dynamicznie trudna sytuacja kadrowa w Instytucie Chemii Bioorganicznej Polskiej Akademii Nauk - Poznańskim Centrum Superkomputerowo-Sieciowym (Partner nr 3).</w:t>
            </w:r>
          </w:p>
          <w:p w14:paraId="621FB2BF" w14:textId="77777777" w:rsidR="00120B34" w:rsidRDefault="00120B34" w:rsidP="00FB19E0">
            <w:pPr>
              <w:rPr>
                <w:iCs/>
                <w:sz w:val="18"/>
                <w:szCs w:val="20"/>
              </w:rPr>
            </w:pPr>
          </w:p>
          <w:p w14:paraId="6D710177" w14:textId="32C246B7" w:rsidR="00FB19E0" w:rsidRDefault="00FB19E0" w:rsidP="00FB19E0">
            <w:pPr>
              <w:rPr>
                <w:iCs/>
                <w:sz w:val="18"/>
                <w:szCs w:val="20"/>
              </w:rPr>
            </w:pPr>
            <w:r w:rsidRPr="00507265">
              <w:rPr>
                <w:iCs/>
                <w:sz w:val="18"/>
                <w:szCs w:val="20"/>
              </w:rPr>
              <w:t xml:space="preserve">Uruchomiona została Platforma Doradcza </w:t>
            </w:r>
            <w:proofErr w:type="spellStart"/>
            <w:r w:rsidRPr="00507265">
              <w:rPr>
                <w:iCs/>
                <w:sz w:val="18"/>
                <w:szCs w:val="20"/>
              </w:rPr>
              <w:t>eDWIN</w:t>
            </w:r>
            <w:proofErr w:type="spellEnd"/>
            <w:r w:rsidRPr="00507265">
              <w:rPr>
                <w:iCs/>
                <w:sz w:val="18"/>
                <w:szCs w:val="20"/>
              </w:rPr>
              <w:t xml:space="preserve"> edwin.gov.pl wraz z 4 e-usługami: Wirtualne Gospodarstwo, Dane Agrometeorologiczne, Raportowanie Zagroże</w:t>
            </w:r>
            <w:r>
              <w:rPr>
                <w:iCs/>
                <w:sz w:val="18"/>
                <w:szCs w:val="20"/>
              </w:rPr>
              <w:t>ń</w:t>
            </w:r>
            <w:r w:rsidRPr="00507265">
              <w:rPr>
                <w:iCs/>
                <w:sz w:val="18"/>
                <w:szCs w:val="20"/>
              </w:rPr>
              <w:t xml:space="preserve"> oraz Śledzenie Pochodzenia Produktu.</w:t>
            </w:r>
          </w:p>
          <w:p w14:paraId="23521417" w14:textId="77777777" w:rsidR="00FB19E0" w:rsidRDefault="00FB19E0" w:rsidP="00FB19E0">
            <w:pPr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Wszystkie komponenty platformy zostały wdrożone w</w:t>
            </w:r>
            <w:r w:rsidRPr="00612068">
              <w:rPr>
                <w:iCs/>
                <w:sz w:val="18"/>
                <w:szCs w:val="20"/>
              </w:rPr>
              <w:t xml:space="preserve"> 16 Ośrodk</w:t>
            </w:r>
            <w:r>
              <w:rPr>
                <w:iCs/>
                <w:sz w:val="18"/>
                <w:szCs w:val="20"/>
              </w:rPr>
              <w:t>ach</w:t>
            </w:r>
            <w:r w:rsidRPr="00612068">
              <w:rPr>
                <w:iCs/>
                <w:sz w:val="18"/>
                <w:szCs w:val="20"/>
              </w:rPr>
              <w:t xml:space="preserve"> Doradztwa Rolniczego</w:t>
            </w:r>
            <w:r>
              <w:rPr>
                <w:iCs/>
                <w:sz w:val="18"/>
                <w:szCs w:val="20"/>
              </w:rPr>
              <w:t xml:space="preserve">. Wykonano </w:t>
            </w:r>
            <w:r w:rsidRPr="00612068">
              <w:rPr>
                <w:iCs/>
                <w:sz w:val="18"/>
                <w:szCs w:val="20"/>
              </w:rPr>
              <w:t>integracj</w:t>
            </w:r>
            <w:r>
              <w:rPr>
                <w:iCs/>
                <w:sz w:val="18"/>
                <w:szCs w:val="20"/>
              </w:rPr>
              <w:t>ę</w:t>
            </w:r>
            <w:r w:rsidRPr="00612068">
              <w:rPr>
                <w:iCs/>
                <w:sz w:val="18"/>
                <w:szCs w:val="20"/>
              </w:rPr>
              <w:t xml:space="preserve"> systemu </w:t>
            </w:r>
            <w:proofErr w:type="spellStart"/>
            <w:r w:rsidRPr="00612068">
              <w:rPr>
                <w:iCs/>
                <w:sz w:val="18"/>
                <w:szCs w:val="20"/>
              </w:rPr>
              <w:t>eDWIN</w:t>
            </w:r>
            <w:proofErr w:type="spellEnd"/>
            <w:r w:rsidRPr="00612068">
              <w:rPr>
                <w:iCs/>
                <w:sz w:val="18"/>
                <w:szCs w:val="20"/>
              </w:rPr>
              <w:t xml:space="preserve"> z </w:t>
            </w:r>
            <w:r>
              <w:rPr>
                <w:iCs/>
                <w:sz w:val="18"/>
                <w:szCs w:val="20"/>
              </w:rPr>
              <w:t xml:space="preserve">narzędziem doradczym </w:t>
            </w:r>
            <w:r w:rsidRPr="00612068">
              <w:rPr>
                <w:iCs/>
                <w:sz w:val="18"/>
                <w:szCs w:val="20"/>
              </w:rPr>
              <w:t>eodr.pl</w:t>
            </w:r>
            <w:r>
              <w:rPr>
                <w:iCs/>
                <w:sz w:val="18"/>
                <w:szCs w:val="20"/>
              </w:rPr>
              <w:t xml:space="preserve"> / EPSU</w:t>
            </w:r>
            <w:r w:rsidRPr="00612068">
              <w:rPr>
                <w:iCs/>
                <w:sz w:val="18"/>
                <w:szCs w:val="20"/>
              </w:rPr>
              <w:t xml:space="preserve"> oraz platformą sygnalizacji </w:t>
            </w:r>
            <w:proofErr w:type="spellStart"/>
            <w:r w:rsidRPr="00612068">
              <w:rPr>
                <w:iCs/>
                <w:sz w:val="18"/>
                <w:szCs w:val="20"/>
              </w:rPr>
              <w:t>agrofagów</w:t>
            </w:r>
            <w:proofErr w:type="spellEnd"/>
            <w:r w:rsidRPr="00612068">
              <w:rPr>
                <w:iCs/>
                <w:sz w:val="18"/>
                <w:szCs w:val="20"/>
              </w:rPr>
              <w:t xml:space="preserve"> IOR. Dzięki wykonanej integracji z systemem eodr.pl umożliwiono</w:t>
            </w:r>
            <w:r>
              <w:rPr>
                <w:iCs/>
                <w:sz w:val="18"/>
                <w:szCs w:val="20"/>
              </w:rPr>
              <w:t xml:space="preserve"> wymianę danych oraz</w:t>
            </w:r>
            <w:r w:rsidRPr="00612068">
              <w:rPr>
                <w:iCs/>
                <w:sz w:val="18"/>
                <w:szCs w:val="20"/>
              </w:rPr>
              <w:t xml:space="preserve"> jednolite logowanie do systemów doradczych. Integracja z platformą sygnalizacji </w:t>
            </w:r>
            <w:proofErr w:type="spellStart"/>
            <w:r w:rsidRPr="00612068">
              <w:rPr>
                <w:iCs/>
                <w:sz w:val="18"/>
                <w:szCs w:val="20"/>
              </w:rPr>
              <w:t>agofagów</w:t>
            </w:r>
            <w:proofErr w:type="spellEnd"/>
            <w:r w:rsidRPr="00612068">
              <w:rPr>
                <w:iCs/>
                <w:sz w:val="18"/>
                <w:szCs w:val="20"/>
              </w:rPr>
              <w:t xml:space="preserve"> pozwala na zmniejszenie ilości wykonanej pracy - dane automatycznie przenoszą się na platformę sygnalizacji </w:t>
            </w:r>
            <w:proofErr w:type="spellStart"/>
            <w:r w:rsidRPr="00612068">
              <w:rPr>
                <w:iCs/>
                <w:sz w:val="18"/>
                <w:szCs w:val="20"/>
              </w:rPr>
              <w:t>agrofagów</w:t>
            </w:r>
            <w:proofErr w:type="spellEnd"/>
            <w:r w:rsidRPr="00612068">
              <w:rPr>
                <w:iCs/>
                <w:sz w:val="18"/>
                <w:szCs w:val="20"/>
              </w:rPr>
              <w:t xml:space="preserve">.  </w:t>
            </w:r>
          </w:p>
          <w:p w14:paraId="1ED97286" w14:textId="77777777" w:rsidR="00FB19E0" w:rsidRDefault="00FB19E0" w:rsidP="00FB19E0">
            <w:pPr>
              <w:rPr>
                <w:iCs/>
                <w:sz w:val="18"/>
                <w:szCs w:val="20"/>
              </w:rPr>
            </w:pPr>
          </w:p>
          <w:p w14:paraId="170B530D" w14:textId="77777777" w:rsidR="00FB19E0" w:rsidRPr="00612068" w:rsidRDefault="00FB19E0" w:rsidP="00FB19E0">
            <w:pPr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Zr</w:t>
            </w:r>
            <w:r w:rsidRPr="00612068">
              <w:rPr>
                <w:iCs/>
                <w:sz w:val="18"/>
                <w:szCs w:val="20"/>
              </w:rPr>
              <w:t xml:space="preserve">ealizowane </w:t>
            </w:r>
            <w:r>
              <w:rPr>
                <w:iCs/>
                <w:sz w:val="18"/>
                <w:szCs w:val="20"/>
              </w:rPr>
              <w:t xml:space="preserve">zostały </w:t>
            </w:r>
            <w:r w:rsidRPr="00612068">
              <w:rPr>
                <w:iCs/>
                <w:sz w:val="18"/>
                <w:szCs w:val="20"/>
              </w:rPr>
              <w:t xml:space="preserve">szkolenia </w:t>
            </w:r>
            <w:r>
              <w:rPr>
                <w:iCs/>
                <w:sz w:val="18"/>
                <w:szCs w:val="20"/>
              </w:rPr>
              <w:t xml:space="preserve">kadry </w:t>
            </w:r>
            <w:r w:rsidRPr="00612068">
              <w:rPr>
                <w:iCs/>
                <w:sz w:val="18"/>
                <w:szCs w:val="20"/>
              </w:rPr>
              <w:t xml:space="preserve">we wszystkich </w:t>
            </w:r>
            <w:r>
              <w:rPr>
                <w:iCs/>
                <w:sz w:val="18"/>
                <w:szCs w:val="20"/>
              </w:rPr>
              <w:t xml:space="preserve">16 </w:t>
            </w:r>
            <w:r w:rsidRPr="00612068">
              <w:rPr>
                <w:iCs/>
                <w:sz w:val="18"/>
                <w:szCs w:val="20"/>
              </w:rPr>
              <w:t xml:space="preserve">Ośrodkach Doradztwa Rolniczego. W ramach zadania doradcy </w:t>
            </w:r>
            <w:r>
              <w:rPr>
                <w:iCs/>
                <w:sz w:val="18"/>
                <w:szCs w:val="20"/>
              </w:rPr>
              <w:t xml:space="preserve">rolniczy </w:t>
            </w:r>
            <w:r w:rsidRPr="00612068">
              <w:rPr>
                <w:iCs/>
                <w:sz w:val="18"/>
                <w:szCs w:val="20"/>
              </w:rPr>
              <w:t xml:space="preserve">poszerzali swoją wiedzę o tematy związane z wykorzystaniem w praktyce systemów wspomagania decyzji w zakresie stosowania środków ochrony roślin, modelu matematycznego oraz monitoringu polowego do wykonywania zabiegów chemicznych oraz możliwości związanych z komunikowaniem się z użytkownikami za pomocą e-usług. </w:t>
            </w:r>
          </w:p>
          <w:p w14:paraId="287DE16E" w14:textId="77777777" w:rsidR="00FB19E0" w:rsidRDefault="00FB19E0" w:rsidP="00FB19E0">
            <w:pPr>
              <w:rPr>
                <w:iCs/>
                <w:sz w:val="18"/>
                <w:szCs w:val="20"/>
              </w:rPr>
            </w:pPr>
          </w:p>
          <w:p w14:paraId="003E0C49" w14:textId="77777777" w:rsidR="00FB19E0" w:rsidRPr="00612068" w:rsidRDefault="00FB19E0" w:rsidP="00FB19E0">
            <w:pPr>
              <w:rPr>
                <w:iCs/>
                <w:sz w:val="18"/>
                <w:szCs w:val="20"/>
              </w:rPr>
            </w:pPr>
            <w:r w:rsidRPr="00612068">
              <w:rPr>
                <w:iCs/>
                <w:sz w:val="18"/>
                <w:szCs w:val="20"/>
              </w:rPr>
              <w:t xml:space="preserve">Promocję projektu </w:t>
            </w:r>
            <w:r>
              <w:rPr>
                <w:iCs/>
                <w:sz w:val="18"/>
                <w:szCs w:val="20"/>
              </w:rPr>
              <w:t xml:space="preserve">i produktu </w:t>
            </w:r>
            <w:r w:rsidRPr="00612068">
              <w:rPr>
                <w:iCs/>
                <w:sz w:val="18"/>
                <w:szCs w:val="20"/>
              </w:rPr>
              <w:t>przeprowadzono przy użyciu środków komunikacji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612068">
              <w:rPr>
                <w:iCs/>
                <w:sz w:val="18"/>
                <w:szCs w:val="20"/>
              </w:rPr>
              <w:t xml:space="preserve">w postaci strony internetowej, mediów społecznościowych lub prasy drukowanej. Odpowiednią promocję zapewniły materiały informacyjne w postaci ulotek, </w:t>
            </w:r>
            <w:proofErr w:type="spellStart"/>
            <w:r w:rsidRPr="00612068">
              <w:rPr>
                <w:iCs/>
                <w:sz w:val="18"/>
                <w:szCs w:val="20"/>
              </w:rPr>
              <w:t>rollupów</w:t>
            </w:r>
            <w:proofErr w:type="spellEnd"/>
            <w:r w:rsidRPr="00612068">
              <w:rPr>
                <w:iCs/>
                <w:sz w:val="18"/>
                <w:szCs w:val="20"/>
              </w:rPr>
              <w:t xml:space="preserve"> itp. We wrześniu 2022 roku WODR w Poznaniu otrzymał Polską Nagrodę Inteligentnego Rozwoju przyznaną za realizację projektu </w:t>
            </w:r>
            <w:proofErr w:type="spellStart"/>
            <w:r w:rsidRPr="00612068">
              <w:rPr>
                <w:iCs/>
                <w:sz w:val="18"/>
                <w:szCs w:val="20"/>
              </w:rPr>
              <w:t>eDWIN</w:t>
            </w:r>
            <w:proofErr w:type="spellEnd"/>
            <w:r w:rsidRPr="00612068">
              <w:rPr>
                <w:iCs/>
                <w:sz w:val="18"/>
                <w:szCs w:val="20"/>
              </w:rPr>
              <w:t>.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612068">
              <w:rPr>
                <w:iCs/>
                <w:sz w:val="18"/>
                <w:szCs w:val="20"/>
              </w:rPr>
              <w:t xml:space="preserve">W ramach promocji platformy </w:t>
            </w:r>
            <w:proofErr w:type="spellStart"/>
            <w:r w:rsidRPr="00612068">
              <w:rPr>
                <w:iCs/>
                <w:sz w:val="18"/>
                <w:szCs w:val="20"/>
              </w:rPr>
              <w:t>eDWIN</w:t>
            </w:r>
            <w:proofErr w:type="spellEnd"/>
            <w:r w:rsidRPr="00612068">
              <w:rPr>
                <w:iCs/>
                <w:sz w:val="18"/>
                <w:szCs w:val="20"/>
              </w:rPr>
              <w:t xml:space="preserve"> organ</w:t>
            </w:r>
            <w:r>
              <w:rPr>
                <w:iCs/>
                <w:sz w:val="18"/>
                <w:szCs w:val="20"/>
              </w:rPr>
              <w:t>i</w:t>
            </w:r>
            <w:r w:rsidRPr="00612068">
              <w:rPr>
                <w:iCs/>
                <w:sz w:val="18"/>
                <w:szCs w:val="20"/>
              </w:rPr>
              <w:t xml:space="preserve">zowano stoiska na targach rolniczych w całej Polsce. Przeprowadzone zostały działania promocyjne w mediach o tematyce rolniczej. Z danych firmy Press Service, wynika, że w okresie od początku maja do końca października, w mediach pojawiło się ponad 500 informacji na temat </w:t>
            </w:r>
            <w:r>
              <w:rPr>
                <w:iCs/>
                <w:sz w:val="18"/>
                <w:szCs w:val="20"/>
              </w:rPr>
              <w:t>projek</w:t>
            </w:r>
            <w:r w:rsidRPr="00612068">
              <w:rPr>
                <w:iCs/>
                <w:sz w:val="18"/>
                <w:szCs w:val="20"/>
              </w:rPr>
              <w:t xml:space="preserve">tu i platformy </w:t>
            </w:r>
            <w:proofErr w:type="spellStart"/>
            <w:r w:rsidRPr="00612068">
              <w:rPr>
                <w:iCs/>
                <w:sz w:val="18"/>
                <w:szCs w:val="20"/>
              </w:rPr>
              <w:t>eDWIN</w:t>
            </w:r>
            <w:proofErr w:type="spellEnd"/>
            <w:r w:rsidRPr="00612068">
              <w:rPr>
                <w:iCs/>
                <w:sz w:val="18"/>
                <w:szCs w:val="20"/>
              </w:rPr>
              <w:t>, których zasięg dotarcia szacowany jest na ponad 7 mln osób.</w:t>
            </w:r>
          </w:p>
          <w:p w14:paraId="6769FF65" w14:textId="77777777" w:rsidR="00FB19E0" w:rsidRDefault="00FB19E0" w:rsidP="00FB19E0">
            <w:pPr>
              <w:spacing w:after="160" w:line="259" w:lineRule="auto"/>
              <w:rPr>
                <w:iCs/>
                <w:sz w:val="18"/>
                <w:szCs w:val="20"/>
              </w:rPr>
            </w:pPr>
          </w:p>
          <w:p w14:paraId="6877AC58" w14:textId="77777777" w:rsidR="00FB19E0" w:rsidRDefault="00FB19E0" w:rsidP="00FB19E0">
            <w:pPr>
              <w:spacing w:after="160" w:line="259" w:lineRule="auto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Zrealizowano rozbudowę</w:t>
            </w:r>
            <w:r w:rsidRPr="00391658">
              <w:rPr>
                <w:iCs/>
                <w:sz w:val="18"/>
                <w:szCs w:val="20"/>
              </w:rPr>
              <w:t xml:space="preserve"> infrastruktury serwerowej. </w:t>
            </w:r>
            <w:r>
              <w:rPr>
                <w:iCs/>
                <w:sz w:val="18"/>
                <w:szCs w:val="20"/>
              </w:rPr>
              <w:t>Zbudowano ogólnopolską sieć stacji agrometeorologicznych w liczbie 549 stacji, w tym zakupiono 317 nowych</w:t>
            </w:r>
            <w:r w:rsidRPr="00391658">
              <w:rPr>
                <w:iCs/>
                <w:sz w:val="18"/>
                <w:szCs w:val="20"/>
              </w:rPr>
              <w:t xml:space="preserve"> stacji agrometeorologicznych.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391658">
              <w:rPr>
                <w:iCs/>
                <w:sz w:val="18"/>
                <w:szCs w:val="20"/>
              </w:rPr>
              <w:t>Zakończono budowę infrastruktury obserwacyjnej automatycznych stacji fenologicznych w liczbie 20 sztuk. Zakończono budowę infrastruktury monitorów prezentacyjnych</w:t>
            </w:r>
            <w:r>
              <w:rPr>
                <w:iCs/>
                <w:sz w:val="18"/>
                <w:szCs w:val="20"/>
              </w:rPr>
              <w:t xml:space="preserve"> platformy i raportowania zagrożeń</w:t>
            </w:r>
            <w:r w:rsidRPr="00391658">
              <w:rPr>
                <w:iCs/>
                <w:sz w:val="18"/>
                <w:szCs w:val="20"/>
              </w:rPr>
              <w:t>. Monitory zostały zamontowane w siedzibach głównych Partnerów</w:t>
            </w:r>
            <w:r>
              <w:rPr>
                <w:iCs/>
                <w:sz w:val="18"/>
                <w:szCs w:val="20"/>
              </w:rPr>
              <w:t>.</w:t>
            </w:r>
          </w:p>
          <w:p w14:paraId="521B8E59" w14:textId="77777777" w:rsidR="00FB19E0" w:rsidRDefault="00FB19E0" w:rsidP="00FB19E0">
            <w:pPr>
              <w:spacing w:after="160" w:line="259" w:lineRule="auto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Przeprowadzono 2 letnie testy, walidacje i pilotaże systemów sygnalizacji </w:t>
            </w:r>
            <w:proofErr w:type="spellStart"/>
            <w:r>
              <w:rPr>
                <w:iCs/>
                <w:sz w:val="18"/>
                <w:szCs w:val="20"/>
              </w:rPr>
              <w:t>agrofagów</w:t>
            </w:r>
            <w:proofErr w:type="spellEnd"/>
            <w:r>
              <w:rPr>
                <w:iCs/>
                <w:sz w:val="18"/>
                <w:szCs w:val="20"/>
              </w:rPr>
              <w:t xml:space="preserve">, wspomagania decyzji w ochronie roślin oraz szereg testów komponentów platformy, w tym testy aplikacji, bezpieczeństwa i WCAG 2.1. System sygnalizacji </w:t>
            </w:r>
            <w:proofErr w:type="spellStart"/>
            <w:r>
              <w:rPr>
                <w:iCs/>
                <w:sz w:val="18"/>
                <w:szCs w:val="20"/>
              </w:rPr>
              <w:t>agrofagów</w:t>
            </w:r>
            <w:proofErr w:type="spellEnd"/>
            <w:r>
              <w:rPr>
                <w:iCs/>
                <w:sz w:val="18"/>
                <w:szCs w:val="20"/>
              </w:rPr>
              <w:t xml:space="preserve"> na terenie całego kraju jest gotowy do uruchomienia na sezon – 2023 i oczekuje na zatwierdzenie budżetu. Ocenie podlegały modele matematyczne wspomagania decyzji. Wdrożono produkcyjnie 5 z 20 testowanych. Kolejne 5 jest gotowe w wersjach przedprodukcyjnych. Pozostałe 10 wymaga dalszych walidacji. W ramach projektu opracowano i wdrożono system informatyczny to umożliwiający. Efektem projektu jest także gotowość do zbierania danych na potrzeby uczenia maszynowego w ochronie roślin.</w:t>
            </w:r>
          </w:p>
          <w:p w14:paraId="0630D922" w14:textId="65C3D2F0" w:rsidR="00FB19E0" w:rsidRDefault="00FB19E0" w:rsidP="00FB19E0">
            <w:pPr>
              <w:spacing w:after="160" w:line="259" w:lineRule="auto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Wszystkie kamienie milowe zostały zrealizowane. Poniżej tabela:</w:t>
            </w:r>
          </w:p>
          <w:tbl>
            <w:tblPr>
              <w:tblStyle w:val="Tabela-Siatka"/>
              <w:tblW w:w="7063" w:type="dxa"/>
              <w:tblLook w:val="04A0" w:firstRow="1" w:lastRow="0" w:firstColumn="1" w:lastColumn="0" w:noHBand="0" w:noVBand="1"/>
              <w:tblCaption w:val="Kamienie milowe."/>
            </w:tblPr>
            <w:tblGrid>
              <w:gridCol w:w="2621"/>
              <w:gridCol w:w="1044"/>
              <w:gridCol w:w="1044"/>
              <w:gridCol w:w="1110"/>
              <w:gridCol w:w="1244"/>
            </w:tblGrid>
            <w:tr w:rsidR="0085617F" w:rsidRPr="00DB0689" w14:paraId="7EE005EC" w14:textId="77777777" w:rsidTr="00645ADA">
              <w:trPr>
                <w:tblHeader/>
              </w:trPr>
              <w:tc>
                <w:tcPr>
                  <w:tcW w:w="3236" w:type="dxa"/>
                  <w:shd w:val="clear" w:color="auto" w:fill="D0CECE" w:themeFill="background2" w:themeFillShade="E6"/>
                </w:tcPr>
                <w:p w14:paraId="013E254A" w14:textId="77777777" w:rsidR="00A0212E" w:rsidRPr="00DB0689" w:rsidRDefault="00A0212E" w:rsidP="00A0212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b/>
                      <w:sz w:val="18"/>
                      <w:szCs w:val="18"/>
                    </w:rPr>
                    <w:t>Nazwa kamienia milowego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14:paraId="48292D92" w14:textId="77777777" w:rsidR="00A0212E" w:rsidRPr="00DB0689" w:rsidRDefault="00A0212E" w:rsidP="00A0212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b/>
                      <w:sz w:val="18"/>
                      <w:szCs w:val="18"/>
                    </w:rPr>
                    <w:t>Pierwotny planowany termin osiągnięcia</w:t>
                  </w:r>
                </w:p>
              </w:tc>
              <w:tc>
                <w:tcPr>
                  <w:tcW w:w="1044" w:type="dxa"/>
                  <w:shd w:val="clear" w:color="auto" w:fill="D0CECE" w:themeFill="background2" w:themeFillShade="E6"/>
                </w:tcPr>
                <w:p w14:paraId="6EC621E3" w14:textId="77777777" w:rsidR="00A0212E" w:rsidRPr="00DB0689" w:rsidRDefault="00A0212E" w:rsidP="00A0212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110" w:type="dxa"/>
                  <w:shd w:val="clear" w:color="auto" w:fill="D0CECE" w:themeFill="background2" w:themeFillShade="E6"/>
                </w:tcPr>
                <w:p w14:paraId="420F03B1" w14:textId="77777777" w:rsidR="00A0212E" w:rsidRPr="00DB0689" w:rsidRDefault="00A0212E" w:rsidP="00A0212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b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1421" w:type="dxa"/>
                  <w:shd w:val="clear" w:color="auto" w:fill="D0CECE" w:themeFill="background2" w:themeFillShade="E6"/>
                </w:tcPr>
                <w:p w14:paraId="550D6B73" w14:textId="77777777" w:rsidR="00A0212E" w:rsidRPr="00DB0689" w:rsidRDefault="00A0212E" w:rsidP="00A0212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b/>
                      <w:sz w:val="18"/>
                      <w:szCs w:val="18"/>
                    </w:rPr>
                    <w:t>Status realizacji kamienia milowego</w:t>
                  </w:r>
                </w:p>
              </w:tc>
            </w:tr>
            <w:tr w:rsidR="0085617F" w:rsidRPr="00DB0689" w14:paraId="1E2ED701" w14:textId="77777777" w:rsidTr="00645ADA">
              <w:tc>
                <w:tcPr>
                  <w:tcW w:w="3236" w:type="dxa"/>
                </w:tcPr>
                <w:p w14:paraId="73502531" w14:textId="77777777" w:rsidR="00A0212E" w:rsidRPr="00DB0689" w:rsidRDefault="00A0212E" w:rsidP="00A0212E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Przyjęcie ostatecznej wersji uszczegółowionego projektu systemu informatycznego z uwzględnieniem interfejsów i baz danych oraz integracji z zastanymi systemami i modelami chorobowymi.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AFCFBF" w14:textId="77777777" w:rsidR="00A0212E" w:rsidRPr="00DB0689" w:rsidRDefault="00A0212E" w:rsidP="00A0212E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10-2019</w:t>
                  </w:r>
                </w:p>
              </w:tc>
              <w:tc>
                <w:tcPr>
                  <w:tcW w:w="1044" w:type="dxa"/>
                </w:tcPr>
                <w:p w14:paraId="47C1B178" w14:textId="77777777" w:rsidR="00A0212E" w:rsidRPr="00DB0689" w:rsidRDefault="00A0212E" w:rsidP="00A0212E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10-2019</w:t>
                  </w:r>
                </w:p>
              </w:tc>
              <w:tc>
                <w:tcPr>
                  <w:tcW w:w="1110" w:type="dxa"/>
                </w:tcPr>
                <w:p w14:paraId="6CC235B0" w14:textId="77777777" w:rsidR="00A0212E" w:rsidRPr="00DB0689" w:rsidRDefault="00A0212E" w:rsidP="00A0212E">
                  <w:pPr>
                    <w:pStyle w:val="Akapitzlist"/>
                    <w:ind w:left="7"/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10-2019</w:t>
                  </w:r>
                </w:p>
              </w:tc>
              <w:tc>
                <w:tcPr>
                  <w:tcW w:w="1421" w:type="dxa"/>
                </w:tcPr>
                <w:p w14:paraId="71928CC2" w14:textId="77777777" w:rsidR="00A0212E" w:rsidRPr="00DB0689" w:rsidRDefault="00A0212E" w:rsidP="00A0212E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 xml:space="preserve">osiągnięty </w:t>
                  </w:r>
                </w:p>
              </w:tc>
            </w:tr>
            <w:tr w:rsidR="0085617F" w:rsidRPr="00DB0689" w14:paraId="2312FF69" w14:textId="77777777" w:rsidTr="00645ADA">
              <w:tc>
                <w:tcPr>
                  <w:tcW w:w="3236" w:type="dxa"/>
                </w:tcPr>
                <w:p w14:paraId="05FB03D4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lastRenderedPageBreak/>
                    <w:t>Odbiór uruchomionej infrastruktury sprzętowej po uprzednich zakupach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CE93EA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10-2021</w:t>
                  </w:r>
                </w:p>
              </w:tc>
              <w:tc>
                <w:tcPr>
                  <w:tcW w:w="1044" w:type="dxa"/>
                </w:tcPr>
                <w:p w14:paraId="550D3ED0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10-2021</w:t>
                  </w:r>
                </w:p>
              </w:tc>
              <w:tc>
                <w:tcPr>
                  <w:tcW w:w="1110" w:type="dxa"/>
                </w:tcPr>
                <w:p w14:paraId="782FA459" w14:textId="77777777" w:rsidR="00A0212E" w:rsidRPr="00DB0689" w:rsidRDefault="00A0212E" w:rsidP="00A0212E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421" w:type="dxa"/>
                </w:tcPr>
                <w:p w14:paraId="56C0F506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4384C969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61A1E8E" w14:textId="757CD8DB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5617F" w:rsidRPr="00DB0689" w14:paraId="2105FAD6" w14:textId="77777777" w:rsidTr="00645ADA">
              <w:tc>
                <w:tcPr>
                  <w:tcW w:w="3236" w:type="dxa"/>
                </w:tcPr>
                <w:p w14:paraId="2ADD201C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Uruchomienie modułów informacji źródłowych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259829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03-2020</w:t>
                  </w:r>
                </w:p>
              </w:tc>
              <w:tc>
                <w:tcPr>
                  <w:tcW w:w="1044" w:type="dxa"/>
                </w:tcPr>
                <w:p w14:paraId="3D4B0309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03-2020</w:t>
                  </w:r>
                </w:p>
              </w:tc>
              <w:tc>
                <w:tcPr>
                  <w:tcW w:w="1110" w:type="dxa"/>
                </w:tcPr>
                <w:p w14:paraId="01C03536" w14:textId="77777777" w:rsidR="00A0212E" w:rsidRPr="00DB0689" w:rsidRDefault="00A0212E" w:rsidP="00A0212E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05-2020</w:t>
                  </w:r>
                </w:p>
              </w:tc>
              <w:tc>
                <w:tcPr>
                  <w:tcW w:w="1421" w:type="dxa"/>
                </w:tcPr>
                <w:p w14:paraId="45C5F850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56D3E889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A8CA797" w14:textId="2ED3269B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5617F" w:rsidRPr="00DB0689" w14:paraId="358159D2" w14:textId="77777777" w:rsidTr="00645ADA">
              <w:tc>
                <w:tcPr>
                  <w:tcW w:w="3236" w:type="dxa"/>
                </w:tcPr>
                <w:p w14:paraId="7D74B94F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Gotowa wersja oprogramowania systemu – etap 1 – system centralny wersja beta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F5F62D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04-2020</w:t>
                  </w:r>
                </w:p>
              </w:tc>
              <w:tc>
                <w:tcPr>
                  <w:tcW w:w="1044" w:type="dxa"/>
                </w:tcPr>
                <w:p w14:paraId="53F1D42B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04-2020</w:t>
                  </w:r>
                </w:p>
              </w:tc>
              <w:tc>
                <w:tcPr>
                  <w:tcW w:w="1110" w:type="dxa"/>
                </w:tcPr>
                <w:p w14:paraId="7F655BD2" w14:textId="77777777" w:rsidR="00A0212E" w:rsidRPr="00DB0689" w:rsidRDefault="00A0212E" w:rsidP="00A0212E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05-2020</w:t>
                  </w:r>
                </w:p>
              </w:tc>
              <w:tc>
                <w:tcPr>
                  <w:tcW w:w="1421" w:type="dxa"/>
                </w:tcPr>
                <w:p w14:paraId="6E809533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55E8C6ED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E24669C" w14:textId="11DB8D94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5617F" w:rsidRPr="00DB0689" w14:paraId="1DDCE698" w14:textId="77777777" w:rsidTr="00645ADA">
              <w:tc>
                <w:tcPr>
                  <w:tcW w:w="3236" w:type="dxa"/>
                </w:tcPr>
                <w:p w14:paraId="3E5F9D63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Gotowa wersja oprogramowania systemu – etap 2 – systemy mobilne i lokalne – wersja beta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25BF78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02-2021</w:t>
                  </w:r>
                </w:p>
              </w:tc>
              <w:tc>
                <w:tcPr>
                  <w:tcW w:w="1044" w:type="dxa"/>
                </w:tcPr>
                <w:p w14:paraId="442F5CFF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02-2021</w:t>
                  </w:r>
                </w:p>
              </w:tc>
              <w:tc>
                <w:tcPr>
                  <w:tcW w:w="1110" w:type="dxa"/>
                </w:tcPr>
                <w:p w14:paraId="680F8CF5" w14:textId="77777777" w:rsidR="00A0212E" w:rsidRPr="00DB0689" w:rsidRDefault="00A0212E" w:rsidP="00A0212E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02-2021</w:t>
                  </w:r>
                </w:p>
              </w:tc>
              <w:tc>
                <w:tcPr>
                  <w:tcW w:w="1421" w:type="dxa"/>
                </w:tcPr>
                <w:p w14:paraId="379F898B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7E6C5A9B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5617F" w:rsidRPr="00DB0689" w14:paraId="1DB36A8C" w14:textId="77777777" w:rsidTr="00645ADA">
              <w:tc>
                <w:tcPr>
                  <w:tcW w:w="3236" w:type="dxa"/>
                </w:tcPr>
                <w:p w14:paraId="3E87197B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Gotowa wersja oprogramowania systemu – etap 3 – platforma – wersja beta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E9495E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044" w:type="dxa"/>
                </w:tcPr>
                <w:p w14:paraId="13B07225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110" w:type="dxa"/>
                </w:tcPr>
                <w:p w14:paraId="7317A47E" w14:textId="77777777" w:rsidR="00A0212E" w:rsidRPr="00DB0689" w:rsidRDefault="00A0212E" w:rsidP="00A0212E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10-2021</w:t>
                  </w:r>
                </w:p>
              </w:tc>
              <w:tc>
                <w:tcPr>
                  <w:tcW w:w="1421" w:type="dxa"/>
                </w:tcPr>
                <w:p w14:paraId="6D0E78AC" w14:textId="77777777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0CB8842D" w14:textId="341B2EB4" w:rsidR="00A0212E" w:rsidRPr="00DB0689" w:rsidRDefault="00A0212E" w:rsidP="00A0212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D0F1E" w:rsidRPr="00DB0689" w14:paraId="536F32DE" w14:textId="77777777" w:rsidTr="00645ADA">
              <w:tc>
                <w:tcPr>
                  <w:tcW w:w="3236" w:type="dxa"/>
                </w:tcPr>
                <w:p w14:paraId="070B392E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Gotowa wersja oprogramowania systemu – etap 4 – platforma – wersja końcowa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9D55A7" w14:textId="77777777" w:rsidR="000D0F1E" w:rsidRPr="00DB0689" w:rsidRDefault="000D0F1E" w:rsidP="000D0F1E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04-2022</w:t>
                  </w:r>
                </w:p>
              </w:tc>
              <w:tc>
                <w:tcPr>
                  <w:tcW w:w="1044" w:type="dxa"/>
                </w:tcPr>
                <w:p w14:paraId="32EBCD7F" w14:textId="77777777" w:rsidR="000D0F1E" w:rsidRPr="00DB0689" w:rsidRDefault="000D0F1E" w:rsidP="000D0F1E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10-2022</w:t>
                  </w:r>
                </w:p>
              </w:tc>
              <w:tc>
                <w:tcPr>
                  <w:tcW w:w="1110" w:type="dxa"/>
                </w:tcPr>
                <w:p w14:paraId="1B375535" w14:textId="1AF143C9" w:rsidR="000D0F1E" w:rsidRPr="00DB0689" w:rsidRDefault="000D0F1E" w:rsidP="000D0F1E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10-2022</w:t>
                  </w:r>
                </w:p>
              </w:tc>
              <w:tc>
                <w:tcPr>
                  <w:tcW w:w="1421" w:type="dxa"/>
                </w:tcPr>
                <w:p w14:paraId="32EEA094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29CDB395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D0F1E" w:rsidRPr="00DB0689" w14:paraId="3A90D49D" w14:textId="77777777" w:rsidTr="00645ADA">
              <w:tc>
                <w:tcPr>
                  <w:tcW w:w="3236" w:type="dxa"/>
                </w:tcPr>
                <w:p w14:paraId="6BFF6362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Osiągnięcie gotowości do przeprowadzania pilotażu i testów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94A6A8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04-2021</w:t>
                  </w:r>
                </w:p>
              </w:tc>
              <w:tc>
                <w:tcPr>
                  <w:tcW w:w="1044" w:type="dxa"/>
                </w:tcPr>
                <w:p w14:paraId="44CA3ED7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04-2021</w:t>
                  </w:r>
                </w:p>
              </w:tc>
              <w:tc>
                <w:tcPr>
                  <w:tcW w:w="1110" w:type="dxa"/>
                </w:tcPr>
                <w:p w14:paraId="1DD9A6B5" w14:textId="77777777" w:rsidR="000D0F1E" w:rsidRPr="00DB0689" w:rsidRDefault="000D0F1E" w:rsidP="000D0F1E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06-2021</w:t>
                  </w:r>
                </w:p>
              </w:tc>
              <w:tc>
                <w:tcPr>
                  <w:tcW w:w="1421" w:type="dxa"/>
                </w:tcPr>
                <w:p w14:paraId="4C2174F6" w14:textId="07932C6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0D0F1E" w:rsidRPr="00DB0689" w14:paraId="657A72D4" w14:textId="77777777" w:rsidTr="00645ADA">
              <w:tc>
                <w:tcPr>
                  <w:tcW w:w="3236" w:type="dxa"/>
                </w:tcPr>
                <w:p w14:paraId="61395D4E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Zakończenie testów systemu i pilotażu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BD641B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044" w:type="dxa"/>
                </w:tcPr>
                <w:p w14:paraId="2CB659CB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110" w:type="dxa"/>
                </w:tcPr>
                <w:p w14:paraId="6A9F8F7E" w14:textId="77777777" w:rsidR="000D0F1E" w:rsidRPr="00DB0689" w:rsidRDefault="000D0F1E" w:rsidP="000D0F1E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11-2021</w:t>
                  </w:r>
                </w:p>
              </w:tc>
              <w:tc>
                <w:tcPr>
                  <w:tcW w:w="1421" w:type="dxa"/>
                </w:tcPr>
                <w:p w14:paraId="0650D14F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0D0F1E" w:rsidRPr="00DB0689" w14:paraId="41B5A98F" w14:textId="77777777" w:rsidTr="00645ADA">
              <w:tc>
                <w:tcPr>
                  <w:tcW w:w="3236" w:type="dxa"/>
                </w:tcPr>
                <w:p w14:paraId="25941286" w14:textId="77777777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Ostateczne i zakończone wdrożenie użytkowe, zakończenie projektu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975A8C" w14:textId="77777777" w:rsidR="000D0F1E" w:rsidRPr="00DB0689" w:rsidRDefault="000D0F1E" w:rsidP="000D0F1E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05-2022</w:t>
                  </w:r>
                </w:p>
              </w:tc>
              <w:tc>
                <w:tcPr>
                  <w:tcW w:w="1044" w:type="dxa"/>
                </w:tcPr>
                <w:p w14:paraId="15798BB9" w14:textId="77777777" w:rsidR="000D0F1E" w:rsidRPr="00DB0689" w:rsidRDefault="000D0F1E" w:rsidP="000D0F1E">
                  <w:pP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10-2022</w:t>
                  </w:r>
                </w:p>
              </w:tc>
              <w:tc>
                <w:tcPr>
                  <w:tcW w:w="1110" w:type="dxa"/>
                </w:tcPr>
                <w:p w14:paraId="72F1EA08" w14:textId="54EF4439" w:rsidR="000D0F1E" w:rsidRPr="00DB0689" w:rsidRDefault="000D0F1E" w:rsidP="000D0F1E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10-2022</w:t>
                  </w:r>
                </w:p>
              </w:tc>
              <w:tc>
                <w:tcPr>
                  <w:tcW w:w="1421" w:type="dxa"/>
                </w:tcPr>
                <w:p w14:paraId="794AB2AE" w14:textId="3D7D7718" w:rsidR="000D0F1E" w:rsidRPr="00DB0689" w:rsidRDefault="000D0F1E" w:rsidP="000D0F1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B0689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</w:tc>
            </w:tr>
          </w:tbl>
          <w:p w14:paraId="4DAB1FF8" w14:textId="2E594630" w:rsidR="00FB19E0" w:rsidRPr="002450C4" w:rsidRDefault="00FB19E0" w:rsidP="00C104FE">
            <w:pPr>
              <w:rPr>
                <w:i/>
                <w:sz w:val="18"/>
                <w:szCs w:val="20"/>
              </w:rPr>
            </w:pPr>
          </w:p>
        </w:tc>
      </w:tr>
      <w:tr w:rsidR="00645ADA" w:rsidRPr="002450C4" w14:paraId="165A9113" w14:textId="77777777" w:rsidTr="00645ADA">
        <w:tc>
          <w:tcPr>
            <w:tcW w:w="506" w:type="dxa"/>
          </w:tcPr>
          <w:p w14:paraId="5E7314C6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7FF0D29B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315" w:type="dxa"/>
          </w:tcPr>
          <w:p w14:paraId="091DE21E" w14:textId="7D240339" w:rsidR="001403D3" w:rsidRDefault="001403D3" w:rsidP="001403D3">
            <w:pPr>
              <w:pStyle w:val="Akapitzlist"/>
              <w:numPr>
                <w:ilvl w:val="0"/>
                <w:numId w:val="8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Wirtualne Gospodarstwo</w:t>
            </w:r>
          </w:p>
          <w:p w14:paraId="64F87E70" w14:textId="77777777" w:rsidR="00BF01D1" w:rsidRDefault="002D579E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 w:rsidRPr="002D579E">
              <w:rPr>
                <w:bCs/>
                <w:iCs/>
                <w:sz w:val="18"/>
                <w:szCs w:val="20"/>
              </w:rPr>
              <w:t>usługa i zestaw narzędzi do prowadzenia ochrony roślin w gospodarstwie przy pomocy doradcy;</w:t>
            </w:r>
            <w:r w:rsidR="00BF01D1">
              <w:rPr>
                <w:bCs/>
                <w:iCs/>
                <w:sz w:val="18"/>
                <w:szCs w:val="20"/>
              </w:rPr>
              <w:t xml:space="preserve"> usługa zawiera zaplanowane funkcjonalności, to jest:</w:t>
            </w:r>
          </w:p>
          <w:p w14:paraId="1F5C5D2D" w14:textId="275D713A" w:rsidR="00BF01D1" w:rsidRDefault="00BF01D1" w:rsidP="00BF01D1">
            <w:pPr>
              <w:pStyle w:val="Akapitzlist"/>
              <w:numPr>
                <w:ilvl w:val="0"/>
                <w:numId w:val="9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w</w:t>
            </w:r>
            <w:r w:rsidRPr="00BF01D1">
              <w:rPr>
                <w:bCs/>
                <w:iCs/>
                <w:sz w:val="18"/>
                <w:szCs w:val="20"/>
              </w:rPr>
              <w:t>spomaganie decyzji w zakresie stosowania środków ochrony roślin</w:t>
            </w:r>
            <w:r>
              <w:rPr>
                <w:bCs/>
                <w:iCs/>
                <w:sz w:val="18"/>
                <w:szCs w:val="20"/>
              </w:rPr>
              <w:t>,</w:t>
            </w:r>
          </w:p>
          <w:p w14:paraId="0BA2CF1D" w14:textId="0CEA7965" w:rsidR="00BF01D1" w:rsidRDefault="00BF01D1" w:rsidP="00BF01D1">
            <w:pPr>
              <w:pStyle w:val="Akapitzlist"/>
              <w:numPr>
                <w:ilvl w:val="0"/>
                <w:numId w:val="9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u</w:t>
            </w:r>
            <w:r w:rsidRPr="00BF01D1">
              <w:rPr>
                <w:bCs/>
                <w:iCs/>
                <w:sz w:val="18"/>
                <w:szCs w:val="20"/>
              </w:rPr>
              <w:t xml:space="preserve">dostępnianie </w:t>
            </w:r>
            <w:r w:rsidR="00A36B16">
              <w:rPr>
                <w:bCs/>
                <w:iCs/>
                <w:sz w:val="18"/>
                <w:szCs w:val="20"/>
              </w:rPr>
              <w:t xml:space="preserve">danych meteorologicznych, prognoz pogody i </w:t>
            </w:r>
            <w:r w:rsidRPr="00BF01D1">
              <w:rPr>
                <w:bCs/>
                <w:iCs/>
                <w:sz w:val="18"/>
                <w:szCs w:val="20"/>
              </w:rPr>
              <w:t>komentarza agrometeorologicznego</w:t>
            </w:r>
            <w:r>
              <w:rPr>
                <w:bCs/>
                <w:iCs/>
                <w:sz w:val="18"/>
                <w:szCs w:val="20"/>
              </w:rPr>
              <w:t>,</w:t>
            </w:r>
          </w:p>
          <w:p w14:paraId="1A3FD3CA" w14:textId="3F81B56B" w:rsidR="00A36B16" w:rsidRDefault="00A36B16" w:rsidP="00BF01D1">
            <w:pPr>
              <w:pStyle w:val="Akapitzlist"/>
              <w:numPr>
                <w:ilvl w:val="0"/>
                <w:numId w:val="9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m</w:t>
            </w:r>
            <w:r w:rsidRPr="00A36B16">
              <w:rPr>
                <w:bCs/>
                <w:iCs/>
                <w:sz w:val="18"/>
                <w:szCs w:val="20"/>
              </w:rPr>
              <w:t xml:space="preserve">onitoring </w:t>
            </w:r>
            <w:proofErr w:type="spellStart"/>
            <w:r w:rsidRPr="00A36B16">
              <w:rPr>
                <w:bCs/>
                <w:iCs/>
                <w:sz w:val="18"/>
                <w:szCs w:val="20"/>
              </w:rPr>
              <w:t>agrofagów</w:t>
            </w:r>
            <w:proofErr w:type="spellEnd"/>
            <w:r w:rsidRPr="00A36B16">
              <w:rPr>
                <w:bCs/>
                <w:iCs/>
                <w:sz w:val="18"/>
                <w:szCs w:val="20"/>
              </w:rPr>
              <w:t xml:space="preserve"> – sygnalizowanie zagrożenia, udostępnianie informacji z obserwacji,</w:t>
            </w:r>
          </w:p>
          <w:p w14:paraId="6E198E81" w14:textId="490E0B17" w:rsidR="00A36B16" w:rsidRDefault="00A36B16" w:rsidP="00BF01D1">
            <w:pPr>
              <w:pStyle w:val="Akapitzlist"/>
              <w:numPr>
                <w:ilvl w:val="0"/>
                <w:numId w:val="9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w</w:t>
            </w:r>
            <w:r w:rsidRPr="00A36B16">
              <w:rPr>
                <w:bCs/>
                <w:iCs/>
                <w:sz w:val="18"/>
                <w:szCs w:val="20"/>
              </w:rPr>
              <w:t>irtualna karta pola</w:t>
            </w:r>
            <w:r>
              <w:rPr>
                <w:bCs/>
                <w:iCs/>
                <w:sz w:val="18"/>
                <w:szCs w:val="20"/>
              </w:rPr>
              <w:t>.</w:t>
            </w:r>
          </w:p>
          <w:p w14:paraId="09735309" w14:textId="05359625" w:rsidR="00791C0F" w:rsidRPr="00BF01D1" w:rsidRDefault="002D579E" w:rsidP="00BF01D1">
            <w:pPr>
              <w:ind w:left="720"/>
              <w:rPr>
                <w:bCs/>
                <w:iCs/>
                <w:sz w:val="18"/>
                <w:szCs w:val="20"/>
              </w:rPr>
            </w:pPr>
            <w:r w:rsidRPr="00BF01D1">
              <w:rPr>
                <w:bCs/>
                <w:iCs/>
                <w:sz w:val="18"/>
                <w:szCs w:val="20"/>
              </w:rPr>
              <w:t xml:space="preserve">odbiorcy: rolnicy </w:t>
            </w:r>
            <w:r w:rsidR="009F3BE7">
              <w:rPr>
                <w:bCs/>
                <w:iCs/>
                <w:sz w:val="18"/>
                <w:szCs w:val="20"/>
              </w:rPr>
              <w:t>i producenci żywności</w:t>
            </w:r>
          </w:p>
          <w:p w14:paraId="3C1E36A1" w14:textId="2DAA887F" w:rsidR="00AA4725" w:rsidRDefault="00AA4725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typ usługi: </w:t>
            </w:r>
            <w:r w:rsidRPr="00AA4725">
              <w:rPr>
                <w:bCs/>
                <w:iCs/>
                <w:sz w:val="18"/>
                <w:szCs w:val="20"/>
              </w:rPr>
              <w:t>A2C/A2B</w:t>
            </w:r>
          </w:p>
          <w:p w14:paraId="1C2200CF" w14:textId="55244E60" w:rsidR="00AA4725" w:rsidRDefault="00AA4725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dojrzałość: </w:t>
            </w:r>
            <w:r w:rsidRPr="00AA4725">
              <w:rPr>
                <w:bCs/>
                <w:iCs/>
                <w:sz w:val="18"/>
                <w:szCs w:val="20"/>
              </w:rPr>
              <w:t>5 – personalizacja</w:t>
            </w:r>
          </w:p>
          <w:p w14:paraId="699C9120" w14:textId="2FF3775B" w:rsidR="002D579E" w:rsidRDefault="00791C0F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usługę uruchomiono</w:t>
            </w:r>
            <w:r w:rsidR="002D579E" w:rsidRPr="002D579E">
              <w:rPr>
                <w:bCs/>
                <w:iCs/>
                <w:sz w:val="18"/>
                <w:szCs w:val="20"/>
              </w:rPr>
              <w:t xml:space="preserve"> 4 czerwca 2022, drugie wydanie październik 2022</w:t>
            </w:r>
          </w:p>
          <w:p w14:paraId="48BAA251" w14:textId="2237B93D" w:rsidR="00832728" w:rsidRDefault="00832728" w:rsidP="001403D3">
            <w:pPr>
              <w:pStyle w:val="Akapitzlist"/>
              <w:numPr>
                <w:ilvl w:val="0"/>
                <w:numId w:val="8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Śledzenie pochodzenia produktów</w:t>
            </w:r>
          </w:p>
          <w:p w14:paraId="66351D8D" w14:textId="12AA2371" w:rsidR="00E02628" w:rsidRDefault="00791C0F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Produktów </w:t>
            </w:r>
            <w:r w:rsidR="002D579E" w:rsidRPr="002D579E">
              <w:rPr>
                <w:bCs/>
                <w:iCs/>
                <w:sz w:val="18"/>
                <w:szCs w:val="20"/>
              </w:rPr>
              <w:t>oznaczonych jako pochodzące z rolnictwa i stosowanych środków ochrony roślin</w:t>
            </w:r>
            <w:r w:rsidR="00D97CA4">
              <w:rPr>
                <w:bCs/>
                <w:iCs/>
                <w:sz w:val="18"/>
                <w:szCs w:val="20"/>
              </w:rPr>
              <w:t>.</w:t>
            </w:r>
            <w:r w:rsidR="002D579E" w:rsidRPr="002D579E">
              <w:rPr>
                <w:bCs/>
                <w:iCs/>
                <w:sz w:val="18"/>
                <w:szCs w:val="20"/>
              </w:rPr>
              <w:t xml:space="preserve"> </w:t>
            </w:r>
            <w:r w:rsidR="00D97CA4">
              <w:rPr>
                <w:bCs/>
                <w:iCs/>
                <w:sz w:val="18"/>
                <w:szCs w:val="20"/>
              </w:rPr>
              <w:t>R</w:t>
            </w:r>
            <w:r w:rsidR="009F3BE7">
              <w:rPr>
                <w:bCs/>
                <w:iCs/>
                <w:sz w:val="18"/>
                <w:szCs w:val="20"/>
              </w:rPr>
              <w:t xml:space="preserve">olnicy </w:t>
            </w:r>
            <w:r w:rsidR="00E02628">
              <w:rPr>
                <w:bCs/>
                <w:iCs/>
                <w:sz w:val="18"/>
                <w:szCs w:val="20"/>
              </w:rPr>
              <w:t>korzystający z usługi wirtualne gospodarstwo maja możliwość włączenia udostępniania produktu w 2 wariantach – lokalizacji oraz szczegółów agrotechniki upraw</w:t>
            </w:r>
            <w:r w:rsidR="00D97CA4">
              <w:rPr>
                <w:bCs/>
                <w:iCs/>
                <w:sz w:val="18"/>
                <w:szCs w:val="20"/>
              </w:rPr>
              <w:t xml:space="preserve">y. Efektem jest karta produktu zawierająca kod QR. Kod ten po zeskanowaniu dowolnym narzędziem zawiera adres internetowy </w:t>
            </w:r>
            <w:r w:rsidR="001E421F">
              <w:rPr>
                <w:bCs/>
                <w:iCs/>
                <w:sz w:val="18"/>
                <w:szCs w:val="20"/>
              </w:rPr>
              <w:t>oraz unikalny kod produktu pozwalający na odczytanie rodzaju produktu, jego pochodzenia oraz opcjonalnie szczegółów uprawy.</w:t>
            </w:r>
          </w:p>
          <w:p w14:paraId="6A09CEB4" w14:textId="7B00BBE4" w:rsidR="00791C0F" w:rsidRDefault="002D579E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 w:rsidRPr="002D579E">
              <w:rPr>
                <w:bCs/>
                <w:iCs/>
                <w:sz w:val="18"/>
                <w:szCs w:val="20"/>
              </w:rPr>
              <w:t>odbiorcy: konsumenci</w:t>
            </w:r>
            <w:r w:rsidR="00F34FE7">
              <w:rPr>
                <w:bCs/>
                <w:iCs/>
                <w:sz w:val="18"/>
                <w:szCs w:val="20"/>
              </w:rPr>
              <w:t>, przetwórcy żywności</w:t>
            </w:r>
          </w:p>
          <w:p w14:paraId="43B7668D" w14:textId="0B9A7F9A" w:rsidR="00F34FE7" w:rsidRPr="00F34FE7" w:rsidRDefault="00F34FE7" w:rsidP="00F34FE7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typ usługi: </w:t>
            </w:r>
            <w:r w:rsidRPr="00AA4725">
              <w:rPr>
                <w:bCs/>
                <w:iCs/>
                <w:sz w:val="18"/>
                <w:szCs w:val="20"/>
              </w:rPr>
              <w:t>A2C/A2B</w:t>
            </w:r>
          </w:p>
          <w:p w14:paraId="47B7068C" w14:textId="1642BD25" w:rsidR="00AA4725" w:rsidRDefault="00AA4725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dojrzałość: </w:t>
            </w:r>
            <w:r w:rsidR="00F34FE7" w:rsidRPr="00F34FE7">
              <w:rPr>
                <w:bCs/>
                <w:iCs/>
                <w:sz w:val="18"/>
                <w:szCs w:val="20"/>
              </w:rPr>
              <w:t>4 – transakcja</w:t>
            </w:r>
          </w:p>
          <w:p w14:paraId="4ECA13FA" w14:textId="7F749A0B" w:rsidR="002D579E" w:rsidRDefault="00791C0F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usługę</w:t>
            </w:r>
            <w:r w:rsidR="002D579E" w:rsidRPr="002D579E">
              <w:rPr>
                <w:bCs/>
                <w:iCs/>
                <w:sz w:val="18"/>
                <w:szCs w:val="20"/>
              </w:rPr>
              <w:t xml:space="preserve"> uruchomi</w:t>
            </w:r>
            <w:r>
              <w:rPr>
                <w:bCs/>
                <w:iCs/>
                <w:sz w:val="18"/>
                <w:szCs w:val="20"/>
              </w:rPr>
              <w:t>ono</w:t>
            </w:r>
            <w:r w:rsidR="002D579E" w:rsidRPr="002D579E">
              <w:rPr>
                <w:bCs/>
                <w:iCs/>
                <w:sz w:val="18"/>
                <w:szCs w:val="20"/>
              </w:rPr>
              <w:t xml:space="preserve"> 31 października 2022</w:t>
            </w:r>
          </w:p>
          <w:p w14:paraId="5017118A" w14:textId="2E75F298" w:rsidR="00832728" w:rsidRDefault="00443730" w:rsidP="001403D3">
            <w:pPr>
              <w:pStyle w:val="Akapitzlist"/>
              <w:numPr>
                <w:ilvl w:val="0"/>
                <w:numId w:val="8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Raportowanie zagrożeń</w:t>
            </w:r>
          </w:p>
          <w:p w14:paraId="7733352C" w14:textId="7C48D988" w:rsidR="00791C0F" w:rsidRDefault="002D579E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 w:rsidRPr="002D579E">
              <w:rPr>
                <w:bCs/>
                <w:iCs/>
                <w:sz w:val="18"/>
                <w:szCs w:val="20"/>
              </w:rPr>
              <w:t>usługa umożliwiająca generowanie raportów, zarówno w formie tabelarycznej, jak i graficznej</w:t>
            </w:r>
            <w:r w:rsidR="008F62C8">
              <w:rPr>
                <w:bCs/>
                <w:iCs/>
                <w:sz w:val="18"/>
                <w:szCs w:val="20"/>
              </w:rPr>
              <w:t>. R</w:t>
            </w:r>
            <w:r w:rsidR="004F0ED5">
              <w:rPr>
                <w:bCs/>
                <w:iCs/>
                <w:sz w:val="18"/>
                <w:szCs w:val="20"/>
              </w:rPr>
              <w:t xml:space="preserve">aporty zawierają dane </w:t>
            </w:r>
            <w:r w:rsidR="00F801B3">
              <w:rPr>
                <w:bCs/>
                <w:iCs/>
                <w:sz w:val="18"/>
                <w:szCs w:val="20"/>
              </w:rPr>
              <w:t xml:space="preserve">i alerty </w:t>
            </w:r>
            <w:r w:rsidR="004F0ED5">
              <w:rPr>
                <w:bCs/>
                <w:iCs/>
                <w:sz w:val="18"/>
                <w:szCs w:val="20"/>
              </w:rPr>
              <w:t xml:space="preserve">o </w:t>
            </w:r>
            <w:r w:rsidR="008F62C8">
              <w:rPr>
                <w:bCs/>
                <w:iCs/>
                <w:sz w:val="18"/>
                <w:szCs w:val="20"/>
              </w:rPr>
              <w:t>występowaniu zagrożeń szkodników, chorób roślin oraz chwastów w danym rejonie.</w:t>
            </w:r>
            <w:r w:rsidR="00F801B3">
              <w:rPr>
                <w:bCs/>
                <w:iCs/>
                <w:sz w:val="18"/>
                <w:szCs w:val="20"/>
              </w:rPr>
              <w:t xml:space="preserve"> Dane są dostępne w formie API, </w:t>
            </w:r>
            <w:proofErr w:type="spellStart"/>
            <w:r w:rsidR="00F801B3">
              <w:rPr>
                <w:bCs/>
                <w:iCs/>
                <w:sz w:val="18"/>
                <w:szCs w:val="20"/>
              </w:rPr>
              <w:t>widgetów</w:t>
            </w:r>
            <w:proofErr w:type="spellEnd"/>
            <w:r w:rsidR="00F801B3">
              <w:rPr>
                <w:bCs/>
                <w:iCs/>
                <w:sz w:val="18"/>
                <w:szCs w:val="20"/>
              </w:rPr>
              <w:t xml:space="preserve"> oraz prezentowane w serwisie pozwalającym wyświetlać je na monitorach prezentacyjnych i innych podobnych urządzeniach.</w:t>
            </w:r>
            <w:r w:rsidRPr="002D579E">
              <w:rPr>
                <w:bCs/>
                <w:iCs/>
                <w:sz w:val="18"/>
                <w:szCs w:val="20"/>
              </w:rPr>
              <w:br/>
              <w:t>odbiorcy: administracja publiczna, instytucje naukowe, samorządy</w:t>
            </w:r>
            <w:r w:rsidR="00A40A6A">
              <w:rPr>
                <w:bCs/>
                <w:iCs/>
                <w:sz w:val="18"/>
                <w:szCs w:val="20"/>
              </w:rPr>
              <w:t xml:space="preserve"> i inne</w:t>
            </w:r>
          </w:p>
          <w:p w14:paraId="11CE2D05" w14:textId="5D588C8F" w:rsidR="00A40A6A" w:rsidRPr="00A40A6A" w:rsidRDefault="00A40A6A" w:rsidP="00A40A6A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typ usługi: </w:t>
            </w:r>
            <w:r w:rsidRPr="00AA4725">
              <w:rPr>
                <w:bCs/>
                <w:iCs/>
                <w:sz w:val="18"/>
                <w:szCs w:val="20"/>
              </w:rPr>
              <w:t>A2</w:t>
            </w:r>
            <w:r>
              <w:rPr>
                <w:bCs/>
                <w:iCs/>
                <w:sz w:val="18"/>
                <w:szCs w:val="20"/>
              </w:rPr>
              <w:t>A z opcją otwarcia danych dla A2B</w:t>
            </w:r>
          </w:p>
          <w:p w14:paraId="7DE87F11" w14:textId="48DBA5C8" w:rsidR="002D579E" w:rsidRDefault="00791C0F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usługę uruchomiono </w:t>
            </w:r>
            <w:r w:rsidR="002D579E" w:rsidRPr="002D579E">
              <w:rPr>
                <w:bCs/>
                <w:iCs/>
                <w:sz w:val="18"/>
                <w:szCs w:val="20"/>
              </w:rPr>
              <w:t>31 października 2022</w:t>
            </w:r>
          </w:p>
          <w:p w14:paraId="0F0F54F9" w14:textId="1E97BB4A" w:rsidR="00443730" w:rsidRDefault="00443730" w:rsidP="001403D3">
            <w:pPr>
              <w:pStyle w:val="Akapitzlist"/>
              <w:numPr>
                <w:ilvl w:val="0"/>
                <w:numId w:val="8"/>
              </w:num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Dane agrometeorologiczne</w:t>
            </w:r>
          </w:p>
          <w:p w14:paraId="3F380D2C" w14:textId="5DA3DD5A" w:rsidR="00791C0F" w:rsidRDefault="002D579E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 w:rsidRPr="002D579E">
              <w:rPr>
                <w:bCs/>
                <w:iCs/>
                <w:sz w:val="18"/>
                <w:szCs w:val="20"/>
              </w:rPr>
              <w:t>usługa umożliwiająca pozyskanie danych meteorologicznych</w:t>
            </w:r>
            <w:r w:rsidR="0063145D">
              <w:rPr>
                <w:bCs/>
                <w:iCs/>
                <w:sz w:val="18"/>
                <w:szCs w:val="20"/>
              </w:rPr>
              <w:t xml:space="preserve"> z sieci stacji agrometeorologicznych</w:t>
            </w:r>
            <w:r w:rsidRPr="002D579E">
              <w:rPr>
                <w:bCs/>
                <w:iCs/>
                <w:sz w:val="18"/>
                <w:szCs w:val="20"/>
              </w:rPr>
              <w:t xml:space="preserve">, kluczowych dla rolnictwa i obszarów wiejskich, </w:t>
            </w:r>
            <w:r w:rsidRPr="002D579E">
              <w:rPr>
                <w:bCs/>
                <w:iCs/>
                <w:sz w:val="18"/>
                <w:szCs w:val="20"/>
              </w:rPr>
              <w:lastRenderedPageBreak/>
              <w:t xml:space="preserve">zagregowanych do poziomu lokalnego; </w:t>
            </w:r>
            <w:r w:rsidR="00AF3BE1">
              <w:rPr>
                <w:bCs/>
                <w:iCs/>
                <w:sz w:val="18"/>
                <w:szCs w:val="20"/>
              </w:rPr>
              <w:t xml:space="preserve"> </w:t>
            </w:r>
            <w:r w:rsidRPr="002D579E">
              <w:rPr>
                <w:bCs/>
                <w:iCs/>
                <w:sz w:val="18"/>
                <w:szCs w:val="20"/>
              </w:rPr>
              <w:br/>
              <w:t xml:space="preserve">odbiorcy: samorządy, instytucje publiczne i naukowe, inni  </w:t>
            </w:r>
          </w:p>
          <w:p w14:paraId="209E5BF9" w14:textId="08BBD686" w:rsidR="0063145D" w:rsidRPr="0063145D" w:rsidRDefault="0063145D" w:rsidP="0063145D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typ usługi: </w:t>
            </w:r>
            <w:r w:rsidRPr="00AA4725">
              <w:rPr>
                <w:bCs/>
                <w:iCs/>
                <w:sz w:val="18"/>
                <w:szCs w:val="20"/>
              </w:rPr>
              <w:t>A2</w:t>
            </w:r>
            <w:r>
              <w:rPr>
                <w:bCs/>
                <w:iCs/>
                <w:sz w:val="18"/>
                <w:szCs w:val="20"/>
              </w:rPr>
              <w:t>A, dane otwarte również dla A2B i A2C</w:t>
            </w:r>
          </w:p>
          <w:p w14:paraId="0C10D765" w14:textId="3B62E8DE" w:rsidR="002D579E" w:rsidRDefault="00791C0F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usługę </w:t>
            </w:r>
            <w:r w:rsidR="002D579E" w:rsidRPr="002D579E">
              <w:rPr>
                <w:bCs/>
                <w:iCs/>
                <w:sz w:val="18"/>
                <w:szCs w:val="20"/>
              </w:rPr>
              <w:t xml:space="preserve">uruchomiono 8 czerwca 2022, API </w:t>
            </w:r>
            <w:r>
              <w:rPr>
                <w:bCs/>
                <w:iCs/>
                <w:sz w:val="18"/>
                <w:szCs w:val="20"/>
              </w:rPr>
              <w:t xml:space="preserve">dostępne od </w:t>
            </w:r>
            <w:r w:rsidR="002D579E" w:rsidRPr="002D579E">
              <w:rPr>
                <w:bCs/>
                <w:iCs/>
                <w:sz w:val="18"/>
                <w:szCs w:val="20"/>
              </w:rPr>
              <w:t>październik</w:t>
            </w:r>
            <w:r>
              <w:rPr>
                <w:bCs/>
                <w:iCs/>
                <w:sz w:val="18"/>
                <w:szCs w:val="20"/>
              </w:rPr>
              <w:t>a</w:t>
            </w:r>
            <w:r w:rsidR="002D579E" w:rsidRPr="002D579E">
              <w:rPr>
                <w:bCs/>
                <w:iCs/>
                <w:sz w:val="18"/>
                <w:szCs w:val="20"/>
              </w:rPr>
              <w:t xml:space="preserve"> 2022</w:t>
            </w:r>
          </w:p>
          <w:p w14:paraId="3DF8C7AC" w14:textId="77777777" w:rsidR="002D579E" w:rsidRPr="001403D3" w:rsidRDefault="002D579E" w:rsidP="002D579E">
            <w:pPr>
              <w:pStyle w:val="Akapitzlist"/>
              <w:rPr>
                <w:bCs/>
                <w:iCs/>
                <w:sz w:val="18"/>
                <w:szCs w:val="20"/>
              </w:rPr>
            </w:pPr>
          </w:p>
          <w:p w14:paraId="525C2476" w14:textId="47A57798" w:rsidR="001403D3" w:rsidRPr="00345B04" w:rsidRDefault="00345B04" w:rsidP="004D135D">
            <w:pPr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Usługi zostały zaimplementowane bez zasadniczych zmian względem planu. </w:t>
            </w:r>
            <w:r w:rsidR="00497FF9">
              <w:rPr>
                <w:bCs/>
                <w:iCs/>
                <w:sz w:val="18"/>
                <w:szCs w:val="20"/>
              </w:rPr>
              <w:t xml:space="preserve">Wszystkie funkcjonalności zostały zaimplementowane. W projekcie pracowano z użytkownikami, którzy wskazywali na szczegółowe potrzeby. Usługi A2A zostały </w:t>
            </w:r>
            <w:r w:rsidR="00F02744">
              <w:rPr>
                <w:bCs/>
                <w:iCs/>
                <w:sz w:val="18"/>
                <w:szCs w:val="20"/>
              </w:rPr>
              <w:t>otwarte dla szczerszego grona odbiorców w formie opublikowanych API. Instytucje publiczne</w:t>
            </w:r>
            <w:r w:rsidR="006460DA">
              <w:rPr>
                <w:bCs/>
                <w:iCs/>
                <w:sz w:val="18"/>
                <w:szCs w:val="20"/>
              </w:rPr>
              <w:t>, w przeciwieństwie do odbiorcy indywidualnego m</w:t>
            </w:r>
            <w:r w:rsidR="00F02744">
              <w:rPr>
                <w:bCs/>
                <w:iCs/>
                <w:sz w:val="18"/>
                <w:szCs w:val="20"/>
              </w:rPr>
              <w:t xml:space="preserve">ają dedykowane API pozwalające na </w:t>
            </w:r>
            <w:r w:rsidR="006460DA">
              <w:rPr>
                <w:bCs/>
                <w:iCs/>
                <w:sz w:val="18"/>
                <w:szCs w:val="20"/>
              </w:rPr>
              <w:t xml:space="preserve">szerszy (hurtowy) rejestrowany </w:t>
            </w:r>
            <w:r w:rsidR="00F02744">
              <w:rPr>
                <w:bCs/>
                <w:iCs/>
                <w:sz w:val="18"/>
                <w:szCs w:val="20"/>
              </w:rPr>
              <w:t>dostęp</w:t>
            </w:r>
            <w:r w:rsidR="006460DA">
              <w:rPr>
                <w:bCs/>
                <w:iCs/>
                <w:sz w:val="18"/>
                <w:szCs w:val="20"/>
              </w:rPr>
              <w:t xml:space="preserve"> do </w:t>
            </w:r>
            <w:r w:rsidR="004C066C">
              <w:rPr>
                <w:bCs/>
                <w:iCs/>
                <w:sz w:val="18"/>
                <w:szCs w:val="20"/>
              </w:rPr>
              <w:t>usług</w:t>
            </w:r>
            <w:r w:rsidR="006460DA">
              <w:rPr>
                <w:bCs/>
                <w:iCs/>
                <w:sz w:val="18"/>
                <w:szCs w:val="20"/>
              </w:rPr>
              <w:t>.</w:t>
            </w:r>
          </w:p>
          <w:p w14:paraId="020F0C61" w14:textId="31E9D5C4" w:rsidR="004D135D" w:rsidRDefault="004D135D" w:rsidP="00E30008">
            <w:pPr>
              <w:rPr>
                <w:bCs/>
                <w:i/>
                <w:sz w:val="18"/>
                <w:szCs w:val="20"/>
              </w:rPr>
            </w:pPr>
          </w:p>
        </w:tc>
      </w:tr>
      <w:tr w:rsidR="00645ADA" w:rsidRPr="002450C4" w14:paraId="76894036" w14:textId="77777777" w:rsidTr="00645ADA">
        <w:tc>
          <w:tcPr>
            <w:tcW w:w="506" w:type="dxa"/>
          </w:tcPr>
          <w:p w14:paraId="2B7C4359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593075B6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315" w:type="dxa"/>
          </w:tcPr>
          <w:p w14:paraId="654A7E0B" w14:textId="7FA4B869" w:rsidR="00C104FE" w:rsidRDefault="00C104FE" w:rsidP="00C104FE">
            <w:pPr>
              <w:spacing w:after="160" w:line="259" w:lineRule="auto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Z</w:t>
            </w:r>
            <w:r w:rsidRPr="00612068">
              <w:rPr>
                <w:iCs/>
                <w:sz w:val="18"/>
                <w:szCs w:val="20"/>
              </w:rPr>
              <w:t>realizowano wskaźniki</w:t>
            </w:r>
            <w:r>
              <w:rPr>
                <w:iCs/>
                <w:sz w:val="18"/>
                <w:szCs w:val="20"/>
              </w:rPr>
              <w:t xml:space="preserve"> pro</w:t>
            </w:r>
            <w:r w:rsidR="009B7640">
              <w:rPr>
                <w:iCs/>
                <w:sz w:val="18"/>
                <w:szCs w:val="20"/>
              </w:rPr>
              <w:t>duktu</w:t>
            </w:r>
            <w:r w:rsidRPr="00612068">
              <w:rPr>
                <w:iCs/>
                <w:sz w:val="18"/>
                <w:szCs w:val="20"/>
              </w:rPr>
              <w:t xml:space="preserve">: </w:t>
            </w:r>
          </w:p>
          <w:p w14:paraId="75D24E60" w14:textId="1D2358B5" w:rsidR="00C104FE" w:rsidRDefault="00C104FE" w:rsidP="00C104FE">
            <w:pPr>
              <w:spacing w:after="160" w:line="259" w:lineRule="auto"/>
              <w:rPr>
                <w:iCs/>
                <w:sz w:val="18"/>
                <w:szCs w:val="20"/>
              </w:rPr>
            </w:pPr>
            <w:r w:rsidRPr="00612068">
              <w:rPr>
                <w:iCs/>
                <w:sz w:val="18"/>
                <w:szCs w:val="20"/>
              </w:rPr>
              <w:t xml:space="preserve">1. Liczba usług publicznych udostępnionych on-line o stopniu dojrzałości co najmniej 4 – transakcja </w:t>
            </w:r>
            <w:r w:rsidR="00891075">
              <w:rPr>
                <w:iCs/>
                <w:sz w:val="18"/>
                <w:szCs w:val="20"/>
              </w:rPr>
              <w:t>–</w:t>
            </w:r>
            <w:r w:rsidRPr="00612068">
              <w:rPr>
                <w:iCs/>
                <w:sz w:val="18"/>
                <w:szCs w:val="20"/>
              </w:rPr>
              <w:t xml:space="preserve"> </w:t>
            </w:r>
            <w:r w:rsidR="00891075" w:rsidRPr="00E02B03">
              <w:rPr>
                <w:iCs/>
                <w:color w:val="FF0000"/>
                <w:sz w:val="18"/>
                <w:szCs w:val="20"/>
              </w:rPr>
              <w:t xml:space="preserve">planowano: </w:t>
            </w:r>
            <w:r w:rsidRPr="00E02B03">
              <w:rPr>
                <w:iCs/>
                <w:color w:val="FF0000"/>
                <w:sz w:val="18"/>
                <w:szCs w:val="20"/>
              </w:rPr>
              <w:t>2 szt</w:t>
            </w:r>
            <w:r w:rsidR="00E02B03" w:rsidRPr="00E02B03">
              <w:rPr>
                <w:iCs/>
                <w:color w:val="FF0000"/>
                <w:sz w:val="18"/>
                <w:szCs w:val="20"/>
              </w:rPr>
              <w:t>.</w:t>
            </w:r>
            <w:r w:rsidR="00891075" w:rsidRPr="00E02B03">
              <w:rPr>
                <w:iCs/>
                <w:color w:val="FF0000"/>
                <w:sz w:val="18"/>
                <w:szCs w:val="20"/>
              </w:rPr>
              <w:t>; osiągnięto: 2 szt</w:t>
            </w:r>
            <w:r w:rsidR="00E02B03" w:rsidRPr="00E02B03">
              <w:rPr>
                <w:iCs/>
                <w:color w:val="FF0000"/>
                <w:sz w:val="18"/>
                <w:szCs w:val="20"/>
              </w:rPr>
              <w:t>.</w:t>
            </w:r>
          </w:p>
          <w:p w14:paraId="2015A5AC" w14:textId="22348A3A" w:rsidR="00C104FE" w:rsidRDefault="00C104FE" w:rsidP="00C104FE">
            <w:pPr>
              <w:spacing w:after="160" w:line="259" w:lineRule="auto"/>
              <w:rPr>
                <w:iCs/>
                <w:sz w:val="18"/>
                <w:szCs w:val="20"/>
              </w:rPr>
            </w:pPr>
            <w:r w:rsidRPr="00612068">
              <w:rPr>
                <w:iCs/>
                <w:sz w:val="18"/>
                <w:szCs w:val="20"/>
              </w:rPr>
              <w:t xml:space="preserve">2. Liczba udostępnionych usług wewnątrzadministracyjnych (A2A) </w:t>
            </w:r>
            <w:r w:rsidR="00891075">
              <w:rPr>
                <w:iCs/>
                <w:sz w:val="18"/>
                <w:szCs w:val="20"/>
              </w:rPr>
              <w:t>–</w:t>
            </w:r>
            <w:r w:rsidRPr="00612068">
              <w:rPr>
                <w:iCs/>
                <w:sz w:val="18"/>
                <w:szCs w:val="20"/>
              </w:rPr>
              <w:t xml:space="preserve"> </w:t>
            </w:r>
            <w:r w:rsidR="00891075" w:rsidRPr="00E02B03">
              <w:rPr>
                <w:iCs/>
                <w:color w:val="FF0000"/>
                <w:sz w:val="18"/>
                <w:szCs w:val="20"/>
              </w:rPr>
              <w:t xml:space="preserve">planowano: </w:t>
            </w:r>
            <w:r w:rsidRPr="00E02B03">
              <w:rPr>
                <w:iCs/>
                <w:color w:val="FF0000"/>
                <w:sz w:val="18"/>
                <w:szCs w:val="20"/>
              </w:rPr>
              <w:t>2 szt</w:t>
            </w:r>
            <w:r w:rsidR="00E02B03" w:rsidRPr="00E02B03">
              <w:rPr>
                <w:iCs/>
                <w:color w:val="FF0000"/>
                <w:sz w:val="18"/>
                <w:szCs w:val="20"/>
              </w:rPr>
              <w:t>.</w:t>
            </w:r>
            <w:r w:rsidR="00891075" w:rsidRPr="00E02B03">
              <w:rPr>
                <w:iCs/>
                <w:color w:val="FF0000"/>
                <w:sz w:val="18"/>
                <w:szCs w:val="20"/>
              </w:rPr>
              <w:t>; osiągnięto: 2 szt</w:t>
            </w:r>
            <w:r w:rsidR="00E02B03" w:rsidRPr="00E02B03">
              <w:rPr>
                <w:iCs/>
                <w:color w:val="FF0000"/>
                <w:sz w:val="18"/>
                <w:szCs w:val="20"/>
              </w:rPr>
              <w:t>.</w:t>
            </w:r>
            <w:r w:rsidRPr="00E02B03">
              <w:rPr>
                <w:iCs/>
                <w:color w:val="FF0000"/>
                <w:sz w:val="18"/>
                <w:szCs w:val="20"/>
              </w:rPr>
              <w:t xml:space="preserve"> </w:t>
            </w:r>
          </w:p>
          <w:p w14:paraId="7981876E" w14:textId="14F626D5" w:rsidR="00C104FE" w:rsidRDefault="00C104FE" w:rsidP="00C104FE">
            <w:pPr>
              <w:spacing w:after="160" w:line="259" w:lineRule="auto"/>
              <w:rPr>
                <w:iCs/>
                <w:sz w:val="18"/>
                <w:szCs w:val="20"/>
              </w:rPr>
            </w:pPr>
            <w:r w:rsidRPr="00612068">
              <w:rPr>
                <w:iCs/>
                <w:sz w:val="18"/>
                <w:szCs w:val="20"/>
              </w:rPr>
              <w:t xml:space="preserve">3. Liczba uruchomionych systemów teleinformatycznych w podmiotach wykonujących zadania publiczne </w:t>
            </w:r>
            <w:r w:rsidR="00891075">
              <w:rPr>
                <w:iCs/>
                <w:sz w:val="18"/>
                <w:szCs w:val="20"/>
              </w:rPr>
              <w:t>–</w:t>
            </w:r>
            <w:r w:rsidRPr="00612068">
              <w:rPr>
                <w:iCs/>
                <w:sz w:val="18"/>
                <w:szCs w:val="20"/>
              </w:rPr>
              <w:t xml:space="preserve"> </w:t>
            </w:r>
            <w:r w:rsidR="00891075" w:rsidRPr="00E02B03">
              <w:rPr>
                <w:iCs/>
                <w:color w:val="FF0000"/>
                <w:sz w:val="18"/>
                <w:szCs w:val="20"/>
              </w:rPr>
              <w:t xml:space="preserve">planowano: </w:t>
            </w:r>
            <w:r w:rsidRPr="00E02B03">
              <w:rPr>
                <w:iCs/>
                <w:color w:val="FF0000"/>
                <w:sz w:val="18"/>
                <w:szCs w:val="20"/>
              </w:rPr>
              <w:t>1 szt</w:t>
            </w:r>
            <w:r w:rsidR="00E02B03">
              <w:rPr>
                <w:iCs/>
                <w:color w:val="FF0000"/>
                <w:sz w:val="18"/>
                <w:szCs w:val="20"/>
              </w:rPr>
              <w:t>.</w:t>
            </w:r>
            <w:r w:rsidR="00891075" w:rsidRPr="00E02B03">
              <w:rPr>
                <w:iCs/>
                <w:color w:val="FF0000"/>
                <w:sz w:val="18"/>
                <w:szCs w:val="20"/>
              </w:rPr>
              <w:t>; osiągnięto: 1 szt</w:t>
            </w:r>
            <w:r w:rsidR="00E02B03">
              <w:rPr>
                <w:iCs/>
                <w:color w:val="FF0000"/>
                <w:sz w:val="18"/>
                <w:szCs w:val="20"/>
              </w:rPr>
              <w:t>.</w:t>
            </w:r>
            <w:r w:rsidRPr="00E02B03">
              <w:rPr>
                <w:iCs/>
                <w:color w:val="FF0000"/>
                <w:sz w:val="18"/>
                <w:szCs w:val="20"/>
              </w:rPr>
              <w:t xml:space="preserve"> </w:t>
            </w:r>
          </w:p>
          <w:p w14:paraId="79357FE4" w14:textId="4ACF62A8" w:rsidR="00C104FE" w:rsidRDefault="00C104FE" w:rsidP="00C104FE">
            <w:pPr>
              <w:spacing w:after="160" w:line="259" w:lineRule="auto"/>
              <w:rPr>
                <w:iCs/>
                <w:sz w:val="18"/>
                <w:szCs w:val="20"/>
              </w:rPr>
            </w:pPr>
            <w:r w:rsidRPr="00612068">
              <w:rPr>
                <w:iCs/>
                <w:sz w:val="18"/>
                <w:szCs w:val="20"/>
              </w:rPr>
              <w:t xml:space="preserve">4. Liczba pracowników podmiotów wykonujących zadania publiczne nie będących pracownikami IT, objętych wsparciem szkoleniowym (ogółem, kobiety, mężczyźni) </w:t>
            </w:r>
            <w:r w:rsidR="00AF3BE1">
              <w:rPr>
                <w:iCs/>
                <w:sz w:val="18"/>
                <w:szCs w:val="20"/>
              </w:rPr>
              <w:t>–</w:t>
            </w:r>
            <w:r w:rsidRPr="00612068">
              <w:rPr>
                <w:iCs/>
                <w:sz w:val="18"/>
                <w:szCs w:val="20"/>
              </w:rPr>
              <w:t xml:space="preserve"> </w:t>
            </w:r>
            <w:r w:rsidR="00AF3BE1" w:rsidRPr="00E02B03">
              <w:rPr>
                <w:iCs/>
                <w:color w:val="FF0000"/>
                <w:sz w:val="18"/>
                <w:szCs w:val="20"/>
              </w:rPr>
              <w:t>planowano: 2000 osób, w tym 1200 kobiet i 800 mężczyzn</w:t>
            </w:r>
            <w:r w:rsidR="00E02B03" w:rsidRPr="00E02B03">
              <w:rPr>
                <w:iCs/>
                <w:color w:val="FF0000"/>
                <w:sz w:val="18"/>
                <w:szCs w:val="20"/>
              </w:rPr>
              <w:t xml:space="preserve">; osiągnięto: </w:t>
            </w:r>
            <w:r w:rsidRPr="00E02B03">
              <w:rPr>
                <w:iCs/>
                <w:color w:val="FF0000"/>
                <w:sz w:val="18"/>
                <w:szCs w:val="20"/>
              </w:rPr>
              <w:t>2117 osób, z czego kobiet 1363 a mężczyzn 754</w:t>
            </w:r>
            <w:r w:rsidRPr="00612068">
              <w:rPr>
                <w:iCs/>
                <w:sz w:val="18"/>
                <w:szCs w:val="20"/>
              </w:rPr>
              <w:t>. W stosunku do założonego ogólnego miernika zostało przeszkolonych więcej osób. Natomiast jeżeli chodzi o miernik szczegółowy tj. z podziałem na płeć, przeszkolonych zostało więcej kobiet. Miernik w przypadku mężczyzn został wykonany w 94%.  Wykonanie miernika przeszkolonych mężczyzn nie było możliwe z uwagi na zmieniającą się strukturę zatrudnienia w trakcie realizacji projektu, niezależnej od zespołu projektowego.</w:t>
            </w:r>
          </w:p>
          <w:p w14:paraId="147854A1" w14:textId="04680C1A" w:rsidR="00C104FE" w:rsidRDefault="00C104FE" w:rsidP="00C104FE">
            <w:pPr>
              <w:spacing w:after="160" w:line="259" w:lineRule="auto"/>
              <w:rPr>
                <w:iCs/>
                <w:color w:val="FF0000"/>
                <w:sz w:val="18"/>
                <w:szCs w:val="20"/>
              </w:rPr>
            </w:pPr>
            <w:r w:rsidRPr="00391658">
              <w:rPr>
                <w:iCs/>
                <w:sz w:val="18"/>
                <w:szCs w:val="20"/>
              </w:rPr>
              <w:t xml:space="preserve">5. Przestrzeń dyskowa serwerowni </w:t>
            </w:r>
            <w:r w:rsidR="00A0366D">
              <w:rPr>
                <w:iCs/>
                <w:sz w:val="18"/>
                <w:szCs w:val="20"/>
              </w:rPr>
              <w:t>–</w:t>
            </w:r>
            <w:r w:rsidRPr="00391658">
              <w:rPr>
                <w:iCs/>
                <w:sz w:val="18"/>
                <w:szCs w:val="20"/>
              </w:rPr>
              <w:t xml:space="preserve"> </w:t>
            </w:r>
            <w:r w:rsidR="00A0366D" w:rsidRPr="00A0366D">
              <w:rPr>
                <w:iCs/>
                <w:color w:val="FF0000"/>
                <w:sz w:val="18"/>
                <w:szCs w:val="20"/>
              </w:rPr>
              <w:t xml:space="preserve">planowano: </w:t>
            </w:r>
            <w:r w:rsidRPr="00A0366D">
              <w:rPr>
                <w:iCs/>
                <w:color w:val="FF0000"/>
                <w:sz w:val="18"/>
                <w:szCs w:val="20"/>
              </w:rPr>
              <w:t>220 TB - osiągnięto 384 TB</w:t>
            </w:r>
            <w:r w:rsidR="00A0366D" w:rsidRPr="00A0366D">
              <w:rPr>
                <w:iCs/>
                <w:color w:val="FF0000"/>
                <w:sz w:val="18"/>
                <w:szCs w:val="20"/>
              </w:rPr>
              <w:t>.</w:t>
            </w:r>
          </w:p>
          <w:p w14:paraId="26A4F9CB" w14:textId="6A067730" w:rsidR="00160BFB" w:rsidRDefault="00160BFB" w:rsidP="00160BFB">
            <w:pPr>
              <w:spacing w:after="160" w:line="259" w:lineRule="auto"/>
              <w:rPr>
                <w:iCs/>
                <w:sz w:val="18"/>
                <w:szCs w:val="20"/>
              </w:rPr>
            </w:pPr>
            <w:r>
              <w:rPr>
                <w:iCs/>
                <w:color w:val="FF0000"/>
                <w:sz w:val="18"/>
                <w:szCs w:val="20"/>
              </w:rPr>
              <w:t xml:space="preserve">6. </w:t>
            </w:r>
            <w:r w:rsidRPr="00160BFB">
              <w:rPr>
                <w:iCs/>
                <w:color w:val="FF0000"/>
                <w:sz w:val="18"/>
                <w:szCs w:val="20"/>
              </w:rPr>
              <w:t>Liczba załatwionych spraw poprzez udostępnioną on-line usługę publiczną</w:t>
            </w:r>
            <w:r>
              <w:rPr>
                <w:iCs/>
                <w:color w:val="FF0000"/>
                <w:sz w:val="18"/>
                <w:szCs w:val="20"/>
              </w:rPr>
              <w:t xml:space="preserve"> – planowano </w:t>
            </w:r>
            <w:r w:rsidRPr="00160BFB">
              <w:rPr>
                <w:iCs/>
                <w:color w:val="FF0000"/>
                <w:sz w:val="18"/>
                <w:szCs w:val="20"/>
              </w:rPr>
              <w:t>100</w:t>
            </w:r>
            <w:r>
              <w:rPr>
                <w:iCs/>
                <w:color w:val="FF0000"/>
                <w:sz w:val="18"/>
                <w:szCs w:val="20"/>
              </w:rPr>
              <w:t> </w:t>
            </w:r>
            <w:r w:rsidRPr="00160BFB">
              <w:rPr>
                <w:iCs/>
                <w:color w:val="FF0000"/>
                <w:sz w:val="18"/>
                <w:szCs w:val="20"/>
              </w:rPr>
              <w:t>000</w:t>
            </w:r>
            <w:r>
              <w:rPr>
                <w:iCs/>
                <w:color w:val="FF0000"/>
                <w:sz w:val="18"/>
                <w:szCs w:val="20"/>
              </w:rPr>
              <w:t xml:space="preserve"> </w:t>
            </w:r>
            <w:proofErr w:type="spellStart"/>
            <w:r>
              <w:rPr>
                <w:iCs/>
                <w:color w:val="FF0000"/>
                <w:sz w:val="18"/>
                <w:szCs w:val="20"/>
              </w:rPr>
              <w:t>szt</w:t>
            </w:r>
            <w:proofErr w:type="spellEnd"/>
            <w:r>
              <w:rPr>
                <w:iCs/>
                <w:color w:val="FF0000"/>
                <w:sz w:val="18"/>
                <w:szCs w:val="20"/>
              </w:rPr>
              <w:t xml:space="preserve">/rok </w:t>
            </w:r>
            <w:r w:rsidRPr="00160BFB">
              <w:rPr>
                <w:iCs/>
                <w:color w:val="FF0000"/>
                <w:sz w:val="18"/>
                <w:szCs w:val="20"/>
              </w:rPr>
              <w:t>(w ciągu 12 miesięcy od udostępnienia e-usług)</w:t>
            </w:r>
            <w:r>
              <w:rPr>
                <w:iCs/>
                <w:color w:val="FF0000"/>
                <w:sz w:val="18"/>
                <w:szCs w:val="20"/>
              </w:rPr>
              <w:t xml:space="preserve">; </w:t>
            </w:r>
            <w:r w:rsidR="00983CFE">
              <w:rPr>
                <w:iCs/>
                <w:color w:val="FF0000"/>
                <w:sz w:val="18"/>
                <w:szCs w:val="20"/>
              </w:rPr>
              <w:t xml:space="preserve">na dzień zakończenia realizacji projektu i uruchomienia usług </w:t>
            </w:r>
            <w:r>
              <w:rPr>
                <w:iCs/>
                <w:color w:val="FF0000"/>
                <w:sz w:val="18"/>
                <w:szCs w:val="20"/>
              </w:rPr>
              <w:t xml:space="preserve">osiągnięto 0 </w:t>
            </w:r>
            <w:proofErr w:type="spellStart"/>
            <w:r>
              <w:rPr>
                <w:iCs/>
                <w:color w:val="FF0000"/>
                <w:sz w:val="18"/>
                <w:szCs w:val="20"/>
              </w:rPr>
              <w:t>szt</w:t>
            </w:r>
            <w:proofErr w:type="spellEnd"/>
            <w:r w:rsidR="00983CFE">
              <w:rPr>
                <w:iCs/>
                <w:color w:val="FF0000"/>
                <w:sz w:val="18"/>
                <w:szCs w:val="20"/>
              </w:rPr>
              <w:t>/rok.</w:t>
            </w:r>
          </w:p>
          <w:p w14:paraId="14062F40" w14:textId="065ADC68" w:rsidR="00900D55" w:rsidRPr="00900D55" w:rsidRDefault="00875EA3" w:rsidP="00900D55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Opracowanie Platformy Doradczej </w:t>
            </w:r>
            <w:proofErr w:type="spellStart"/>
            <w:r>
              <w:rPr>
                <w:iCs/>
                <w:sz w:val="18"/>
                <w:szCs w:val="20"/>
              </w:rPr>
              <w:t>eDWIN</w:t>
            </w:r>
            <w:proofErr w:type="spellEnd"/>
            <w:r>
              <w:rPr>
                <w:iCs/>
                <w:sz w:val="18"/>
                <w:szCs w:val="20"/>
              </w:rPr>
              <w:t xml:space="preserve"> bezpośrednio </w:t>
            </w:r>
            <w:r w:rsidR="00900D55">
              <w:rPr>
                <w:iCs/>
                <w:sz w:val="18"/>
                <w:szCs w:val="20"/>
              </w:rPr>
              <w:t>wy</w:t>
            </w:r>
            <w:r>
              <w:rPr>
                <w:iCs/>
                <w:sz w:val="18"/>
                <w:szCs w:val="20"/>
              </w:rPr>
              <w:t xml:space="preserve">pełniło </w:t>
            </w:r>
            <w:r w:rsidR="00900D55">
              <w:rPr>
                <w:iCs/>
                <w:sz w:val="18"/>
                <w:szCs w:val="20"/>
              </w:rPr>
              <w:t xml:space="preserve">założenia </w:t>
            </w:r>
            <w:r w:rsidR="00900D55" w:rsidRPr="00900D55">
              <w:rPr>
                <w:iCs/>
                <w:sz w:val="18"/>
                <w:szCs w:val="20"/>
              </w:rPr>
              <w:t>„Program</w:t>
            </w:r>
            <w:r w:rsidR="00900D55">
              <w:rPr>
                <w:iCs/>
                <w:sz w:val="18"/>
                <w:szCs w:val="20"/>
              </w:rPr>
              <w:t>u</w:t>
            </w:r>
            <w:r w:rsidR="00900D55" w:rsidRPr="00900D55">
              <w:rPr>
                <w:iCs/>
                <w:sz w:val="18"/>
                <w:szCs w:val="20"/>
              </w:rPr>
              <w:t xml:space="preserve"> Zintegrowanej Informatyzacji Państwa” </w:t>
            </w:r>
            <w:r w:rsidR="00900D55">
              <w:rPr>
                <w:iCs/>
                <w:sz w:val="18"/>
                <w:szCs w:val="20"/>
              </w:rPr>
              <w:t>w zakresie</w:t>
            </w:r>
            <w:r w:rsidR="00900D55" w:rsidRPr="00900D55">
              <w:rPr>
                <w:iCs/>
                <w:sz w:val="18"/>
                <w:szCs w:val="20"/>
              </w:rPr>
              <w:t xml:space="preserve"> wdrożenia e-usług publicznych w </w:t>
            </w:r>
            <w:r w:rsidR="00900D55">
              <w:rPr>
                <w:iCs/>
                <w:sz w:val="18"/>
                <w:szCs w:val="20"/>
              </w:rPr>
              <w:t>obszarze</w:t>
            </w:r>
            <w:r w:rsidR="00900D55" w:rsidRPr="00900D55">
              <w:rPr>
                <w:iCs/>
                <w:sz w:val="18"/>
                <w:szCs w:val="20"/>
              </w:rPr>
              <w:t xml:space="preserve"> „Rolnictwo”, zgodnie z katalogiem rekomendowanych e-usług (załącznik nr 2 – Z.2.1, pkt 8):</w:t>
            </w:r>
          </w:p>
          <w:p w14:paraId="29A109F6" w14:textId="77777777" w:rsidR="00900D55" w:rsidRDefault="00900D55" w:rsidP="00900D55">
            <w:pPr>
              <w:pStyle w:val="Akapitzlist"/>
              <w:numPr>
                <w:ilvl w:val="0"/>
                <w:numId w:val="11"/>
              </w:numPr>
              <w:jc w:val="both"/>
              <w:rPr>
                <w:iCs/>
                <w:sz w:val="18"/>
                <w:szCs w:val="20"/>
              </w:rPr>
            </w:pPr>
            <w:r w:rsidRPr="00900D55">
              <w:rPr>
                <w:iCs/>
                <w:sz w:val="18"/>
                <w:szCs w:val="20"/>
              </w:rPr>
              <w:t>usługi zapewniające wsparcie w prowadzeniu działalności gospodarczej w zakresie produkcji artykułów rolno-spożywczych (</w:t>
            </w:r>
            <w:proofErr w:type="spellStart"/>
            <w:r w:rsidRPr="00900D55">
              <w:rPr>
                <w:iCs/>
                <w:sz w:val="18"/>
                <w:szCs w:val="20"/>
              </w:rPr>
              <w:t>punktator</w:t>
            </w:r>
            <w:proofErr w:type="spellEnd"/>
            <w:r w:rsidRPr="00900D55">
              <w:rPr>
                <w:iCs/>
                <w:sz w:val="18"/>
                <w:szCs w:val="20"/>
              </w:rPr>
              <w:t xml:space="preserve"> 3)</w:t>
            </w:r>
            <w:r>
              <w:rPr>
                <w:iCs/>
                <w:sz w:val="18"/>
                <w:szCs w:val="20"/>
              </w:rPr>
              <w:t>,</w:t>
            </w:r>
          </w:p>
          <w:p w14:paraId="266A05DD" w14:textId="77777777" w:rsidR="00900D55" w:rsidRDefault="00900D55" w:rsidP="00900D55">
            <w:pPr>
              <w:pStyle w:val="Akapitzlist"/>
              <w:numPr>
                <w:ilvl w:val="0"/>
                <w:numId w:val="11"/>
              </w:numPr>
              <w:jc w:val="both"/>
              <w:rPr>
                <w:iCs/>
                <w:sz w:val="18"/>
                <w:szCs w:val="20"/>
              </w:rPr>
            </w:pPr>
            <w:r w:rsidRPr="00900D55">
              <w:rPr>
                <w:iCs/>
                <w:sz w:val="18"/>
                <w:szCs w:val="20"/>
              </w:rPr>
              <w:t>usługi w zakresie udostępniania i przeglądania: informacji agrometeorologicznych (</w:t>
            </w:r>
            <w:proofErr w:type="spellStart"/>
            <w:r w:rsidRPr="00900D55">
              <w:rPr>
                <w:iCs/>
                <w:sz w:val="18"/>
                <w:szCs w:val="20"/>
              </w:rPr>
              <w:t>punktator</w:t>
            </w:r>
            <w:proofErr w:type="spellEnd"/>
            <w:r w:rsidRPr="00900D55">
              <w:rPr>
                <w:iCs/>
                <w:sz w:val="18"/>
                <w:szCs w:val="20"/>
              </w:rPr>
              <w:t xml:space="preserve"> 4)</w:t>
            </w:r>
            <w:r>
              <w:rPr>
                <w:iCs/>
                <w:sz w:val="18"/>
                <w:szCs w:val="20"/>
              </w:rPr>
              <w:t>,</w:t>
            </w:r>
          </w:p>
          <w:p w14:paraId="7AF8FF34" w14:textId="4C6FBA5D" w:rsidR="00C104FE" w:rsidRPr="00900D55" w:rsidRDefault="00900D55" w:rsidP="00900D55">
            <w:pPr>
              <w:pStyle w:val="Akapitzlist"/>
              <w:numPr>
                <w:ilvl w:val="0"/>
                <w:numId w:val="11"/>
              </w:numPr>
              <w:jc w:val="both"/>
              <w:rPr>
                <w:iCs/>
                <w:sz w:val="18"/>
                <w:szCs w:val="20"/>
              </w:rPr>
            </w:pPr>
            <w:r w:rsidRPr="00900D55">
              <w:rPr>
                <w:iCs/>
                <w:sz w:val="18"/>
                <w:szCs w:val="20"/>
              </w:rPr>
              <w:t>usługi wsparcia działań innowacyjnych dotyczących wydajnego i zrównoważonego rolnictwa oraz rozwoju współpracy instytucji – otoczenia rolnictwa (</w:t>
            </w:r>
            <w:proofErr w:type="spellStart"/>
            <w:r w:rsidRPr="00900D55">
              <w:rPr>
                <w:iCs/>
                <w:sz w:val="18"/>
                <w:szCs w:val="20"/>
              </w:rPr>
              <w:t>punktator</w:t>
            </w:r>
            <w:proofErr w:type="spellEnd"/>
            <w:r w:rsidRPr="00900D55">
              <w:rPr>
                <w:iCs/>
                <w:sz w:val="18"/>
                <w:szCs w:val="20"/>
              </w:rPr>
              <w:t xml:space="preserve"> 6)</w:t>
            </w:r>
            <w:r w:rsidR="00875EA3" w:rsidRPr="00900D55">
              <w:rPr>
                <w:iCs/>
                <w:sz w:val="18"/>
                <w:szCs w:val="20"/>
              </w:rPr>
              <w:t xml:space="preserve"> </w:t>
            </w:r>
            <w:r>
              <w:rPr>
                <w:iCs/>
                <w:sz w:val="18"/>
                <w:szCs w:val="20"/>
              </w:rPr>
              <w:t>.</w:t>
            </w:r>
          </w:p>
          <w:p w14:paraId="55F688DD" w14:textId="77777777" w:rsidR="00875EA3" w:rsidRDefault="00875EA3" w:rsidP="005A4344">
            <w:pPr>
              <w:jc w:val="both"/>
              <w:rPr>
                <w:iCs/>
                <w:sz w:val="18"/>
                <w:szCs w:val="20"/>
              </w:rPr>
            </w:pPr>
          </w:p>
          <w:p w14:paraId="40CF5C1C" w14:textId="08E022B0" w:rsidR="001D6B99" w:rsidRPr="001D6B99" w:rsidRDefault="00C104FE" w:rsidP="001D6B99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Opracowanie Platformy Doradczej </w:t>
            </w:r>
            <w:proofErr w:type="spellStart"/>
            <w:r>
              <w:rPr>
                <w:iCs/>
                <w:sz w:val="18"/>
                <w:szCs w:val="20"/>
              </w:rPr>
              <w:t>eDWIN</w:t>
            </w:r>
            <w:proofErr w:type="spellEnd"/>
            <w:r>
              <w:rPr>
                <w:iCs/>
                <w:sz w:val="18"/>
                <w:szCs w:val="20"/>
              </w:rPr>
              <w:t xml:space="preserve"> </w:t>
            </w:r>
            <w:r w:rsidR="001D6B99">
              <w:rPr>
                <w:iCs/>
                <w:sz w:val="18"/>
                <w:szCs w:val="20"/>
              </w:rPr>
              <w:t xml:space="preserve">bezpośrednio spełniło wymagania </w:t>
            </w:r>
            <w:r w:rsidR="001D6B99" w:rsidRPr="001D6B99">
              <w:rPr>
                <w:iCs/>
                <w:sz w:val="18"/>
                <w:szCs w:val="20"/>
              </w:rPr>
              <w:t>„Krajowego planu działania na rzecz ograniczenia ryzyka związanego ze stosowaniem środków ochrony roślin na lata 2018-2022” – w zakresie:</w:t>
            </w:r>
          </w:p>
          <w:p w14:paraId="09D748C6" w14:textId="77777777" w:rsidR="001D6B99" w:rsidRDefault="001D6B99" w:rsidP="001D6B99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1D6B99">
              <w:rPr>
                <w:iCs/>
                <w:sz w:val="18"/>
                <w:szCs w:val="20"/>
              </w:rPr>
              <w:t>upowszechniania wiedzy z zakresu integrowanej ochrony roślin – działanie 10, zadanie 1,</w:t>
            </w:r>
          </w:p>
          <w:p w14:paraId="478441C1" w14:textId="77777777" w:rsidR="001D6B99" w:rsidRDefault="001D6B99" w:rsidP="001D6B99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1D6B99">
              <w:rPr>
                <w:iCs/>
                <w:sz w:val="18"/>
                <w:szCs w:val="20"/>
              </w:rPr>
              <w:t xml:space="preserve">prowadzenia systemu sygnalizacji </w:t>
            </w:r>
            <w:proofErr w:type="spellStart"/>
            <w:r w:rsidRPr="001D6B99">
              <w:rPr>
                <w:iCs/>
                <w:sz w:val="18"/>
                <w:szCs w:val="20"/>
              </w:rPr>
              <w:t>agrofagów</w:t>
            </w:r>
            <w:proofErr w:type="spellEnd"/>
            <w:r w:rsidRPr="001D6B99">
              <w:rPr>
                <w:iCs/>
                <w:sz w:val="18"/>
                <w:szCs w:val="20"/>
              </w:rPr>
              <w:t xml:space="preserve"> – działanie 10, zadanie 4,</w:t>
            </w:r>
          </w:p>
          <w:p w14:paraId="2B83C29D" w14:textId="77777777" w:rsidR="001D6B99" w:rsidRDefault="001D6B99" w:rsidP="001D6B99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1D6B99">
              <w:rPr>
                <w:iCs/>
                <w:sz w:val="18"/>
                <w:szCs w:val="20"/>
              </w:rPr>
              <w:t xml:space="preserve">udostępnienia systemów wspomagania podejmowania decyzji w ochronie roślin – działanie 10, zadanie 5, </w:t>
            </w:r>
          </w:p>
          <w:p w14:paraId="78FFA8D5" w14:textId="6FF52B1C" w:rsidR="004C066C" w:rsidRPr="001D6B99" w:rsidRDefault="001D6B99" w:rsidP="001D6B99">
            <w:pPr>
              <w:pStyle w:val="Akapitzlist"/>
              <w:numPr>
                <w:ilvl w:val="0"/>
                <w:numId w:val="10"/>
              </w:numPr>
              <w:jc w:val="both"/>
              <w:rPr>
                <w:iCs/>
                <w:sz w:val="18"/>
                <w:szCs w:val="20"/>
              </w:rPr>
            </w:pPr>
            <w:r w:rsidRPr="001D6B99">
              <w:rPr>
                <w:iCs/>
                <w:sz w:val="18"/>
                <w:szCs w:val="20"/>
              </w:rPr>
              <w:t>prowadzenia doradztwa rolniczego w ochronie roślin – działanie 10, zadanie 9.</w:t>
            </w:r>
          </w:p>
          <w:p w14:paraId="0877C9E6" w14:textId="76617F15" w:rsidR="00920CE8" w:rsidRPr="002450C4" w:rsidRDefault="00632AA0" w:rsidP="00BC120E">
            <w:pPr>
              <w:jc w:val="both"/>
              <w:rPr>
                <w:i/>
                <w:sz w:val="18"/>
                <w:szCs w:val="20"/>
              </w:rPr>
            </w:pPr>
            <w:r w:rsidRPr="002450C4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645ADA" w:rsidRPr="002450C4" w14:paraId="51EA48B6" w14:textId="77777777" w:rsidTr="00645ADA">
        <w:tc>
          <w:tcPr>
            <w:tcW w:w="506" w:type="dxa"/>
          </w:tcPr>
          <w:p w14:paraId="0A7158A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396283B0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7315" w:type="dxa"/>
          </w:tcPr>
          <w:p w14:paraId="75840256" w14:textId="77777777" w:rsidR="00A45D86" w:rsidRPr="00A45D86" w:rsidRDefault="00F215EE" w:rsidP="00A45D8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W trakcie realizacji projektu p</w:t>
            </w:r>
            <w:r w:rsidRPr="00F215EE">
              <w:rPr>
                <w:iCs/>
                <w:sz w:val="18"/>
                <w:szCs w:val="20"/>
              </w:rPr>
              <w:t xml:space="preserve">ojawiła się konieczność wydłużenia czasu </w:t>
            </w:r>
            <w:r w:rsidR="00E81C45">
              <w:rPr>
                <w:iCs/>
                <w:sz w:val="18"/>
                <w:szCs w:val="20"/>
              </w:rPr>
              <w:t xml:space="preserve">jego </w:t>
            </w:r>
            <w:r w:rsidRPr="00F215EE">
              <w:rPr>
                <w:iCs/>
                <w:sz w:val="18"/>
                <w:szCs w:val="20"/>
              </w:rPr>
              <w:t>trwania</w:t>
            </w:r>
            <w:r>
              <w:rPr>
                <w:iCs/>
                <w:sz w:val="18"/>
                <w:szCs w:val="20"/>
              </w:rPr>
              <w:t>.</w:t>
            </w:r>
            <w:r w:rsidRPr="00F215EE">
              <w:rPr>
                <w:iCs/>
                <w:sz w:val="18"/>
                <w:szCs w:val="20"/>
              </w:rPr>
              <w:t xml:space="preserve">  </w:t>
            </w:r>
            <w:r w:rsidR="00A45D86" w:rsidRPr="00A45D86">
              <w:rPr>
                <w:iCs/>
                <w:sz w:val="18"/>
                <w:szCs w:val="20"/>
              </w:rPr>
              <w:t>Projekt został zrealizowany z 5 miesięcznym opóźnieniem. Głównymi przyczynami była pandemia COVID-19 i jej konsekwencje w postaci braku personelu, ograniczonej komunikacji, zmian cen i kursu Euro oraz trudności w szkoleniach pracowników w formie warsztatów stacjonarnych.</w:t>
            </w:r>
          </w:p>
          <w:p w14:paraId="03060EA5" w14:textId="396CE705" w:rsidR="00F215EE" w:rsidRDefault="00A45D86" w:rsidP="00A45D86">
            <w:pPr>
              <w:jc w:val="both"/>
              <w:rPr>
                <w:iCs/>
                <w:sz w:val="18"/>
                <w:szCs w:val="20"/>
              </w:rPr>
            </w:pPr>
            <w:r w:rsidRPr="00A45D86">
              <w:rPr>
                <w:iCs/>
                <w:sz w:val="18"/>
                <w:szCs w:val="20"/>
              </w:rPr>
              <w:t xml:space="preserve">W ramach monitoringu </w:t>
            </w:r>
            <w:proofErr w:type="spellStart"/>
            <w:r w:rsidRPr="00A45D86">
              <w:rPr>
                <w:iCs/>
                <w:sz w:val="18"/>
                <w:szCs w:val="20"/>
              </w:rPr>
              <w:t>ryzyk</w:t>
            </w:r>
            <w:proofErr w:type="spellEnd"/>
            <w:r w:rsidRPr="00A45D86">
              <w:rPr>
                <w:iCs/>
                <w:sz w:val="18"/>
                <w:szCs w:val="20"/>
              </w:rPr>
              <w:t xml:space="preserve"> zidentyfikowano 42, z czego 14 wystąpiło.</w:t>
            </w:r>
          </w:p>
          <w:p w14:paraId="21E77E4A" w14:textId="54741F57" w:rsidR="00A45D86" w:rsidRDefault="00F42717" w:rsidP="00A45D86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lastRenderedPageBreak/>
              <w:t>Najważniejsze</w:t>
            </w:r>
            <w:r w:rsidR="00A45D86">
              <w:rPr>
                <w:iCs/>
                <w:sz w:val="18"/>
                <w:szCs w:val="20"/>
              </w:rPr>
              <w:t xml:space="preserve"> ryzyka to:</w:t>
            </w:r>
          </w:p>
          <w:p w14:paraId="0A4E7064" w14:textId="3579443A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Awaryjność stacji meteo, brak danych meteo, nieprawidłowe odczyty, przerwy w transmisji danych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7E3A67E5" w14:textId="083B3360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Brak wystarczających kwalifikacji pracowników ODR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21B0A58B" w14:textId="622E963B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Braki kadrowe związane z epidemią koronawirusa przyczynią się do opóźnienia podłączenia bazy meteo jako źródło danych dla modeli chorobowych, przeprowadzenia testów wydajnościowych modeli, uruchomienia API dla danych meteo - zadanie nr 3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10CB87F6" w14:textId="304643A8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 xml:space="preserve">Ustalenie szczegółów dotyczących umów oraz ich podpisanie pomiędzy partnerami projektu a jednostkami posiadającymi niezbędne dla projektu źródła danych (m.in. </w:t>
            </w:r>
            <w:proofErr w:type="spellStart"/>
            <w:r w:rsidRPr="00CC2DEF">
              <w:rPr>
                <w:iCs/>
                <w:sz w:val="18"/>
                <w:szCs w:val="20"/>
              </w:rPr>
              <w:t>IMiGW</w:t>
            </w:r>
            <w:proofErr w:type="spellEnd"/>
            <w:r w:rsidRPr="00CC2DEF">
              <w:rPr>
                <w:iCs/>
                <w:sz w:val="18"/>
                <w:szCs w:val="20"/>
              </w:rPr>
              <w:t xml:space="preserve">, IUNG, ICM, COBORU, ISIP, </w:t>
            </w:r>
            <w:proofErr w:type="spellStart"/>
            <w:r w:rsidRPr="00CC2DEF">
              <w:rPr>
                <w:iCs/>
                <w:sz w:val="18"/>
                <w:szCs w:val="20"/>
              </w:rPr>
              <w:t>GUGiK</w:t>
            </w:r>
            <w:proofErr w:type="spellEnd"/>
            <w:r w:rsidRPr="00CC2DEF">
              <w:rPr>
                <w:iCs/>
                <w:sz w:val="18"/>
                <w:szCs w:val="20"/>
              </w:rPr>
              <w:t xml:space="preserve">, </w:t>
            </w:r>
            <w:proofErr w:type="spellStart"/>
            <w:r w:rsidRPr="00CC2DEF">
              <w:rPr>
                <w:iCs/>
                <w:sz w:val="18"/>
                <w:szCs w:val="20"/>
              </w:rPr>
              <w:t>InHort</w:t>
            </w:r>
            <w:proofErr w:type="spellEnd"/>
            <w:r w:rsidRPr="00CC2DEF">
              <w:rPr>
                <w:iCs/>
                <w:sz w:val="18"/>
                <w:szCs w:val="20"/>
              </w:rPr>
              <w:t>) opóźni się ze względu na braki kadrowe lub zawieszenia działalności jednostek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6B2BA043" w14:textId="129E3EEE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Ograniczona dostępność kadry do realizacji zaplanowanych zadań spowodowana skutkami epidemii koronawirusa - zadanie 4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03B01784" w14:textId="5BE0DB18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Ograniczona komunikacja lub działalność dostawców usług zewnętrznych spowodowana skutkami epidemii koronawirusa - zadanie nr 4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1582C918" w14:textId="5C420F1E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Brak możliwości przeprowadzenia szkoleń i przygotowania kadry testerów do przeprowadzenia testów polowych spowodowane wystąpieniem epidemii koronawirusa - zadanie nr 9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46FA7EB4" w14:textId="6D4AE536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Zmiany kursu Euro spowodowane COVID-19 spowodują wzrost cen stacji meteorologicznych ponad zaplanowany budżet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12DB97A9" w14:textId="6D48375C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Ograniczona dostępność kadry do realizacji zaplanowanych zadań spowodowana skutkami epidemii koronawirusa - zadanie 8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0D55E0D3" w14:textId="0680B03F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Opóźniony termin realizacji przetargu na stacje obserwacyjne może wpłynąć na termin realizacji zadania 2 i 9 (pilotaż)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329EBB7F" w14:textId="2AAB6C1C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Przewidujemy, że uzgodnienia i wytworzenie dokumentacji związanej z ochrona danych osobowych zajmie więcej czasu niż planowano. W zawiązku z tym mogą powstać problemy z pilotażem i wdrożeniem systemu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0E8BBD7F" w14:textId="0D5F4577" w:rsidR="00CC2DEF" w:rsidRP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Ograniczona dostępność kadry do realizacji zaplanowanych zadań spowodowana skutkami epidemii koronawirusa - zadanie 7</w:t>
            </w:r>
            <w:r w:rsidR="00684D3C">
              <w:rPr>
                <w:iCs/>
                <w:sz w:val="18"/>
                <w:szCs w:val="20"/>
              </w:rPr>
              <w:t>,</w:t>
            </w:r>
          </w:p>
          <w:p w14:paraId="7897610A" w14:textId="21F17A1E" w:rsidR="00CC2DEF" w:rsidRDefault="00CC2DEF" w:rsidP="00CC2DEF">
            <w:pPr>
              <w:pStyle w:val="Akapitzlist"/>
              <w:numPr>
                <w:ilvl w:val="0"/>
                <w:numId w:val="12"/>
              </w:numPr>
              <w:jc w:val="both"/>
              <w:rPr>
                <w:iCs/>
                <w:sz w:val="18"/>
                <w:szCs w:val="20"/>
              </w:rPr>
            </w:pPr>
            <w:r w:rsidRPr="00CC2DEF">
              <w:rPr>
                <w:iCs/>
                <w:sz w:val="18"/>
                <w:szCs w:val="20"/>
              </w:rPr>
              <w:t>Skumulowane opóźnienia zadań i ryzyka, które wystąpiły spowodują dalsze opóźnienia prac implementacyjnych zadania 7, które do tej pory nie zostały ujawnione.</w:t>
            </w:r>
          </w:p>
          <w:p w14:paraId="1362D74C" w14:textId="0A86A6C7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45ADA" w:rsidRPr="002450C4" w14:paraId="10D94ED3" w14:textId="77777777" w:rsidTr="00645ADA">
        <w:tc>
          <w:tcPr>
            <w:tcW w:w="506" w:type="dxa"/>
          </w:tcPr>
          <w:p w14:paraId="23F4609C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712B0920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7315" w:type="dxa"/>
          </w:tcPr>
          <w:p w14:paraId="4531A98D" w14:textId="4A4F55BB" w:rsidR="00B97356" w:rsidRDefault="00B97356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Rezultaty projektu zaspokajają potrzeby obywateli takie jak </w:t>
            </w:r>
            <w:r w:rsidR="00DE62D4">
              <w:rPr>
                <w:bCs/>
                <w:iCs/>
                <w:sz w:val="18"/>
                <w:szCs w:val="20"/>
              </w:rPr>
              <w:t xml:space="preserve">dostęp do usług publicznego doradztwa rolniczego z wykorzystaniem form i narzędzi zdalnych. Realizacja projektu przypadła na </w:t>
            </w:r>
            <w:r w:rsidR="005C725F">
              <w:rPr>
                <w:bCs/>
                <w:iCs/>
                <w:sz w:val="18"/>
                <w:szCs w:val="20"/>
              </w:rPr>
              <w:t>okres lockdownów</w:t>
            </w:r>
            <w:r w:rsidR="000332B4">
              <w:rPr>
                <w:bCs/>
                <w:iCs/>
                <w:sz w:val="18"/>
                <w:szCs w:val="20"/>
              </w:rPr>
              <w:t xml:space="preserve"> COVID-19</w:t>
            </w:r>
            <w:r w:rsidR="005C725F">
              <w:rPr>
                <w:bCs/>
                <w:iCs/>
                <w:sz w:val="18"/>
                <w:szCs w:val="20"/>
              </w:rPr>
              <w:t>, któr</w:t>
            </w:r>
            <w:r w:rsidR="000332B4">
              <w:rPr>
                <w:bCs/>
                <w:iCs/>
                <w:sz w:val="18"/>
                <w:szCs w:val="20"/>
              </w:rPr>
              <w:t>e</w:t>
            </w:r>
            <w:r w:rsidR="005C725F">
              <w:rPr>
                <w:bCs/>
                <w:iCs/>
                <w:sz w:val="18"/>
                <w:szCs w:val="20"/>
              </w:rPr>
              <w:t xml:space="preserve"> pokazał</w:t>
            </w:r>
            <w:r w:rsidR="000332B4">
              <w:rPr>
                <w:bCs/>
                <w:iCs/>
                <w:sz w:val="18"/>
                <w:szCs w:val="20"/>
              </w:rPr>
              <w:t>y</w:t>
            </w:r>
            <w:r w:rsidR="005C725F">
              <w:rPr>
                <w:bCs/>
                <w:iCs/>
                <w:sz w:val="18"/>
                <w:szCs w:val="20"/>
              </w:rPr>
              <w:t xml:space="preserve"> dobitnie potrzebę cyfryzacji i świadczenia usług doradztwa rolniczego w formie zdalnej. Zmieniło się też w znacznym stopniu podejście odbiorców (rolników) do </w:t>
            </w:r>
            <w:r w:rsidR="00F92C82">
              <w:rPr>
                <w:bCs/>
                <w:iCs/>
                <w:sz w:val="18"/>
                <w:szCs w:val="20"/>
              </w:rPr>
              <w:t>kontaktu z doradcą. Zwiększył się odsetek rolników korzystających z form zdalnych.</w:t>
            </w:r>
          </w:p>
          <w:p w14:paraId="0465255A" w14:textId="7A831FA5" w:rsidR="00A24F3E" w:rsidRDefault="00A24F3E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Dodatkowo </w:t>
            </w:r>
            <w:r w:rsidR="0034211B">
              <w:rPr>
                <w:bCs/>
                <w:iCs/>
                <w:sz w:val="18"/>
                <w:szCs w:val="20"/>
              </w:rPr>
              <w:t>wzmocnieniu</w:t>
            </w:r>
            <w:r>
              <w:rPr>
                <w:bCs/>
                <w:iCs/>
                <w:sz w:val="18"/>
                <w:szCs w:val="20"/>
              </w:rPr>
              <w:t xml:space="preserve"> </w:t>
            </w:r>
            <w:r w:rsidR="0034211B">
              <w:rPr>
                <w:bCs/>
                <w:iCs/>
                <w:sz w:val="18"/>
                <w:szCs w:val="20"/>
              </w:rPr>
              <w:t xml:space="preserve">uległa </w:t>
            </w:r>
            <w:r w:rsidR="000C7933">
              <w:rPr>
                <w:bCs/>
                <w:iCs/>
                <w:sz w:val="18"/>
                <w:szCs w:val="20"/>
              </w:rPr>
              <w:t xml:space="preserve">pro środowiskowa </w:t>
            </w:r>
            <w:r w:rsidR="0034211B">
              <w:rPr>
                <w:bCs/>
                <w:iCs/>
                <w:sz w:val="18"/>
                <w:szCs w:val="20"/>
              </w:rPr>
              <w:t xml:space="preserve">polityka </w:t>
            </w:r>
            <w:r w:rsidR="000332B4">
              <w:rPr>
                <w:bCs/>
                <w:iCs/>
                <w:sz w:val="18"/>
                <w:szCs w:val="20"/>
              </w:rPr>
              <w:t>Unii</w:t>
            </w:r>
            <w:r w:rsidR="0034211B">
              <w:rPr>
                <w:bCs/>
                <w:iCs/>
                <w:sz w:val="18"/>
                <w:szCs w:val="20"/>
              </w:rPr>
              <w:t xml:space="preserve"> Europejskiej</w:t>
            </w:r>
            <w:r w:rsidR="000C7933">
              <w:rPr>
                <w:bCs/>
                <w:iCs/>
                <w:sz w:val="18"/>
                <w:szCs w:val="20"/>
              </w:rPr>
              <w:t xml:space="preserve"> w postaci zielonego ładu. Efekt </w:t>
            </w:r>
            <w:r w:rsidR="00202ADF">
              <w:rPr>
                <w:bCs/>
                <w:iCs/>
                <w:sz w:val="18"/>
                <w:szCs w:val="20"/>
              </w:rPr>
              <w:t xml:space="preserve">realizacji projektu wprost przyczynić się może do optymalizacji (zmniejszenia) użycia środków chemicznych w rolnictwie. </w:t>
            </w:r>
          </w:p>
          <w:p w14:paraId="1421B1DF" w14:textId="77777777" w:rsidR="00B97356" w:rsidRDefault="00B97356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27A0B17B" w14:textId="1D4250C7" w:rsidR="009B7640" w:rsidRDefault="00945E2F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W projekcie zaplanowano wskaźnik</w:t>
            </w:r>
            <w:r w:rsidR="009B7640">
              <w:rPr>
                <w:bCs/>
                <w:iCs/>
                <w:sz w:val="18"/>
                <w:szCs w:val="20"/>
              </w:rPr>
              <w:t xml:space="preserve"> rezultatu w postaci 100 000 </w:t>
            </w:r>
            <w:r w:rsidR="009B7640" w:rsidRPr="009B7640">
              <w:rPr>
                <w:bCs/>
                <w:iCs/>
                <w:sz w:val="18"/>
                <w:szCs w:val="20"/>
              </w:rPr>
              <w:t>załatwionych spraw poprzez udostępnioną on-line usługę publiczną</w:t>
            </w:r>
            <w:r w:rsidR="009B7640">
              <w:rPr>
                <w:bCs/>
                <w:iCs/>
                <w:sz w:val="18"/>
                <w:szCs w:val="20"/>
              </w:rPr>
              <w:t xml:space="preserve"> w ciągu roku od zakończenia projektu.</w:t>
            </w:r>
          </w:p>
          <w:p w14:paraId="675F7A5C" w14:textId="77777777" w:rsidR="009B7640" w:rsidRDefault="009B7640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1983E2D8" w14:textId="467734AB" w:rsidR="00B264D9" w:rsidRDefault="00D2144F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Zaplanowano także ewaluacje w postaci ankiet i badań użytkowników. </w:t>
            </w:r>
          </w:p>
          <w:p w14:paraId="662C5664" w14:textId="5DC6D469" w:rsidR="002D06D5" w:rsidRDefault="002D06D5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Systemy platformy dostarczają szeregu statystyk takich jak, liczba rejestrowanych użytkowników, liczba prowadzonych pól, udzielanych zaleceń, alertów, odsłon, instalacji itd.</w:t>
            </w:r>
            <w:r w:rsidR="00260F6A">
              <w:rPr>
                <w:bCs/>
                <w:iCs/>
                <w:sz w:val="18"/>
                <w:szCs w:val="20"/>
              </w:rPr>
              <w:t xml:space="preserve"> Statystyki są dostępne dla wszystkich Partnerów projektu, w tym administratorów systemów i kierownictw Partnerów.</w:t>
            </w:r>
            <w:r w:rsidR="007048B7">
              <w:rPr>
                <w:bCs/>
                <w:iCs/>
                <w:sz w:val="18"/>
                <w:szCs w:val="20"/>
              </w:rPr>
              <w:t xml:space="preserve"> </w:t>
            </w:r>
          </w:p>
          <w:p w14:paraId="33315569" w14:textId="77777777" w:rsidR="00B264D9" w:rsidRDefault="00B264D9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4F2283EE" w14:textId="62F5CA38" w:rsidR="00945E2F" w:rsidRDefault="00D2144F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Ponadto </w:t>
            </w:r>
            <w:r w:rsidR="00671B49">
              <w:rPr>
                <w:bCs/>
                <w:iCs/>
                <w:sz w:val="18"/>
                <w:szCs w:val="20"/>
              </w:rPr>
              <w:t xml:space="preserve">istnieje możliwość </w:t>
            </w:r>
            <w:r>
              <w:rPr>
                <w:bCs/>
                <w:iCs/>
                <w:sz w:val="18"/>
                <w:szCs w:val="20"/>
              </w:rPr>
              <w:t>rozw</w:t>
            </w:r>
            <w:r w:rsidR="00671B49">
              <w:rPr>
                <w:bCs/>
                <w:iCs/>
                <w:sz w:val="18"/>
                <w:szCs w:val="20"/>
              </w:rPr>
              <w:t>oju</w:t>
            </w:r>
            <w:r w:rsidR="006B491A">
              <w:rPr>
                <w:bCs/>
                <w:iCs/>
                <w:sz w:val="18"/>
                <w:szCs w:val="20"/>
              </w:rPr>
              <w:t xml:space="preserve"> i rozbudowy</w:t>
            </w:r>
            <w:r>
              <w:rPr>
                <w:bCs/>
                <w:iCs/>
                <w:sz w:val="18"/>
                <w:szCs w:val="20"/>
              </w:rPr>
              <w:t xml:space="preserve"> Platformy poprzez integrację usług z zakresu rolnictwa i doradztwa rolniczego. </w:t>
            </w:r>
            <w:r w:rsidR="006B491A">
              <w:rPr>
                <w:bCs/>
                <w:iCs/>
                <w:sz w:val="18"/>
                <w:szCs w:val="20"/>
              </w:rPr>
              <w:t xml:space="preserve">Przygotowana została koncepcja i fiszka projektowa </w:t>
            </w:r>
            <w:r>
              <w:rPr>
                <w:bCs/>
                <w:iCs/>
                <w:sz w:val="18"/>
                <w:szCs w:val="20"/>
              </w:rPr>
              <w:t>Zintegrowanej Platformy Doradczej i rolnik.gov.pl</w:t>
            </w:r>
            <w:r w:rsidR="00B264D9">
              <w:rPr>
                <w:bCs/>
                <w:iCs/>
                <w:sz w:val="18"/>
                <w:szCs w:val="20"/>
              </w:rPr>
              <w:t xml:space="preserve"> </w:t>
            </w:r>
            <w:r w:rsidR="004F00E6">
              <w:rPr>
                <w:bCs/>
                <w:iCs/>
                <w:sz w:val="18"/>
                <w:szCs w:val="20"/>
              </w:rPr>
              <w:t xml:space="preserve">zgłoszona </w:t>
            </w:r>
            <w:r w:rsidR="00FB5877">
              <w:rPr>
                <w:bCs/>
                <w:iCs/>
                <w:sz w:val="18"/>
                <w:szCs w:val="20"/>
              </w:rPr>
              <w:t xml:space="preserve">do sfinansowania w ramach działania </w:t>
            </w:r>
            <w:r w:rsidR="000A0C55">
              <w:rPr>
                <w:bCs/>
                <w:iCs/>
                <w:sz w:val="18"/>
                <w:szCs w:val="20"/>
              </w:rPr>
              <w:t xml:space="preserve">C.2.1.1 </w:t>
            </w:r>
            <w:r w:rsidR="00B264D9">
              <w:rPr>
                <w:bCs/>
                <w:iCs/>
                <w:sz w:val="18"/>
                <w:szCs w:val="20"/>
              </w:rPr>
              <w:t>Krajow</w:t>
            </w:r>
            <w:r w:rsidR="00FB5877">
              <w:rPr>
                <w:bCs/>
                <w:iCs/>
                <w:sz w:val="18"/>
                <w:szCs w:val="20"/>
              </w:rPr>
              <w:t>ego</w:t>
            </w:r>
            <w:r w:rsidR="00B264D9">
              <w:rPr>
                <w:bCs/>
                <w:iCs/>
                <w:sz w:val="18"/>
                <w:szCs w:val="20"/>
              </w:rPr>
              <w:t xml:space="preserve"> Plan</w:t>
            </w:r>
            <w:r w:rsidR="00FB5877">
              <w:rPr>
                <w:bCs/>
                <w:iCs/>
                <w:sz w:val="18"/>
                <w:szCs w:val="20"/>
              </w:rPr>
              <w:t>u</w:t>
            </w:r>
            <w:r w:rsidR="00B264D9">
              <w:rPr>
                <w:bCs/>
                <w:iCs/>
                <w:sz w:val="18"/>
                <w:szCs w:val="20"/>
              </w:rPr>
              <w:t xml:space="preserve"> Odbudowy, w których Platforma </w:t>
            </w:r>
            <w:proofErr w:type="spellStart"/>
            <w:r w:rsidR="00B264D9">
              <w:rPr>
                <w:bCs/>
                <w:iCs/>
                <w:sz w:val="18"/>
                <w:szCs w:val="20"/>
              </w:rPr>
              <w:t>eDWIN</w:t>
            </w:r>
            <w:proofErr w:type="spellEnd"/>
            <w:r w:rsidR="00B264D9">
              <w:rPr>
                <w:bCs/>
                <w:iCs/>
                <w:sz w:val="18"/>
                <w:szCs w:val="20"/>
              </w:rPr>
              <w:t xml:space="preserve"> stanowi jeden z fundamentów.</w:t>
            </w:r>
          </w:p>
          <w:p w14:paraId="5CDB82AC" w14:textId="6C30DB25" w:rsidR="004274FD" w:rsidRDefault="004274FD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29541267" w14:textId="1579AA77" w:rsidR="004274FD" w:rsidRDefault="004274FD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Jednym z kluczowych efektów realizacji projektu jest też inicjacja otwarcia danych rolniczych</w:t>
            </w:r>
            <w:r w:rsidR="00CF0FE4">
              <w:rPr>
                <w:bCs/>
                <w:iCs/>
                <w:sz w:val="18"/>
                <w:szCs w:val="20"/>
              </w:rPr>
              <w:t xml:space="preserve"> oraz standaryzacja słowników</w:t>
            </w:r>
            <w:r>
              <w:rPr>
                <w:bCs/>
                <w:iCs/>
                <w:sz w:val="18"/>
                <w:szCs w:val="20"/>
              </w:rPr>
              <w:t xml:space="preserve">. Udostępniono dane meteorologiczne, alerty i ryzyka występowania </w:t>
            </w:r>
            <w:proofErr w:type="spellStart"/>
            <w:r>
              <w:rPr>
                <w:bCs/>
                <w:iCs/>
                <w:sz w:val="18"/>
                <w:szCs w:val="20"/>
              </w:rPr>
              <w:t>agrofagów</w:t>
            </w:r>
            <w:proofErr w:type="spellEnd"/>
            <w:r>
              <w:rPr>
                <w:bCs/>
                <w:iCs/>
                <w:sz w:val="18"/>
                <w:szCs w:val="20"/>
              </w:rPr>
              <w:t>. Notujemy bardzo duże zainteresowanie tymi otwartymi danymi</w:t>
            </w:r>
            <w:r w:rsidR="003031D3">
              <w:rPr>
                <w:bCs/>
                <w:iCs/>
                <w:sz w:val="18"/>
                <w:szCs w:val="20"/>
              </w:rPr>
              <w:t xml:space="preserve"> wśród instytucji i firm okołorolniczych</w:t>
            </w:r>
            <w:r>
              <w:rPr>
                <w:bCs/>
                <w:iCs/>
                <w:sz w:val="18"/>
                <w:szCs w:val="20"/>
              </w:rPr>
              <w:t xml:space="preserve">. </w:t>
            </w:r>
            <w:r w:rsidR="00CF0FE4">
              <w:rPr>
                <w:bCs/>
                <w:iCs/>
                <w:sz w:val="18"/>
                <w:szCs w:val="20"/>
              </w:rPr>
              <w:t xml:space="preserve">Efektem dodatkowym jest też zwiększenie świadomości urzędników co do potrzeby otwarcia danych i likwidacji </w:t>
            </w:r>
            <w:proofErr w:type="spellStart"/>
            <w:r w:rsidR="00CF0FE4">
              <w:rPr>
                <w:bCs/>
                <w:iCs/>
                <w:sz w:val="18"/>
                <w:szCs w:val="20"/>
              </w:rPr>
              <w:t>tzw</w:t>
            </w:r>
            <w:proofErr w:type="spellEnd"/>
            <w:r w:rsidR="00CF0FE4">
              <w:rPr>
                <w:bCs/>
                <w:iCs/>
                <w:sz w:val="18"/>
                <w:szCs w:val="20"/>
              </w:rPr>
              <w:t xml:space="preserve"> „silosów” danych rolniczych. Przykładem jest zawarcie w koncepcjach rozwoju usług cyfrowych (przy okazji projektowania KPO) tej tematyki.</w:t>
            </w:r>
          </w:p>
          <w:p w14:paraId="077C7D88" w14:textId="77777777" w:rsidR="00945E2F" w:rsidRPr="00945E2F" w:rsidRDefault="00945E2F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399128DC" w14:textId="778D4469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645ADA" w:rsidRPr="002450C4" w14:paraId="3E0063F4" w14:textId="77777777" w:rsidTr="00645ADA">
        <w:tc>
          <w:tcPr>
            <w:tcW w:w="506" w:type="dxa"/>
          </w:tcPr>
          <w:p w14:paraId="7BB1B264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6B1599F1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7315" w:type="dxa"/>
          </w:tcPr>
          <w:p w14:paraId="1917AF4B" w14:textId="0304BBF7" w:rsidR="000D0F1E" w:rsidRDefault="000D0F1E" w:rsidP="00DB70A5">
            <w:pPr>
              <w:jc w:val="both"/>
              <w:rPr>
                <w:iCs/>
                <w:sz w:val="18"/>
                <w:szCs w:val="18"/>
              </w:rPr>
            </w:pPr>
            <w:r w:rsidRPr="000D0F1E">
              <w:rPr>
                <w:iCs/>
                <w:sz w:val="18"/>
                <w:szCs w:val="18"/>
              </w:rPr>
              <w:t xml:space="preserve">System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 w:rsidRPr="000D0F1E">
              <w:rPr>
                <w:iCs/>
                <w:sz w:val="18"/>
                <w:szCs w:val="18"/>
              </w:rPr>
              <w:t xml:space="preserve"> </w:t>
            </w:r>
            <w:r w:rsidR="00D07E77">
              <w:rPr>
                <w:iCs/>
                <w:sz w:val="18"/>
                <w:szCs w:val="18"/>
              </w:rPr>
              <w:t>został z</w:t>
            </w:r>
            <w:r w:rsidRPr="000D0F1E">
              <w:rPr>
                <w:iCs/>
                <w:sz w:val="18"/>
                <w:szCs w:val="18"/>
              </w:rPr>
              <w:t>integrowa</w:t>
            </w:r>
            <w:r w:rsidR="00D07E77">
              <w:rPr>
                <w:iCs/>
                <w:sz w:val="18"/>
                <w:szCs w:val="18"/>
              </w:rPr>
              <w:t>ny</w:t>
            </w:r>
            <w:r w:rsidRPr="000D0F1E">
              <w:rPr>
                <w:iCs/>
                <w:sz w:val="18"/>
                <w:szCs w:val="18"/>
              </w:rPr>
              <w:t xml:space="preserve"> z następującymi systemami teleinformatycznymi:</w:t>
            </w:r>
          </w:p>
          <w:p w14:paraId="67ABB3D7" w14:textId="411F3964" w:rsidR="00D07E77" w:rsidRDefault="00D07E77" w:rsidP="00DB70A5">
            <w:pPr>
              <w:jc w:val="both"/>
              <w:rPr>
                <w:iCs/>
                <w:sz w:val="18"/>
                <w:szCs w:val="18"/>
              </w:rPr>
            </w:pPr>
          </w:p>
          <w:p w14:paraId="1DB49086" w14:textId="0E947D68" w:rsidR="00D07E77" w:rsidRPr="00D07E77" w:rsidRDefault="00D07E77" w:rsidP="00D07E77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0F3F23">
              <w:rPr>
                <w:b/>
                <w:bCs/>
                <w:iCs/>
                <w:sz w:val="18"/>
                <w:szCs w:val="18"/>
              </w:rPr>
              <w:t>1.</w:t>
            </w:r>
            <w:r w:rsidR="000F3F23" w:rsidRPr="000F3F23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="008D0D78" w:rsidRPr="008D0D78">
              <w:rPr>
                <w:b/>
                <w:bCs/>
                <w:iCs/>
                <w:sz w:val="18"/>
                <w:szCs w:val="18"/>
              </w:rPr>
              <w:t xml:space="preserve">Platforma sygnalizacji </w:t>
            </w:r>
            <w:proofErr w:type="spellStart"/>
            <w:r w:rsidR="008D0D78" w:rsidRPr="008D0D78">
              <w:rPr>
                <w:b/>
                <w:bCs/>
                <w:iCs/>
                <w:sz w:val="18"/>
                <w:szCs w:val="18"/>
              </w:rPr>
              <w:t>agrofagów</w:t>
            </w:r>
            <w:proofErr w:type="spellEnd"/>
            <w:r w:rsidR="008D0D78" w:rsidRPr="008D0D78">
              <w:rPr>
                <w:b/>
                <w:bCs/>
                <w:iCs/>
                <w:sz w:val="18"/>
                <w:szCs w:val="18"/>
              </w:rPr>
              <w:t xml:space="preserve"> Instytutu Ochrony Roślin -Państwowego Instytut</w:t>
            </w:r>
            <w:r w:rsidR="008D0D78">
              <w:rPr>
                <w:b/>
                <w:bCs/>
                <w:iCs/>
                <w:sz w:val="18"/>
                <w:szCs w:val="18"/>
              </w:rPr>
              <w:t>u</w:t>
            </w:r>
            <w:r w:rsidR="008D0D78" w:rsidRPr="008D0D78">
              <w:rPr>
                <w:b/>
                <w:bCs/>
                <w:iCs/>
                <w:sz w:val="18"/>
                <w:szCs w:val="18"/>
              </w:rPr>
              <w:t xml:space="preserve"> Badawczego</w:t>
            </w:r>
            <w:r w:rsidR="008D0D78">
              <w:rPr>
                <w:b/>
                <w:bCs/>
                <w:iCs/>
                <w:sz w:val="18"/>
                <w:szCs w:val="18"/>
              </w:rPr>
              <w:t xml:space="preserve"> (agrofagi.com.pl)</w:t>
            </w:r>
            <w:r w:rsidRPr="00D07E77">
              <w:rPr>
                <w:b/>
                <w:bCs/>
                <w:iCs/>
                <w:sz w:val="18"/>
                <w:szCs w:val="18"/>
              </w:rPr>
              <w:t>:</w:t>
            </w:r>
          </w:p>
          <w:p w14:paraId="10AE5C8F" w14:textId="16C980A7" w:rsidR="0073210F" w:rsidRDefault="00D07E77" w:rsidP="00D07E77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a</w:t>
            </w:r>
            <w:r w:rsidR="0017671E">
              <w:rPr>
                <w:iCs/>
                <w:sz w:val="18"/>
                <w:szCs w:val="18"/>
              </w:rPr>
              <w:t xml:space="preserve">. </w:t>
            </w:r>
            <w:r w:rsidR="00BD0879">
              <w:rPr>
                <w:iCs/>
                <w:sz w:val="18"/>
                <w:szCs w:val="18"/>
              </w:rPr>
              <w:t xml:space="preserve">nazwa: </w:t>
            </w:r>
            <w:r w:rsidR="006B40E6">
              <w:rPr>
                <w:iCs/>
                <w:sz w:val="18"/>
                <w:szCs w:val="18"/>
              </w:rPr>
              <w:t xml:space="preserve">usługa </w:t>
            </w:r>
            <w:r w:rsidR="00353019">
              <w:rPr>
                <w:iCs/>
                <w:sz w:val="18"/>
                <w:szCs w:val="18"/>
              </w:rPr>
              <w:t xml:space="preserve">sygnalizacji </w:t>
            </w:r>
            <w:proofErr w:type="spellStart"/>
            <w:r w:rsidR="00353019">
              <w:rPr>
                <w:iCs/>
                <w:sz w:val="18"/>
                <w:szCs w:val="18"/>
              </w:rPr>
              <w:t>agrofagów</w:t>
            </w:r>
            <w:proofErr w:type="spellEnd"/>
            <w:r w:rsidR="00353019">
              <w:rPr>
                <w:iCs/>
                <w:sz w:val="18"/>
                <w:szCs w:val="18"/>
              </w:rPr>
              <w:t xml:space="preserve"> </w:t>
            </w:r>
            <w:r w:rsidR="006B40E6">
              <w:rPr>
                <w:iCs/>
                <w:sz w:val="18"/>
                <w:szCs w:val="18"/>
              </w:rPr>
              <w:t>- wyniki obserwacji polowych</w:t>
            </w:r>
            <w:r w:rsidR="0021236B">
              <w:rPr>
                <w:iCs/>
                <w:sz w:val="18"/>
                <w:szCs w:val="18"/>
              </w:rPr>
              <w:t>,</w:t>
            </w:r>
          </w:p>
          <w:p w14:paraId="1D8E3A09" w14:textId="58E2FB24" w:rsidR="002F1309" w:rsidRPr="00D07E77" w:rsidRDefault="002F1309" w:rsidP="002F1309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b.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charakter powiązania</w:t>
            </w:r>
            <w:r>
              <w:rPr>
                <w:iCs/>
                <w:sz w:val="18"/>
                <w:szCs w:val="18"/>
              </w:rPr>
              <w:t xml:space="preserve">: jednokierunkowe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 xml:space="preserve">-&gt; Platforma sygnalizacji </w:t>
            </w:r>
            <w:proofErr w:type="spellStart"/>
            <w:r>
              <w:rPr>
                <w:iCs/>
                <w:sz w:val="18"/>
                <w:szCs w:val="18"/>
              </w:rPr>
              <w:t>agrofagów</w:t>
            </w:r>
            <w:proofErr w:type="spellEnd"/>
            <w:r w:rsidR="0021236B">
              <w:rPr>
                <w:iCs/>
                <w:sz w:val="18"/>
                <w:szCs w:val="18"/>
              </w:rPr>
              <w:t>,</w:t>
            </w:r>
          </w:p>
          <w:p w14:paraId="74553692" w14:textId="4B7C0CBB" w:rsidR="002F1309" w:rsidRDefault="002F1309" w:rsidP="002F1309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c.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opis powiązania</w:t>
            </w:r>
            <w:r>
              <w:rPr>
                <w:iCs/>
                <w:sz w:val="18"/>
                <w:szCs w:val="18"/>
              </w:rPr>
              <w:t xml:space="preserve">: system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udpostępnia</w:t>
            </w:r>
            <w:proofErr w:type="spellEnd"/>
            <w:r>
              <w:rPr>
                <w:iCs/>
                <w:sz w:val="18"/>
                <w:szCs w:val="18"/>
              </w:rPr>
              <w:t xml:space="preserve"> dane o wynikach obserwacji polowych prowadzonych przez pracowników Ośrodków Doradztwa Rolniczego w Polsce poprzez usługę </w:t>
            </w:r>
            <w:proofErr w:type="spellStart"/>
            <w:r>
              <w:rPr>
                <w:iCs/>
                <w:sz w:val="18"/>
                <w:szCs w:val="18"/>
              </w:rPr>
              <w:t>rest</w:t>
            </w:r>
            <w:proofErr w:type="spellEnd"/>
            <w:r>
              <w:rPr>
                <w:iCs/>
                <w:sz w:val="18"/>
                <w:szCs w:val="18"/>
              </w:rPr>
              <w:t xml:space="preserve"> API; </w:t>
            </w:r>
            <w:r w:rsidR="000E6688">
              <w:rPr>
                <w:iCs/>
                <w:sz w:val="18"/>
                <w:szCs w:val="18"/>
              </w:rPr>
              <w:t xml:space="preserve">powiązanie uruchomione po stronie </w:t>
            </w:r>
            <w:proofErr w:type="spellStart"/>
            <w:r w:rsidR="000E6688">
              <w:rPr>
                <w:iCs/>
                <w:sz w:val="18"/>
                <w:szCs w:val="18"/>
              </w:rPr>
              <w:t>eDWIN</w:t>
            </w:r>
            <w:proofErr w:type="spellEnd"/>
            <w:r w:rsidR="000E6688">
              <w:rPr>
                <w:iCs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 xml:space="preserve">planowane włączenie po stronie Platformy sygnalizacji </w:t>
            </w:r>
            <w:proofErr w:type="spellStart"/>
            <w:r>
              <w:rPr>
                <w:iCs/>
                <w:sz w:val="18"/>
                <w:szCs w:val="18"/>
              </w:rPr>
              <w:t>agrofagów</w:t>
            </w:r>
            <w:proofErr w:type="spellEnd"/>
            <w:r>
              <w:rPr>
                <w:iCs/>
                <w:sz w:val="18"/>
                <w:szCs w:val="18"/>
              </w:rPr>
              <w:t xml:space="preserve"> w marcu 2023 roku</w:t>
            </w:r>
            <w:r w:rsidR="0021236B">
              <w:rPr>
                <w:iCs/>
                <w:sz w:val="18"/>
                <w:szCs w:val="18"/>
              </w:rPr>
              <w:t>.</w:t>
            </w:r>
          </w:p>
          <w:p w14:paraId="6B3C9525" w14:textId="0E3295B8" w:rsidR="000F3F23" w:rsidRDefault="000F3F23" w:rsidP="00D07E77">
            <w:pPr>
              <w:jc w:val="both"/>
              <w:rPr>
                <w:iCs/>
                <w:sz w:val="18"/>
                <w:szCs w:val="18"/>
              </w:rPr>
            </w:pPr>
          </w:p>
          <w:p w14:paraId="1D0738C1" w14:textId="7726A23F" w:rsidR="000F3F23" w:rsidRPr="00D07E77" w:rsidRDefault="0021236B" w:rsidP="000F3F23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</w:t>
            </w:r>
            <w:r w:rsidR="000F3F23" w:rsidRPr="000F3F23">
              <w:rPr>
                <w:b/>
                <w:bCs/>
                <w:iCs/>
                <w:sz w:val="18"/>
                <w:szCs w:val="18"/>
              </w:rPr>
              <w:t>.</w:t>
            </w:r>
            <w:r w:rsidR="000F3F23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="00BD0879">
              <w:rPr>
                <w:b/>
                <w:bCs/>
                <w:iCs/>
                <w:sz w:val="18"/>
                <w:szCs w:val="18"/>
              </w:rPr>
              <w:t>Rejestr</w:t>
            </w:r>
            <w:r w:rsidR="000F3F23" w:rsidRPr="000F3F23">
              <w:rPr>
                <w:b/>
                <w:bCs/>
                <w:iCs/>
                <w:sz w:val="18"/>
                <w:szCs w:val="18"/>
              </w:rPr>
              <w:t xml:space="preserve"> zarejestrowanych środków ochrony roślin </w:t>
            </w:r>
            <w:proofErr w:type="spellStart"/>
            <w:r w:rsidR="000F3F23" w:rsidRPr="000F3F23">
              <w:rPr>
                <w:b/>
                <w:bCs/>
                <w:iCs/>
                <w:sz w:val="18"/>
                <w:szCs w:val="18"/>
              </w:rPr>
              <w:t>MRiRW</w:t>
            </w:r>
            <w:proofErr w:type="spellEnd"/>
            <w:r w:rsidR="000F3F23" w:rsidRPr="00D07E77">
              <w:rPr>
                <w:b/>
                <w:bCs/>
                <w:iCs/>
                <w:sz w:val="18"/>
                <w:szCs w:val="18"/>
              </w:rPr>
              <w:t>:</w:t>
            </w:r>
          </w:p>
          <w:p w14:paraId="39190EAB" w14:textId="4B5941B6" w:rsidR="000F3F23" w:rsidRDefault="000F3F23" w:rsidP="000F3F23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a</w:t>
            </w:r>
            <w:r>
              <w:rPr>
                <w:iCs/>
                <w:sz w:val="18"/>
                <w:szCs w:val="18"/>
              </w:rPr>
              <w:t xml:space="preserve">. </w:t>
            </w:r>
            <w:r w:rsidR="002F1309">
              <w:rPr>
                <w:iCs/>
                <w:sz w:val="18"/>
                <w:szCs w:val="18"/>
              </w:rPr>
              <w:t xml:space="preserve">nazwa: </w:t>
            </w:r>
            <w:r w:rsidR="008D2E98" w:rsidRPr="008D2E98">
              <w:rPr>
                <w:iCs/>
                <w:sz w:val="18"/>
                <w:szCs w:val="18"/>
              </w:rPr>
              <w:t>Rejestr środków ochrony roślin</w:t>
            </w:r>
            <w:r w:rsidR="0021236B">
              <w:rPr>
                <w:iCs/>
                <w:sz w:val="18"/>
                <w:szCs w:val="18"/>
              </w:rPr>
              <w:t>,</w:t>
            </w:r>
          </w:p>
          <w:p w14:paraId="115485B3" w14:textId="3A3AC20D" w:rsidR="000F3F23" w:rsidRPr="00D07E77" w:rsidRDefault="000F3F23" w:rsidP="000F3F23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b.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BD0879" w:rsidRPr="00D07E77">
              <w:rPr>
                <w:iCs/>
                <w:sz w:val="18"/>
                <w:szCs w:val="18"/>
              </w:rPr>
              <w:t>charakter powiązania</w:t>
            </w:r>
            <w:r w:rsidR="00BD0879">
              <w:rPr>
                <w:iCs/>
                <w:sz w:val="18"/>
                <w:szCs w:val="18"/>
              </w:rPr>
              <w:t xml:space="preserve">: </w:t>
            </w:r>
            <w:r>
              <w:rPr>
                <w:iCs/>
                <w:sz w:val="18"/>
                <w:szCs w:val="18"/>
              </w:rPr>
              <w:t xml:space="preserve">jednokierunkowe </w:t>
            </w:r>
            <w:r w:rsidR="008D2E98">
              <w:rPr>
                <w:iCs/>
                <w:sz w:val="18"/>
                <w:szCs w:val="18"/>
              </w:rPr>
              <w:t xml:space="preserve">rejestr -&gt;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 w:rsidR="0021236B">
              <w:rPr>
                <w:iCs/>
                <w:sz w:val="18"/>
                <w:szCs w:val="18"/>
              </w:rPr>
              <w:t>,</w:t>
            </w:r>
          </w:p>
          <w:p w14:paraId="7299D3C1" w14:textId="4397C73D" w:rsidR="000F3F23" w:rsidRDefault="000F3F23" w:rsidP="000F3F23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c.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BD0879" w:rsidRPr="00D07E77">
              <w:rPr>
                <w:iCs/>
                <w:sz w:val="18"/>
                <w:szCs w:val="18"/>
              </w:rPr>
              <w:t>opis powiązania</w:t>
            </w:r>
            <w:r w:rsidR="00BD0879">
              <w:rPr>
                <w:iCs/>
                <w:sz w:val="18"/>
                <w:szCs w:val="18"/>
              </w:rPr>
              <w:t xml:space="preserve">: </w:t>
            </w:r>
            <w:r>
              <w:rPr>
                <w:iCs/>
                <w:sz w:val="18"/>
                <w:szCs w:val="18"/>
              </w:rPr>
              <w:t xml:space="preserve">system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r w:rsidR="008D2E98">
              <w:rPr>
                <w:iCs/>
                <w:sz w:val="18"/>
                <w:szCs w:val="18"/>
              </w:rPr>
              <w:t xml:space="preserve">zaczytuje cyklicznie dane z rejestru, słowniki oraz </w:t>
            </w:r>
            <w:proofErr w:type="spellStart"/>
            <w:r w:rsidR="008D2E98">
              <w:rPr>
                <w:iCs/>
                <w:sz w:val="18"/>
                <w:szCs w:val="18"/>
              </w:rPr>
              <w:t>parsuje</w:t>
            </w:r>
            <w:proofErr w:type="spellEnd"/>
            <w:r w:rsidR="008D2E98">
              <w:rPr>
                <w:iCs/>
                <w:sz w:val="18"/>
                <w:szCs w:val="18"/>
              </w:rPr>
              <w:t xml:space="preserve"> karty p</w:t>
            </w:r>
            <w:r w:rsidR="000E6688">
              <w:rPr>
                <w:iCs/>
                <w:sz w:val="18"/>
                <w:szCs w:val="18"/>
              </w:rPr>
              <w:t xml:space="preserve">df </w:t>
            </w:r>
            <w:r w:rsidR="008D2E98">
              <w:rPr>
                <w:iCs/>
                <w:sz w:val="18"/>
                <w:szCs w:val="18"/>
              </w:rPr>
              <w:t>zarejestrowanych środków</w:t>
            </w:r>
            <w:r w:rsidR="000E6688">
              <w:rPr>
                <w:iCs/>
                <w:sz w:val="18"/>
                <w:szCs w:val="18"/>
              </w:rPr>
              <w:t>; powiązanie zostało wdrożone i uruchomione produkcyjnie</w:t>
            </w:r>
            <w:r w:rsidR="0021236B">
              <w:rPr>
                <w:iCs/>
                <w:sz w:val="18"/>
                <w:szCs w:val="18"/>
              </w:rPr>
              <w:t>.</w:t>
            </w:r>
          </w:p>
          <w:p w14:paraId="30C33B10" w14:textId="4CBDAEBA" w:rsidR="0021236B" w:rsidRDefault="0021236B" w:rsidP="000F3F23">
            <w:pPr>
              <w:jc w:val="both"/>
              <w:rPr>
                <w:iCs/>
                <w:sz w:val="18"/>
                <w:szCs w:val="18"/>
              </w:rPr>
            </w:pPr>
          </w:p>
          <w:p w14:paraId="209362E3" w14:textId="59FB2D5E" w:rsidR="0021236B" w:rsidRPr="00D07E77" w:rsidRDefault="00700F7A" w:rsidP="0021236B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</w:t>
            </w:r>
            <w:r w:rsidR="0021236B" w:rsidRPr="000F3F23">
              <w:rPr>
                <w:b/>
                <w:bCs/>
                <w:iCs/>
                <w:sz w:val="18"/>
                <w:szCs w:val="18"/>
              </w:rPr>
              <w:t>.</w:t>
            </w:r>
            <w:r w:rsidR="0021236B">
              <w:rPr>
                <w:b/>
                <w:bCs/>
                <w:iCs/>
                <w:sz w:val="18"/>
                <w:szCs w:val="18"/>
              </w:rPr>
              <w:t xml:space="preserve"> Ze</w:t>
            </w:r>
            <w:r w:rsidR="0007479A">
              <w:rPr>
                <w:b/>
                <w:bCs/>
                <w:iCs/>
                <w:sz w:val="18"/>
                <w:szCs w:val="18"/>
              </w:rPr>
              <w:t>wnętrzne serwisy danych meteorologicznych</w:t>
            </w:r>
            <w:r w:rsidR="0021236B" w:rsidRPr="00D07E77">
              <w:rPr>
                <w:b/>
                <w:bCs/>
                <w:iCs/>
                <w:sz w:val="18"/>
                <w:szCs w:val="18"/>
              </w:rPr>
              <w:t>:</w:t>
            </w:r>
          </w:p>
          <w:p w14:paraId="51456D10" w14:textId="01E79C14" w:rsidR="0021236B" w:rsidRDefault="0021236B" w:rsidP="0021236B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a</w:t>
            </w:r>
            <w:r>
              <w:rPr>
                <w:iCs/>
                <w:sz w:val="18"/>
                <w:szCs w:val="18"/>
              </w:rPr>
              <w:t xml:space="preserve">. nazwa: </w:t>
            </w:r>
            <w:r w:rsidR="0007479A">
              <w:rPr>
                <w:iCs/>
                <w:sz w:val="18"/>
                <w:szCs w:val="18"/>
              </w:rPr>
              <w:t xml:space="preserve">dane </w:t>
            </w:r>
            <w:proofErr w:type="spellStart"/>
            <w:r w:rsidR="0007479A">
              <w:rPr>
                <w:iCs/>
                <w:sz w:val="18"/>
                <w:szCs w:val="18"/>
              </w:rPr>
              <w:t>meterologiczne</w:t>
            </w:r>
            <w:proofErr w:type="spellEnd"/>
            <w:r w:rsidR="0007479A">
              <w:rPr>
                <w:iCs/>
                <w:sz w:val="18"/>
                <w:szCs w:val="18"/>
              </w:rPr>
              <w:t xml:space="preserve"> Instytutu Uprawy Nawożenia i Gleboznawstwa (IUNG)</w:t>
            </w:r>
            <w:r>
              <w:rPr>
                <w:iCs/>
                <w:sz w:val="18"/>
                <w:szCs w:val="18"/>
              </w:rPr>
              <w:t>,</w:t>
            </w:r>
            <w:r w:rsidR="0007479A">
              <w:rPr>
                <w:iCs/>
                <w:sz w:val="18"/>
                <w:szCs w:val="18"/>
              </w:rPr>
              <w:t xml:space="preserve"> serwisy prywatne</w:t>
            </w:r>
            <w:r w:rsidR="00880352">
              <w:rPr>
                <w:iCs/>
                <w:sz w:val="18"/>
                <w:szCs w:val="18"/>
              </w:rPr>
              <w:t>,</w:t>
            </w:r>
          </w:p>
          <w:p w14:paraId="6F75ED67" w14:textId="2D5EE5A0" w:rsidR="0021236B" w:rsidRPr="00D07E77" w:rsidRDefault="0021236B" w:rsidP="0021236B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b.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charakter powiązania</w:t>
            </w:r>
            <w:r>
              <w:rPr>
                <w:iCs/>
                <w:sz w:val="18"/>
                <w:szCs w:val="18"/>
              </w:rPr>
              <w:t xml:space="preserve">: jednokierunkowe </w:t>
            </w:r>
            <w:r w:rsidR="00880352">
              <w:rPr>
                <w:iCs/>
                <w:sz w:val="18"/>
                <w:szCs w:val="18"/>
              </w:rPr>
              <w:t>zewnętrzne bazy danych i usługi API</w:t>
            </w:r>
            <w:r>
              <w:rPr>
                <w:iCs/>
                <w:sz w:val="18"/>
                <w:szCs w:val="18"/>
              </w:rPr>
              <w:t xml:space="preserve"> -&gt; </w:t>
            </w:r>
            <w:r w:rsidR="00880352">
              <w:rPr>
                <w:iCs/>
                <w:sz w:val="18"/>
                <w:szCs w:val="18"/>
              </w:rPr>
              <w:t xml:space="preserve">baza danych meteo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>,</w:t>
            </w:r>
          </w:p>
          <w:p w14:paraId="1A218C85" w14:textId="240ECEB6" w:rsidR="0021236B" w:rsidRDefault="0021236B" w:rsidP="0021236B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c.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opis powiązania</w:t>
            </w:r>
            <w:r>
              <w:rPr>
                <w:iCs/>
                <w:sz w:val="18"/>
                <w:szCs w:val="18"/>
              </w:rPr>
              <w:t xml:space="preserve">: system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 xml:space="preserve"> zaczytuje cyklicznie dane z </w:t>
            </w:r>
            <w:r w:rsidR="00880352">
              <w:rPr>
                <w:iCs/>
                <w:sz w:val="18"/>
                <w:szCs w:val="18"/>
              </w:rPr>
              <w:t xml:space="preserve">wielu miejsc, serwisów, typów stacji i różnych protokołów (w sumie </w:t>
            </w:r>
            <w:r w:rsidR="00551CE9">
              <w:rPr>
                <w:iCs/>
                <w:sz w:val="18"/>
                <w:szCs w:val="18"/>
              </w:rPr>
              <w:t>8 wariantów)</w:t>
            </w:r>
            <w:r>
              <w:rPr>
                <w:iCs/>
                <w:sz w:val="18"/>
                <w:szCs w:val="18"/>
              </w:rPr>
              <w:t>; powiązanie zostało wdrożone i uruchomione produkcyjnie</w:t>
            </w:r>
            <w:r w:rsidR="00700F7A">
              <w:rPr>
                <w:iCs/>
                <w:sz w:val="18"/>
                <w:szCs w:val="18"/>
              </w:rPr>
              <w:t xml:space="preserve">; w przygotowaniu powiązanie z </w:t>
            </w:r>
            <w:proofErr w:type="spellStart"/>
            <w:r w:rsidR="00700F7A">
              <w:rPr>
                <w:iCs/>
                <w:sz w:val="18"/>
                <w:szCs w:val="18"/>
              </w:rPr>
              <w:t>IMiGW</w:t>
            </w:r>
            <w:proofErr w:type="spellEnd"/>
            <w:r>
              <w:rPr>
                <w:iCs/>
                <w:sz w:val="18"/>
                <w:szCs w:val="18"/>
              </w:rPr>
              <w:t>.</w:t>
            </w:r>
          </w:p>
          <w:p w14:paraId="23E4EE36" w14:textId="77777777" w:rsidR="0021236B" w:rsidRDefault="0021236B" w:rsidP="000F3F23">
            <w:pPr>
              <w:jc w:val="both"/>
              <w:rPr>
                <w:iCs/>
                <w:sz w:val="18"/>
                <w:szCs w:val="18"/>
              </w:rPr>
            </w:pPr>
          </w:p>
          <w:p w14:paraId="1767F28C" w14:textId="753E04F5" w:rsidR="00700F7A" w:rsidRPr="00D07E77" w:rsidRDefault="00CD1FE4" w:rsidP="00700F7A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4</w:t>
            </w:r>
            <w:r w:rsidR="00700F7A" w:rsidRPr="000F3F23">
              <w:rPr>
                <w:b/>
                <w:bCs/>
                <w:iCs/>
                <w:sz w:val="18"/>
                <w:szCs w:val="18"/>
              </w:rPr>
              <w:t>.</w:t>
            </w:r>
            <w:r w:rsidR="00700F7A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="00700F7A" w:rsidRPr="00700F7A">
              <w:rPr>
                <w:b/>
                <w:bCs/>
                <w:iCs/>
                <w:sz w:val="18"/>
                <w:szCs w:val="18"/>
              </w:rPr>
              <w:t>TERYT</w:t>
            </w:r>
            <w:r w:rsidR="00700F7A" w:rsidRPr="00D07E77">
              <w:rPr>
                <w:b/>
                <w:bCs/>
                <w:iCs/>
                <w:sz w:val="18"/>
                <w:szCs w:val="18"/>
              </w:rPr>
              <w:t>:</w:t>
            </w:r>
          </w:p>
          <w:p w14:paraId="09D09258" w14:textId="2F3AE86A" w:rsidR="00700F7A" w:rsidRDefault="00700F7A" w:rsidP="00700F7A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a</w:t>
            </w:r>
            <w:r>
              <w:rPr>
                <w:iCs/>
                <w:sz w:val="18"/>
                <w:szCs w:val="18"/>
              </w:rPr>
              <w:t xml:space="preserve">. nazwa: </w:t>
            </w:r>
            <w:r w:rsidRPr="008D2E98">
              <w:rPr>
                <w:iCs/>
                <w:sz w:val="18"/>
                <w:szCs w:val="18"/>
              </w:rPr>
              <w:t>Re</w:t>
            </w:r>
            <w:r w:rsidR="002E330A">
              <w:rPr>
                <w:iCs/>
                <w:sz w:val="18"/>
                <w:szCs w:val="18"/>
              </w:rPr>
              <w:t>jestr TERYT</w:t>
            </w:r>
            <w:r>
              <w:rPr>
                <w:iCs/>
                <w:sz w:val="18"/>
                <w:szCs w:val="18"/>
              </w:rPr>
              <w:t>,</w:t>
            </w:r>
          </w:p>
          <w:p w14:paraId="218AF743" w14:textId="40424924" w:rsidR="00700F7A" w:rsidRPr="00D07E77" w:rsidRDefault="00700F7A" w:rsidP="00700F7A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b.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charakter powiązania</w:t>
            </w:r>
            <w:r>
              <w:rPr>
                <w:iCs/>
                <w:sz w:val="18"/>
                <w:szCs w:val="18"/>
              </w:rPr>
              <w:t>: jednokierunkowe rejestr</w:t>
            </w:r>
            <w:r w:rsidR="002E330A">
              <w:rPr>
                <w:iCs/>
                <w:sz w:val="18"/>
                <w:szCs w:val="18"/>
              </w:rPr>
              <w:t xml:space="preserve"> TERYT</w:t>
            </w:r>
            <w:r>
              <w:rPr>
                <w:iCs/>
                <w:sz w:val="18"/>
                <w:szCs w:val="18"/>
              </w:rPr>
              <w:t xml:space="preserve"> -&gt;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>,</w:t>
            </w:r>
          </w:p>
          <w:p w14:paraId="6B3C8F24" w14:textId="1D2D6ECD" w:rsidR="00700F7A" w:rsidRDefault="00700F7A" w:rsidP="00700F7A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c.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opis powiązania</w:t>
            </w:r>
            <w:r>
              <w:rPr>
                <w:iCs/>
                <w:sz w:val="18"/>
                <w:szCs w:val="18"/>
              </w:rPr>
              <w:t xml:space="preserve">: system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r w:rsidR="00CD1FE4">
              <w:rPr>
                <w:iCs/>
                <w:sz w:val="18"/>
                <w:szCs w:val="18"/>
              </w:rPr>
              <w:t>synchronizuje</w:t>
            </w:r>
            <w:r>
              <w:rPr>
                <w:iCs/>
                <w:sz w:val="18"/>
                <w:szCs w:val="18"/>
              </w:rPr>
              <w:t xml:space="preserve"> cyklicznie dane z rejestru; powiązanie zostało wdrożone i uruchomione produkcyjnie.</w:t>
            </w:r>
          </w:p>
          <w:p w14:paraId="45A66F43" w14:textId="07931746" w:rsidR="000F3F23" w:rsidRDefault="000F3F23" w:rsidP="00D07E77">
            <w:pPr>
              <w:jc w:val="both"/>
              <w:rPr>
                <w:iCs/>
                <w:sz w:val="18"/>
                <w:szCs w:val="18"/>
              </w:rPr>
            </w:pPr>
          </w:p>
          <w:p w14:paraId="18AF9AE1" w14:textId="2EC1ABEF" w:rsidR="00CD1FE4" w:rsidRPr="00B70491" w:rsidRDefault="00B70491" w:rsidP="00CD1FE4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5</w:t>
            </w:r>
            <w:r w:rsidR="00CD1FE4" w:rsidRPr="000F3F23">
              <w:rPr>
                <w:b/>
                <w:bCs/>
                <w:iCs/>
                <w:sz w:val="18"/>
                <w:szCs w:val="18"/>
              </w:rPr>
              <w:t>.</w:t>
            </w:r>
            <w:r w:rsidR="00CD1FE4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B70491">
              <w:rPr>
                <w:b/>
                <w:bCs/>
                <w:iCs/>
                <w:sz w:val="18"/>
                <w:szCs w:val="18"/>
              </w:rPr>
              <w:t>Krajowy Węz</w:t>
            </w:r>
            <w:r>
              <w:rPr>
                <w:b/>
                <w:bCs/>
                <w:iCs/>
                <w:sz w:val="18"/>
                <w:szCs w:val="18"/>
              </w:rPr>
              <w:t>e</w:t>
            </w:r>
            <w:r w:rsidRPr="00B70491">
              <w:rPr>
                <w:b/>
                <w:bCs/>
                <w:iCs/>
                <w:sz w:val="18"/>
                <w:szCs w:val="18"/>
              </w:rPr>
              <w:t>ł Identyfikacji Elektronicznej</w:t>
            </w:r>
            <w:r w:rsidR="00CD1FE4" w:rsidRPr="00B70491">
              <w:rPr>
                <w:b/>
                <w:bCs/>
                <w:iCs/>
                <w:sz w:val="18"/>
                <w:szCs w:val="18"/>
              </w:rPr>
              <w:t>:</w:t>
            </w:r>
          </w:p>
          <w:p w14:paraId="23D563EC" w14:textId="20A4E5F6" w:rsidR="00CD1FE4" w:rsidRDefault="00CD1FE4" w:rsidP="00CD1FE4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a</w:t>
            </w:r>
            <w:r>
              <w:rPr>
                <w:iCs/>
                <w:sz w:val="18"/>
                <w:szCs w:val="18"/>
              </w:rPr>
              <w:t xml:space="preserve">. nazwa: </w:t>
            </w:r>
            <w:r w:rsidR="00B70491">
              <w:rPr>
                <w:iCs/>
                <w:sz w:val="18"/>
                <w:szCs w:val="18"/>
              </w:rPr>
              <w:t xml:space="preserve">usługa </w:t>
            </w:r>
            <w:r w:rsidR="00190FB9" w:rsidRPr="00190FB9">
              <w:rPr>
                <w:iCs/>
                <w:sz w:val="18"/>
                <w:szCs w:val="18"/>
              </w:rPr>
              <w:t>login.gov.pl</w:t>
            </w:r>
            <w:r>
              <w:rPr>
                <w:iCs/>
                <w:sz w:val="18"/>
                <w:szCs w:val="18"/>
              </w:rPr>
              <w:t>,</w:t>
            </w:r>
          </w:p>
          <w:p w14:paraId="4C671D14" w14:textId="24F4FC4D" w:rsidR="00CD1FE4" w:rsidRPr="00D07E77" w:rsidRDefault="00CD1FE4" w:rsidP="000E6805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b.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charakter powiązania</w:t>
            </w:r>
            <w:r>
              <w:rPr>
                <w:iCs/>
                <w:sz w:val="18"/>
                <w:szCs w:val="18"/>
              </w:rPr>
              <w:t>:</w:t>
            </w:r>
            <w:r w:rsidR="000E6805">
              <w:rPr>
                <w:iCs/>
                <w:sz w:val="18"/>
                <w:szCs w:val="18"/>
              </w:rPr>
              <w:t xml:space="preserve"> </w:t>
            </w:r>
            <w:r w:rsidR="000E6805" w:rsidRPr="000E6805">
              <w:rPr>
                <w:iCs/>
                <w:sz w:val="18"/>
                <w:szCs w:val="18"/>
              </w:rPr>
              <w:t>uwierzytelnianie</w:t>
            </w:r>
            <w:r w:rsidR="000E6805">
              <w:rPr>
                <w:iCs/>
                <w:sz w:val="18"/>
                <w:szCs w:val="18"/>
              </w:rPr>
              <w:t xml:space="preserve"> </w:t>
            </w:r>
            <w:r w:rsidR="000E6805" w:rsidRPr="000E6805">
              <w:rPr>
                <w:iCs/>
                <w:sz w:val="18"/>
                <w:szCs w:val="18"/>
              </w:rPr>
              <w:t>użytkownik</w:t>
            </w:r>
            <w:r w:rsidR="000E6805">
              <w:rPr>
                <w:iCs/>
                <w:sz w:val="18"/>
                <w:szCs w:val="18"/>
              </w:rPr>
              <w:t>a</w:t>
            </w:r>
            <w:r>
              <w:rPr>
                <w:iCs/>
                <w:sz w:val="18"/>
                <w:szCs w:val="18"/>
              </w:rPr>
              <w:t>,</w:t>
            </w:r>
          </w:p>
          <w:p w14:paraId="2AD35D46" w14:textId="6543D003" w:rsidR="00CD1FE4" w:rsidRDefault="00CD1FE4" w:rsidP="00CD1FE4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c.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opis powiązania</w:t>
            </w:r>
            <w:r>
              <w:rPr>
                <w:iCs/>
                <w:sz w:val="18"/>
                <w:szCs w:val="18"/>
              </w:rPr>
              <w:t xml:space="preserve">: system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r w:rsidR="00BF4361">
              <w:rPr>
                <w:iCs/>
                <w:sz w:val="18"/>
                <w:szCs w:val="18"/>
              </w:rPr>
              <w:t>wykorzystuje SSO (</w:t>
            </w:r>
            <w:proofErr w:type="spellStart"/>
            <w:r w:rsidR="00BF4361">
              <w:rPr>
                <w:iCs/>
                <w:sz w:val="18"/>
                <w:szCs w:val="18"/>
              </w:rPr>
              <w:t>Keyklock</w:t>
            </w:r>
            <w:proofErr w:type="spellEnd"/>
            <w:r w:rsidR="00BF4361">
              <w:rPr>
                <w:iCs/>
                <w:sz w:val="18"/>
                <w:szCs w:val="18"/>
              </w:rPr>
              <w:t>) zintegrowany z login.gov.pl</w:t>
            </w:r>
            <w:r>
              <w:rPr>
                <w:iCs/>
                <w:sz w:val="18"/>
                <w:szCs w:val="18"/>
              </w:rPr>
              <w:t xml:space="preserve">; powiązanie zostało wdrożone i uruchomione </w:t>
            </w:r>
            <w:r w:rsidR="00BF4361">
              <w:rPr>
                <w:iCs/>
                <w:sz w:val="18"/>
                <w:szCs w:val="18"/>
              </w:rPr>
              <w:t xml:space="preserve">w wersji testowe – obecnie czekamy na </w:t>
            </w:r>
            <w:r w:rsidR="003D75D6">
              <w:rPr>
                <w:iCs/>
                <w:sz w:val="18"/>
                <w:szCs w:val="18"/>
              </w:rPr>
              <w:t>akceptację COI</w:t>
            </w:r>
            <w:r>
              <w:rPr>
                <w:iCs/>
                <w:sz w:val="18"/>
                <w:szCs w:val="18"/>
              </w:rPr>
              <w:t>.</w:t>
            </w:r>
          </w:p>
          <w:p w14:paraId="5B02F21F" w14:textId="1B0F72D8" w:rsidR="003D75D6" w:rsidRDefault="003D75D6" w:rsidP="00CD1FE4">
            <w:pPr>
              <w:jc w:val="both"/>
              <w:rPr>
                <w:iCs/>
                <w:sz w:val="18"/>
                <w:szCs w:val="18"/>
              </w:rPr>
            </w:pPr>
          </w:p>
          <w:p w14:paraId="61AE0A13" w14:textId="2A9A508D" w:rsidR="003D75D6" w:rsidRPr="00B70491" w:rsidRDefault="003D75D6" w:rsidP="003D75D6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6</w:t>
            </w:r>
            <w:r w:rsidRPr="000F3F23">
              <w:rPr>
                <w:b/>
                <w:bCs/>
                <w:iCs/>
                <w:sz w:val="18"/>
                <w:szCs w:val="18"/>
              </w:rPr>
              <w:t>.</w:t>
            </w:r>
            <w:r>
              <w:rPr>
                <w:b/>
                <w:bCs/>
                <w:iCs/>
                <w:sz w:val="18"/>
                <w:szCs w:val="18"/>
              </w:rPr>
              <w:t xml:space="preserve"> G</w:t>
            </w:r>
            <w:r w:rsidR="00FD04FE">
              <w:rPr>
                <w:b/>
                <w:bCs/>
                <w:iCs/>
                <w:sz w:val="18"/>
                <w:szCs w:val="18"/>
              </w:rPr>
              <w:t xml:space="preserve">łówny </w:t>
            </w:r>
            <w:r>
              <w:rPr>
                <w:b/>
                <w:bCs/>
                <w:iCs/>
                <w:sz w:val="18"/>
                <w:szCs w:val="18"/>
              </w:rPr>
              <w:t>U</w:t>
            </w:r>
            <w:r w:rsidR="00FD04FE">
              <w:rPr>
                <w:b/>
                <w:bCs/>
                <w:iCs/>
                <w:sz w:val="18"/>
                <w:szCs w:val="18"/>
              </w:rPr>
              <w:t xml:space="preserve">rząd </w:t>
            </w:r>
            <w:r>
              <w:rPr>
                <w:b/>
                <w:bCs/>
                <w:iCs/>
                <w:sz w:val="18"/>
                <w:szCs w:val="18"/>
              </w:rPr>
              <w:t>G</w:t>
            </w:r>
            <w:r w:rsidR="00FD04FE">
              <w:rPr>
                <w:b/>
                <w:bCs/>
                <w:iCs/>
                <w:sz w:val="18"/>
                <w:szCs w:val="18"/>
              </w:rPr>
              <w:t xml:space="preserve">eodezji i </w:t>
            </w:r>
            <w:r>
              <w:rPr>
                <w:b/>
                <w:bCs/>
                <w:iCs/>
                <w:sz w:val="18"/>
                <w:szCs w:val="18"/>
              </w:rPr>
              <w:t>K</w:t>
            </w:r>
            <w:r w:rsidR="00FD04FE">
              <w:rPr>
                <w:b/>
                <w:bCs/>
                <w:iCs/>
                <w:sz w:val="18"/>
                <w:szCs w:val="18"/>
              </w:rPr>
              <w:t>artografii</w:t>
            </w:r>
            <w:r w:rsidRPr="00B70491">
              <w:rPr>
                <w:b/>
                <w:bCs/>
                <w:iCs/>
                <w:sz w:val="18"/>
                <w:szCs w:val="18"/>
              </w:rPr>
              <w:t>:</w:t>
            </w:r>
          </w:p>
          <w:p w14:paraId="6CC55377" w14:textId="169C93AB" w:rsidR="003D75D6" w:rsidRDefault="003D75D6" w:rsidP="003D75D6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a</w:t>
            </w:r>
            <w:r>
              <w:rPr>
                <w:iCs/>
                <w:sz w:val="18"/>
                <w:szCs w:val="18"/>
              </w:rPr>
              <w:t xml:space="preserve">. nazwa: </w:t>
            </w:r>
            <w:r w:rsidRPr="003D75D6">
              <w:rPr>
                <w:iCs/>
                <w:sz w:val="18"/>
                <w:szCs w:val="18"/>
              </w:rPr>
              <w:t>Usługa lokalizacji działek ewidencyjnych</w:t>
            </w:r>
            <w:r>
              <w:rPr>
                <w:iCs/>
                <w:sz w:val="18"/>
                <w:szCs w:val="18"/>
              </w:rPr>
              <w:t xml:space="preserve"> (ULDK),</w:t>
            </w:r>
          </w:p>
          <w:p w14:paraId="691FF0E4" w14:textId="0B7B6B9D" w:rsidR="003D75D6" w:rsidRPr="00D07E77" w:rsidRDefault="003D75D6" w:rsidP="003D75D6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b.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charakter powiązania</w:t>
            </w:r>
            <w:r>
              <w:rPr>
                <w:iCs/>
                <w:sz w:val="18"/>
                <w:szCs w:val="18"/>
              </w:rPr>
              <w:t>:</w:t>
            </w:r>
            <w:r w:rsidR="00BB3BC7">
              <w:rPr>
                <w:iCs/>
                <w:sz w:val="18"/>
                <w:szCs w:val="18"/>
              </w:rPr>
              <w:t xml:space="preserve"> jednokierunkowe GUGIK -&gt; </w:t>
            </w:r>
            <w:proofErr w:type="spellStart"/>
            <w:r w:rsidR="00BB3BC7"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>,</w:t>
            </w:r>
          </w:p>
          <w:p w14:paraId="096953FE" w14:textId="24D2AB45" w:rsidR="003D75D6" w:rsidRDefault="003D75D6" w:rsidP="003D75D6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c.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opis powiązania</w:t>
            </w:r>
            <w:r>
              <w:rPr>
                <w:iCs/>
                <w:sz w:val="18"/>
                <w:szCs w:val="18"/>
              </w:rPr>
              <w:t xml:space="preserve">: system </w:t>
            </w:r>
            <w:proofErr w:type="spellStart"/>
            <w:r>
              <w:rPr>
                <w:iCs/>
                <w:sz w:val="18"/>
                <w:szCs w:val="18"/>
              </w:rPr>
              <w:t>eDWIN</w:t>
            </w:r>
            <w:proofErr w:type="spellEnd"/>
            <w:r>
              <w:rPr>
                <w:iCs/>
                <w:sz w:val="18"/>
                <w:szCs w:val="18"/>
              </w:rPr>
              <w:t xml:space="preserve"> wykorzystuje</w:t>
            </w:r>
            <w:r w:rsidR="00BB3BC7">
              <w:rPr>
                <w:iCs/>
                <w:sz w:val="18"/>
                <w:szCs w:val="18"/>
              </w:rPr>
              <w:t xml:space="preserve"> korzysta w trybie ciągłym z usługi ULDK</w:t>
            </w:r>
            <w:r>
              <w:rPr>
                <w:iCs/>
                <w:sz w:val="18"/>
                <w:szCs w:val="18"/>
              </w:rPr>
              <w:t xml:space="preserve">; powiązanie zostało wdrożone i uruchomione w wersji </w:t>
            </w:r>
            <w:r w:rsidR="00F44EC2">
              <w:rPr>
                <w:iCs/>
                <w:sz w:val="18"/>
                <w:szCs w:val="18"/>
              </w:rPr>
              <w:t>produkcyjnej</w:t>
            </w:r>
            <w:r>
              <w:rPr>
                <w:iCs/>
                <w:sz w:val="18"/>
                <w:szCs w:val="18"/>
              </w:rPr>
              <w:t>.</w:t>
            </w:r>
          </w:p>
          <w:p w14:paraId="3AB58B4E" w14:textId="77777777" w:rsidR="003D75D6" w:rsidRDefault="003D75D6" w:rsidP="00CD1FE4">
            <w:pPr>
              <w:jc w:val="both"/>
              <w:rPr>
                <w:iCs/>
                <w:sz w:val="18"/>
                <w:szCs w:val="18"/>
              </w:rPr>
            </w:pPr>
          </w:p>
          <w:p w14:paraId="6DB34102" w14:textId="2A36EA5D" w:rsidR="00F44EC2" w:rsidRPr="00B70491" w:rsidRDefault="00F44EC2" w:rsidP="00F44EC2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  <w:r w:rsidRPr="000F3F23">
              <w:rPr>
                <w:b/>
                <w:bCs/>
                <w:iCs/>
                <w:sz w:val="18"/>
                <w:szCs w:val="18"/>
              </w:rPr>
              <w:t>.</w:t>
            </w:r>
            <w:r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F44EC2">
              <w:rPr>
                <w:b/>
                <w:bCs/>
                <w:iCs/>
                <w:sz w:val="18"/>
                <w:szCs w:val="18"/>
              </w:rPr>
              <w:t>Integracje wewnętrznych systemów doradztwa rolniczego</w:t>
            </w:r>
            <w:r w:rsidRPr="00B70491">
              <w:rPr>
                <w:b/>
                <w:bCs/>
                <w:iCs/>
                <w:sz w:val="18"/>
                <w:szCs w:val="18"/>
              </w:rPr>
              <w:t>:</w:t>
            </w:r>
          </w:p>
          <w:p w14:paraId="10D1E8F5" w14:textId="7FB0EF2E" w:rsidR="00F44EC2" w:rsidRDefault="00F44EC2" w:rsidP="00F44EC2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a</w:t>
            </w:r>
            <w:r>
              <w:rPr>
                <w:iCs/>
                <w:sz w:val="18"/>
                <w:szCs w:val="18"/>
              </w:rPr>
              <w:t xml:space="preserve">. nazwa: system </w:t>
            </w:r>
            <w:proofErr w:type="spellStart"/>
            <w:r>
              <w:rPr>
                <w:iCs/>
                <w:sz w:val="18"/>
                <w:szCs w:val="18"/>
              </w:rPr>
              <w:t>eodr</w:t>
            </w:r>
            <w:proofErr w:type="spellEnd"/>
            <w:r>
              <w:rPr>
                <w:iCs/>
                <w:sz w:val="18"/>
                <w:szCs w:val="18"/>
              </w:rPr>
              <w:t xml:space="preserve"> 2.0,</w:t>
            </w:r>
          </w:p>
          <w:p w14:paraId="5FE2C2F6" w14:textId="39AF021F" w:rsidR="00F44EC2" w:rsidRPr="00D07E77" w:rsidRDefault="00F44EC2" w:rsidP="00F44EC2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b.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charakter powiązania</w:t>
            </w:r>
            <w:r>
              <w:rPr>
                <w:iCs/>
                <w:sz w:val="18"/>
                <w:szCs w:val="18"/>
              </w:rPr>
              <w:t>: dwukierunkowe,</w:t>
            </w:r>
          </w:p>
          <w:p w14:paraId="195E4DE8" w14:textId="0096CFE9" w:rsidR="00F44EC2" w:rsidRDefault="00F44EC2" w:rsidP="00F44EC2">
            <w:pPr>
              <w:jc w:val="both"/>
              <w:rPr>
                <w:iCs/>
                <w:sz w:val="18"/>
                <w:szCs w:val="18"/>
              </w:rPr>
            </w:pPr>
            <w:r w:rsidRPr="00D07E77">
              <w:rPr>
                <w:iCs/>
                <w:sz w:val="18"/>
                <w:szCs w:val="18"/>
              </w:rPr>
              <w:t>c.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07E77">
              <w:rPr>
                <w:iCs/>
                <w:sz w:val="18"/>
                <w:szCs w:val="18"/>
              </w:rPr>
              <w:t>opis powiązania</w:t>
            </w:r>
            <w:r>
              <w:rPr>
                <w:iCs/>
                <w:sz w:val="18"/>
                <w:szCs w:val="18"/>
              </w:rPr>
              <w:t xml:space="preserve">: </w:t>
            </w:r>
            <w:r w:rsidR="0096489D">
              <w:rPr>
                <w:iCs/>
                <w:sz w:val="18"/>
                <w:szCs w:val="18"/>
              </w:rPr>
              <w:t>integracja wewnętrznych systemów doradztwa rolniczego; status: opublikowane API integracyjne, wdrożona pilotażowa integracja systemu eodr.pl w wersji produkcyjnej</w:t>
            </w:r>
            <w:r>
              <w:rPr>
                <w:iCs/>
                <w:sz w:val="18"/>
                <w:szCs w:val="18"/>
              </w:rPr>
              <w:t>.</w:t>
            </w:r>
          </w:p>
          <w:p w14:paraId="30F095CD" w14:textId="77777777" w:rsidR="00CD1FE4" w:rsidRDefault="00CD1FE4" w:rsidP="00D07E77">
            <w:pPr>
              <w:jc w:val="both"/>
              <w:rPr>
                <w:iCs/>
                <w:sz w:val="18"/>
                <w:szCs w:val="18"/>
              </w:rPr>
            </w:pPr>
          </w:p>
          <w:p w14:paraId="1F3F5EF5" w14:textId="61A60493" w:rsidR="00336BE8" w:rsidRDefault="00336BE8" w:rsidP="00336BE8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Usługi i dostęp do nich są utrzymywane przez dedykowany zespół w Wielkopolskim Ośrodku Doradztwa Rolniczego w Poznaniu. Infrastrukturę i wsparcie techniczne zapewnia Poznańskie Centrum Superkomputerowo-Sieciowe.</w:t>
            </w:r>
          </w:p>
          <w:p w14:paraId="13252761" w14:textId="4081AC4E" w:rsidR="005C13C3" w:rsidRPr="005C13C3" w:rsidRDefault="005C13C3" w:rsidP="005C13C3">
            <w:pPr>
              <w:jc w:val="both"/>
              <w:rPr>
                <w:iCs/>
                <w:sz w:val="18"/>
                <w:szCs w:val="18"/>
              </w:rPr>
            </w:pPr>
            <w:r w:rsidRPr="005C13C3">
              <w:rPr>
                <w:iCs/>
                <w:sz w:val="18"/>
                <w:szCs w:val="18"/>
              </w:rPr>
              <w:t>W wyniku wszystkich prac rozwojowych powstał system w wersji która została upubliczniona i otwarta do użytkowania. Na środowisko uruchomieniowe złożył</w:t>
            </w:r>
            <w:r>
              <w:rPr>
                <w:iCs/>
                <w:sz w:val="18"/>
                <w:szCs w:val="18"/>
              </w:rPr>
              <w:t>o</w:t>
            </w:r>
            <w:r w:rsidRPr="005C13C3">
              <w:rPr>
                <w:iCs/>
                <w:sz w:val="18"/>
                <w:szCs w:val="18"/>
              </w:rPr>
              <w:t xml:space="preserve"> się :</w:t>
            </w:r>
          </w:p>
          <w:p w14:paraId="13647F52" w14:textId="77777777" w:rsidR="005C13C3" w:rsidRPr="005C13C3" w:rsidRDefault="005C13C3" w:rsidP="005C13C3">
            <w:pPr>
              <w:pStyle w:val="Akapitzlist"/>
              <w:numPr>
                <w:ilvl w:val="0"/>
                <w:numId w:val="14"/>
              </w:numPr>
              <w:jc w:val="both"/>
              <w:rPr>
                <w:iCs/>
                <w:sz w:val="18"/>
                <w:szCs w:val="18"/>
              </w:rPr>
            </w:pPr>
            <w:r w:rsidRPr="005C13C3">
              <w:rPr>
                <w:iCs/>
                <w:sz w:val="18"/>
                <w:szCs w:val="18"/>
              </w:rPr>
              <w:t>30 kontenerów uruchomionych  na głównej maszynie serwerowej</w:t>
            </w:r>
          </w:p>
          <w:p w14:paraId="1175206B" w14:textId="77777777" w:rsidR="005C13C3" w:rsidRPr="005C13C3" w:rsidRDefault="005C13C3" w:rsidP="005C13C3">
            <w:pPr>
              <w:pStyle w:val="Akapitzlist"/>
              <w:numPr>
                <w:ilvl w:val="0"/>
                <w:numId w:val="14"/>
              </w:numPr>
              <w:jc w:val="both"/>
              <w:rPr>
                <w:iCs/>
                <w:sz w:val="18"/>
                <w:szCs w:val="18"/>
              </w:rPr>
            </w:pPr>
            <w:r w:rsidRPr="005C13C3">
              <w:rPr>
                <w:iCs/>
                <w:sz w:val="18"/>
                <w:szCs w:val="18"/>
              </w:rPr>
              <w:t>3 maszyny serwerowe z przeznaczeniem bazodanowym</w:t>
            </w:r>
          </w:p>
          <w:p w14:paraId="5569621E" w14:textId="18FC4EF8" w:rsidR="005C13C3" w:rsidRPr="005C13C3" w:rsidRDefault="005C13C3" w:rsidP="005C13C3">
            <w:pPr>
              <w:pStyle w:val="Akapitzlist"/>
              <w:numPr>
                <w:ilvl w:val="0"/>
                <w:numId w:val="14"/>
              </w:numPr>
              <w:jc w:val="both"/>
              <w:rPr>
                <w:iCs/>
                <w:sz w:val="18"/>
                <w:szCs w:val="18"/>
              </w:rPr>
            </w:pPr>
            <w:r w:rsidRPr="005C13C3">
              <w:rPr>
                <w:iCs/>
                <w:sz w:val="18"/>
                <w:szCs w:val="18"/>
              </w:rPr>
              <w:t>3 maszyny przeznaczone na obsługę ruchu brokera wiadomo</w:t>
            </w:r>
            <w:r>
              <w:rPr>
                <w:iCs/>
                <w:sz w:val="18"/>
                <w:szCs w:val="18"/>
              </w:rPr>
              <w:t>śc</w:t>
            </w:r>
            <w:r w:rsidRPr="005C13C3">
              <w:rPr>
                <w:iCs/>
                <w:sz w:val="18"/>
                <w:szCs w:val="18"/>
              </w:rPr>
              <w:t>i</w:t>
            </w:r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5C13C3">
              <w:rPr>
                <w:iCs/>
                <w:sz w:val="18"/>
                <w:szCs w:val="18"/>
              </w:rPr>
              <w:t>kafka</w:t>
            </w:r>
            <w:proofErr w:type="spellEnd"/>
          </w:p>
          <w:p w14:paraId="46E5EA0C" w14:textId="77777777" w:rsidR="005C13C3" w:rsidRPr="005C13C3" w:rsidRDefault="005C13C3" w:rsidP="005C13C3">
            <w:pPr>
              <w:jc w:val="both"/>
              <w:rPr>
                <w:iCs/>
                <w:sz w:val="18"/>
                <w:szCs w:val="18"/>
              </w:rPr>
            </w:pPr>
            <w:r w:rsidRPr="005C13C3">
              <w:rPr>
                <w:iCs/>
                <w:sz w:val="18"/>
                <w:szCs w:val="18"/>
              </w:rPr>
              <w:t>Część usług względem których prognozuje się wysoki wolumen transferu danych oraz ilości zapytań w krótkim czasie  zostało przeniesionych do poziomu PAAS (</w:t>
            </w:r>
            <w:proofErr w:type="spellStart"/>
            <w:r w:rsidRPr="005C13C3">
              <w:rPr>
                <w:iCs/>
                <w:sz w:val="18"/>
                <w:szCs w:val="18"/>
              </w:rPr>
              <w:t>OpenShift</w:t>
            </w:r>
            <w:proofErr w:type="spellEnd"/>
            <w:r w:rsidRPr="005C13C3">
              <w:rPr>
                <w:iCs/>
                <w:sz w:val="18"/>
                <w:szCs w:val="18"/>
              </w:rPr>
              <w:t xml:space="preserve">) który dynamicznie zarządza zasobami i balansuje ruch interfejsów sieciowych. </w:t>
            </w:r>
          </w:p>
          <w:p w14:paraId="390A61AE" w14:textId="79EB0C21" w:rsidR="005C13C3" w:rsidRPr="00336BE8" w:rsidRDefault="005C13C3" w:rsidP="005C13C3">
            <w:pPr>
              <w:jc w:val="both"/>
              <w:rPr>
                <w:iCs/>
                <w:sz w:val="18"/>
                <w:szCs w:val="18"/>
              </w:rPr>
            </w:pPr>
            <w:r w:rsidRPr="005C13C3">
              <w:rPr>
                <w:iCs/>
                <w:sz w:val="18"/>
                <w:szCs w:val="18"/>
              </w:rPr>
              <w:lastRenderedPageBreak/>
              <w:t xml:space="preserve">W celu obsługi niedostępności usługi aplikacji Wirtualne Gospodarstwo został zaimplementowany Mechanizm DNS </w:t>
            </w:r>
            <w:proofErr w:type="spellStart"/>
            <w:r w:rsidRPr="005C13C3">
              <w:rPr>
                <w:iCs/>
                <w:sz w:val="18"/>
                <w:szCs w:val="18"/>
              </w:rPr>
              <w:t>failove</w:t>
            </w:r>
            <w:r>
              <w:rPr>
                <w:iCs/>
                <w:sz w:val="18"/>
                <w:szCs w:val="18"/>
              </w:rPr>
              <w:t>r</w:t>
            </w:r>
            <w:proofErr w:type="spellEnd"/>
            <w:r>
              <w:rPr>
                <w:iCs/>
                <w:sz w:val="18"/>
                <w:szCs w:val="18"/>
              </w:rPr>
              <w:t>.</w:t>
            </w:r>
          </w:p>
          <w:p w14:paraId="052BE700" w14:textId="77777777" w:rsidR="003031D3" w:rsidRPr="003031D3" w:rsidRDefault="003031D3" w:rsidP="00DB70A5">
            <w:pPr>
              <w:jc w:val="both"/>
              <w:rPr>
                <w:iCs/>
                <w:sz w:val="18"/>
                <w:szCs w:val="18"/>
              </w:rPr>
            </w:pPr>
          </w:p>
          <w:p w14:paraId="6F0C17F7" w14:textId="23CB864D" w:rsidR="00F82254" w:rsidRDefault="00F82254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645ADA" w:rsidRPr="002450C4" w14:paraId="64E4F6F2" w14:textId="77777777" w:rsidTr="00645ADA">
        <w:tc>
          <w:tcPr>
            <w:tcW w:w="506" w:type="dxa"/>
          </w:tcPr>
          <w:p w14:paraId="30075FFB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5F9FFF2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315" w:type="dxa"/>
          </w:tcPr>
          <w:p w14:paraId="4875CD1E" w14:textId="3DA8E336" w:rsidR="009D66D9" w:rsidRPr="009D66D9" w:rsidRDefault="009D66D9" w:rsidP="009D66D9">
            <w:pPr>
              <w:jc w:val="both"/>
              <w:rPr>
                <w:bCs/>
                <w:iCs/>
                <w:sz w:val="18"/>
                <w:szCs w:val="20"/>
              </w:rPr>
            </w:pPr>
            <w:r w:rsidRPr="009D66D9">
              <w:rPr>
                <w:bCs/>
                <w:iCs/>
                <w:sz w:val="18"/>
                <w:szCs w:val="20"/>
              </w:rPr>
              <w:t>W ramach zadania wypracowano mechanizmy wzm</w:t>
            </w:r>
            <w:r w:rsidR="005C13C3">
              <w:rPr>
                <w:bCs/>
                <w:iCs/>
                <w:sz w:val="18"/>
                <w:szCs w:val="20"/>
              </w:rPr>
              <w:t>a</w:t>
            </w:r>
            <w:r w:rsidRPr="009D66D9">
              <w:rPr>
                <w:bCs/>
                <w:iCs/>
                <w:sz w:val="18"/>
                <w:szCs w:val="20"/>
              </w:rPr>
              <w:t>cniające i ut</w:t>
            </w:r>
            <w:r w:rsidR="005C13C3">
              <w:rPr>
                <w:bCs/>
                <w:iCs/>
                <w:sz w:val="18"/>
                <w:szCs w:val="20"/>
              </w:rPr>
              <w:t>r</w:t>
            </w:r>
            <w:r w:rsidRPr="009D66D9">
              <w:rPr>
                <w:bCs/>
                <w:iCs/>
                <w:sz w:val="18"/>
                <w:szCs w:val="20"/>
              </w:rPr>
              <w:t xml:space="preserve">walające rezultaty projektu - przygotowywana została umowa między Partnerami o szczegółowym podziale zadań, praw i obowiązków. Platforma </w:t>
            </w:r>
            <w:proofErr w:type="spellStart"/>
            <w:r w:rsidRPr="009D66D9">
              <w:rPr>
                <w:bCs/>
                <w:iCs/>
                <w:sz w:val="18"/>
                <w:szCs w:val="20"/>
              </w:rPr>
              <w:t>eDWIN</w:t>
            </w:r>
            <w:proofErr w:type="spellEnd"/>
            <w:r w:rsidRPr="009D66D9">
              <w:rPr>
                <w:bCs/>
                <w:iCs/>
                <w:sz w:val="18"/>
                <w:szCs w:val="20"/>
              </w:rPr>
              <w:t xml:space="preserve"> została dopisana jako ważny element projektu rolnik.gov.pl. Wprowadzone zostały procedury aktualizacji usług, w szczególności aplikacji Wirtualne Gospodarstwo o poprawki systemowe, bezpieczeństwa oraz uwagi zgłaszane przez użytkowników. Platforma </w:t>
            </w:r>
            <w:proofErr w:type="spellStart"/>
            <w:r w:rsidRPr="009D66D9">
              <w:rPr>
                <w:bCs/>
                <w:iCs/>
                <w:sz w:val="18"/>
                <w:szCs w:val="20"/>
              </w:rPr>
              <w:t>eDWIN</w:t>
            </w:r>
            <w:proofErr w:type="spellEnd"/>
            <w:r w:rsidRPr="009D66D9">
              <w:rPr>
                <w:bCs/>
                <w:iCs/>
                <w:sz w:val="18"/>
                <w:szCs w:val="20"/>
              </w:rPr>
              <w:t xml:space="preserve"> została </w:t>
            </w:r>
            <w:r w:rsidR="005C13C3" w:rsidRPr="009D66D9">
              <w:rPr>
                <w:bCs/>
                <w:iCs/>
                <w:sz w:val="18"/>
                <w:szCs w:val="20"/>
              </w:rPr>
              <w:t>opracowana</w:t>
            </w:r>
            <w:r w:rsidRPr="009D66D9">
              <w:rPr>
                <w:bCs/>
                <w:iCs/>
                <w:sz w:val="18"/>
                <w:szCs w:val="20"/>
              </w:rPr>
              <w:t xml:space="preserve"> w architekturze gwarantującej rozwój funkcjonalności, wdrażanie modeli wsparcia decyzji oraz skalowania i poprawy wydajności. </w:t>
            </w:r>
          </w:p>
          <w:p w14:paraId="384AF20D" w14:textId="0AE3BE02" w:rsidR="009D66D9" w:rsidRDefault="009D66D9" w:rsidP="009D66D9">
            <w:pPr>
              <w:jc w:val="both"/>
              <w:rPr>
                <w:bCs/>
                <w:iCs/>
                <w:sz w:val="18"/>
                <w:szCs w:val="20"/>
              </w:rPr>
            </w:pPr>
            <w:r w:rsidRPr="009D66D9">
              <w:rPr>
                <w:bCs/>
                <w:iCs/>
                <w:sz w:val="18"/>
                <w:szCs w:val="20"/>
              </w:rPr>
              <w:t xml:space="preserve">W ramach </w:t>
            </w:r>
            <w:r w:rsidR="005C13C3">
              <w:rPr>
                <w:bCs/>
                <w:iCs/>
                <w:sz w:val="18"/>
                <w:szCs w:val="20"/>
              </w:rPr>
              <w:t xml:space="preserve">wdrożenia </w:t>
            </w:r>
            <w:r w:rsidRPr="009D66D9">
              <w:rPr>
                <w:bCs/>
                <w:iCs/>
                <w:sz w:val="18"/>
                <w:szCs w:val="20"/>
              </w:rPr>
              <w:t>uruchomiono wsparcie e-usług w postaci helpdesku 1-go, 2-go i 3-go stopnia. Zostały oddelegowane osoby oraz ustanowiony zakres zadań i budżet utrzymania wsparcia, infrastruktury i serwisów.</w:t>
            </w:r>
          </w:p>
          <w:p w14:paraId="5DFCF784" w14:textId="4CB063E9" w:rsidR="005C13C3" w:rsidRDefault="005C13C3" w:rsidP="009D66D9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25F5BD22" w14:textId="450D35B8" w:rsidR="005C13C3" w:rsidRPr="009D66D9" w:rsidRDefault="005C13C3" w:rsidP="009D66D9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Finansowanie utrzymania produktów zostało zagwarantowane umową o </w:t>
            </w:r>
            <w:r w:rsidRPr="009D66D9">
              <w:rPr>
                <w:bCs/>
                <w:iCs/>
                <w:sz w:val="18"/>
                <w:szCs w:val="20"/>
              </w:rPr>
              <w:t>podziale zadań, praw i obowiązków</w:t>
            </w:r>
            <w:r>
              <w:rPr>
                <w:bCs/>
                <w:iCs/>
                <w:sz w:val="18"/>
                <w:szCs w:val="20"/>
              </w:rPr>
              <w:t xml:space="preserve">. Umowa przewiduje 2 warianty finansowania – ze środków własnych Partnerów oraz dotacji pochodzącej z Ministerstwa Rolnictwa i Rozwoju Wsi. Na dzień dzisiejszy finansowanie zostało zabezpieczone przez </w:t>
            </w:r>
            <w:r w:rsidR="00AA73D0">
              <w:rPr>
                <w:bCs/>
                <w:iCs/>
                <w:sz w:val="18"/>
                <w:szCs w:val="20"/>
              </w:rPr>
              <w:t xml:space="preserve">Partnerów </w:t>
            </w:r>
            <w:bookmarkStart w:id="0" w:name="_Hlk122093067"/>
            <w:r w:rsidR="00AA73D0">
              <w:rPr>
                <w:bCs/>
                <w:iCs/>
                <w:sz w:val="18"/>
                <w:szCs w:val="20"/>
              </w:rPr>
              <w:t xml:space="preserve">i </w:t>
            </w:r>
            <w:r>
              <w:rPr>
                <w:bCs/>
                <w:iCs/>
                <w:sz w:val="18"/>
                <w:szCs w:val="20"/>
              </w:rPr>
              <w:t xml:space="preserve">Ministerstwo Rolnictwa i Rozwoju Wsi </w:t>
            </w:r>
            <w:bookmarkEnd w:id="0"/>
            <w:r>
              <w:rPr>
                <w:bCs/>
                <w:iCs/>
                <w:sz w:val="18"/>
                <w:szCs w:val="20"/>
              </w:rPr>
              <w:t>na rok 2023.</w:t>
            </w:r>
          </w:p>
          <w:p w14:paraId="02DC9FA4" w14:textId="40037E43" w:rsidR="007C54F9" w:rsidRDefault="007C54F9" w:rsidP="007C54F9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645ADA" w:rsidRPr="002450C4" w14:paraId="63579B77" w14:textId="77777777" w:rsidTr="00645ADA">
        <w:tc>
          <w:tcPr>
            <w:tcW w:w="506" w:type="dxa"/>
          </w:tcPr>
          <w:p w14:paraId="3EE28DBD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146464C1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315" w:type="dxa"/>
          </w:tcPr>
          <w:p w14:paraId="78E50105" w14:textId="65AB8DFF" w:rsidR="007A67A7" w:rsidRPr="00495DC0" w:rsidRDefault="007A67A7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Pozytywne:</w:t>
            </w:r>
          </w:p>
          <w:p w14:paraId="14DA325C" w14:textId="244EA05F" w:rsidR="007A67A7" w:rsidRPr="00495DC0" w:rsidRDefault="007A67A7" w:rsidP="007A67A7">
            <w:pPr>
              <w:pStyle w:val="Akapitzlist"/>
              <w:numPr>
                <w:ilvl w:val="0"/>
                <w:numId w:val="16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Współpraca z odbiorcą końcowym na wielu etapach realizacji projektu – warsztaty, testy pilotaże.</w:t>
            </w:r>
          </w:p>
          <w:p w14:paraId="776B1C33" w14:textId="547EF142" w:rsidR="007A67A7" w:rsidRPr="00495DC0" w:rsidRDefault="007A67A7" w:rsidP="007A67A7">
            <w:pPr>
              <w:pStyle w:val="Akapitzlist"/>
              <w:numPr>
                <w:ilvl w:val="0"/>
                <w:numId w:val="16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 xml:space="preserve">Pierwszy projekt </w:t>
            </w:r>
            <w:proofErr w:type="spellStart"/>
            <w:r w:rsidRPr="00495DC0">
              <w:rPr>
                <w:bCs/>
                <w:iCs/>
                <w:sz w:val="18"/>
                <w:szCs w:val="20"/>
              </w:rPr>
              <w:t>cyfryzacyjny</w:t>
            </w:r>
            <w:proofErr w:type="spellEnd"/>
            <w:r w:rsidRPr="00495DC0">
              <w:rPr>
                <w:bCs/>
                <w:iCs/>
                <w:sz w:val="18"/>
                <w:szCs w:val="20"/>
              </w:rPr>
              <w:t xml:space="preserve"> finansowany z Polski Cyfrowej w rolnictwie – doświadczenia branżowe.</w:t>
            </w:r>
          </w:p>
          <w:p w14:paraId="24FA56CE" w14:textId="4CC3C6F8" w:rsidR="007A67A7" w:rsidRPr="00495DC0" w:rsidRDefault="007A67A7" w:rsidP="007A67A7">
            <w:pPr>
              <w:pStyle w:val="Akapitzlist"/>
              <w:numPr>
                <w:ilvl w:val="0"/>
                <w:numId w:val="16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Realizacja wspólnych zamówień publicznych, wpłynęło to na komplementarność sprzętu i usług wewnętrznych. Są też negatywy – błąd lidera (zapisy SIWZ spowodowały 5% korektę kwalifikowalności wydatków) wpłynął na wszystkich konsorcjantów.</w:t>
            </w:r>
          </w:p>
          <w:p w14:paraId="518CFE16" w14:textId="2463583B" w:rsidR="007A67A7" w:rsidRPr="00495DC0" w:rsidRDefault="007A67A7" w:rsidP="007A67A7">
            <w:pPr>
              <w:pStyle w:val="Akapitzlist"/>
              <w:numPr>
                <w:ilvl w:val="0"/>
                <w:numId w:val="16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Dobra współpraca z opiekunami Projektu po stronie CPPC.</w:t>
            </w:r>
          </w:p>
          <w:p w14:paraId="01735937" w14:textId="123C883C" w:rsidR="007A67A7" w:rsidRPr="00495DC0" w:rsidRDefault="007A67A7" w:rsidP="007A67A7">
            <w:pPr>
              <w:pStyle w:val="Akapitzlist"/>
              <w:numPr>
                <w:ilvl w:val="0"/>
                <w:numId w:val="16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Pomoc w przygotowaniu i realizacji projektu ze strony COI.</w:t>
            </w:r>
          </w:p>
          <w:p w14:paraId="5756B437" w14:textId="344C8F87" w:rsidR="007A67A7" w:rsidRPr="00495DC0" w:rsidRDefault="007A67A7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782AF6F2" w14:textId="656BF356" w:rsidR="007A67A7" w:rsidRPr="00495DC0" w:rsidRDefault="007A67A7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Negatywne:</w:t>
            </w:r>
          </w:p>
          <w:p w14:paraId="72D1A290" w14:textId="59AF708E" w:rsidR="007A67A7" w:rsidRPr="00495DC0" w:rsidRDefault="00495DC0" w:rsidP="007A67A7">
            <w:pPr>
              <w:pStyle w:val="Akapitzlist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 xml:space="preserve">Współpraca wielu podmiotów przy jednym projekcie jest trudna do wykonania. Ponadto zaangażowanie podmiotów zewnętrznych, od których zależały integracje bardzo wydłużyło wiele działań. </w:t>
            </w:r>
          </w:p>
          <w:p w14:paraId="68835592" w14:textId="0DB4F96E" w:rsidR="007A67A7" w:rsidRPr="00495DC0" w:rsidRDefault="007A67A7" w:rsidP="007A67A7">
            <w:pPr>
              <w:pStyle w:val="Akapitzlist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Wadliwy, powolny i przestarzały system SL2014.</w:t>
            </w:r>
          </w:p>
          <w:p w14:paraId="1176C026" w14:textId="5126D75E" w:rsidR="007A67A7" w:rsidRPr="00495DC0" w:rsidRDefault="007A67A7" w:rsidP="007A67A7">
            <w:pPr>
              <w:pStyle w:val="Akapitzlist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Narzucone umową o dofinasowanie krótkie terminy odpowiedzi na wezwania IP vs niewspółmiernie długie oczekiwanie na odpowiedz ze strony IP.</w:t>
            </w:r>
          </w:p>
          <w:p w14:paraId="13B619D2" w14:textId="428C881D" w:rsidR="007A67A7" w:rsidRPr="00495DC0" w:rsidRDefault="007A67A7" w:rsidP="007A67A7">
            <w:pPr>
              <w:pStyle w:val="Akapitzlist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Kierowanie tych samych pytań do Beneficjenta przez różne działy/departamenty IP.</w:t>
            </w:r>
          </w:p>
          <w:p w14:paraId="1A00B123" w14:textId="77777777" w:rsidR="007A67A7" w:rsidRPr="00495DC0" w:rsidRDefault="007A67A7" w:rsidP="007A67A7">
            <w:pPr>
              <w:pStyle w:val="Akapitzlist"/>
              <w:numPr>
                <w:ilvl w:val="0"/>
                <w:numId w:val="17"/>
              </w:numPr>
              <w:jc w:val="both"/>
              <w:rPr>
                <w:bCs/>
                <w:iCs/>
                <w:sz w:val="18"/>
                <w:szCs w:val="20"/>
              </w:rPr>
            </w:pPr>
            <w:r w:rsidRPr="00495DC0">
              <w:rPr>
                <w:bCs/>
                <w:iCs/>
                <w:sz w:val="18"/>
                <w:szCs w:val="20"/>
              </w:rPr>
              <w:t>Pomimo elektronicznej sprawozdawczości i wymiany informacji miedzy Beneficjentem a IP, konieczność posiadania bardzo dużej ilości dokumentów w wersji papierowej.</w:t>
            </w:r>
          </w:p>
          <w:p w14:paraId="796310AA" w14:textId="77777777" w:rsidR="007A67A7" w:rsidRPr="00495DC0" w:rsidRDefault="007A67A7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6A79F276" w14:textId="3A7DD40C" w:rsidR="009D3D41" w:rsidRPr="00495DC0" w:rsidRDefault="009D3D41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</w:tc>
      </w:tr>
    </w:tbl>
    <w:p w14:paraId="32F41513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82A85" w14:textId="77777777" w:rsidR="00704600" w:rsidRDefault="00704600" w:rsidP="003E0AE0">
      <w:pPr>
        <w:spacing w:after="0" w:line="240" w:lineRule="auto"/>
      </w:pPr>
      <w:r>
        <w:separator/>
      </w:r>
    </w:p>
  </w:endnote>
  <w:endnote w:type="continuationSeparator" w:id="0">
    <w:p w14:paraId="695BCA5E" w14:textId="77777777" w:rsidR="00704600" w:rsidRDefault="00704600" w:rsidP="003E0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6A969" w14:textId="77777777" w:rsidR="00704600" w:rsidRDefault="00704600" w:rsidP="003E0AE0">
      <w:pPr>
        <w:spacing w:after="0" w:line="240" w:lineRule="auto"/>
      </w:pPr>
      <w:r>
        <w:separator/>
      </w:r>
    </w:p>
  </w:footnote>
  <w:footnote w:type="continuationSeparator" w:id="0">
    <w:p w14:paraId="2F5877D5" w14:textId="77777777" w:rsidR="00704600" w:rsidRDefault="00704600" w:rsidP="003E0A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5B87"/>
    <w:multiLevelType w:val="hybridMultilevel"/>
    <w:tmpl w:val="36909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CC1FEF"/>
    <w:multiLevelType w:val="hybridMultilevel"/>
    <w:tmpl w:val="AEBE2F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51DE5"/>
    <w:multiLevelType w:val="hybridMultilevel"/>
    <w:tmpl w:val="1480C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F04C9"/>
    <w:multiLevelType w:val="hybridMultilevel"/>
    <w:tmpl w:val="07D49BE8"/>
    <w:lvl w:ilvl="0" w:tplc="8558E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F574C5"/>
    <w:multiLevelType w:val="hybridMultilevel"/>
    <w:tmpl w:val="FB966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1B25BF"/>
    <w:multiLevelType w:val="hybridMultilevel"/>
    <w:tmpl w:val="A81E3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8B5ACC"/>
    <w:multiLevelType w:val="hybridMultilevel"/>
    <w:tmpl w:val="CA769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FD334E"/>
    <w:multiLevelType w:val="hybridMultilevel"/>
    <w:tmpl w:val="57F83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046EAB"/>
    <w:multiLevelType w:val="hybridMultilevel"/>
    <w:tmpl w:val="AEBE2F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5D27E1"/>
    <w:multiLevelType w:val="hybridMultilevel"/>
    <w:tmpl w:val="9CA4CE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1195C"/>
    <w:multiLevelType w:val="hybridMultilevel"/>
    <w:tmpl w:val="0ADE6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946C68"/>
    <w:multiLevelType w:val="hybridMultilevel"/>
    <w:tmpl w:val="3594E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2253852">
    <w:abstractNumId w:val="2"/>
  </w:num>
  <w:num w:numId="2" w16cid:durableId="99835313">
    <w:abstractNumId w:val="12"/>
  </w:num>
  <w:num w:numId="3" w16cid:durableId="400755285">
    <w:abstractNumId w:val="1"/>
  </w:num>
  <w:num w:numId="4" w16cid:durableId="1880581237">
    <w:abstractNumId w:val="14"/>
  </w:num>
  <w:num w:numId="5" w16cid:durableId="1896351592">
    <w:abstractNumId w:val="13"/>
  </w:num>
  <w:num w:numId="6" w16cid:durableId="1936983192">
    <w:abstractNumId w:val="20"/>
  </w:num>
  <w:num w:numId="7" w16cid:durableId="859003282">
    <w:abstractNumId w:val="4"/>
  </w:num>
  <w:num w:numId="8" w16cid:durableId="60258880">
    <w:abstractNumId w:val="11"/>
  </w:num>
  <w:num w:numId="9" w16cid:durableId="2028292502">
    <w:abstractNumId w:val="6"/>
  </w:num>
  <w:num w:numId="10" w16cid:durableId="2076858227">
    <w:abstractNumId w:val="7"/>
  </w:num>
  <w:num w:numId="11" w16cid:durableId="208104720">
    <w:abstractNumId w:val="0"/>
  </w:num>
  <w:num w:numId="12" w16cid:durableId="574322131">
    <w:abstractNumId w:val="19"/>
  </w:num>
  <w:num w:numId="13" w16cid:durableId="1632664388">
    <w:abstractNumId w:val="18"/>
  </w:num>
  <w:num w:numId="14" w16cid:durableId="914437377">
    <w:abstractNumId w:val="8"/>
  </w:num>
  <w:num w:numId="15" w16cid:durableId="1610696936">
    <w:abstractNumId w:val="17"/>
  </w:num>
  <w:num w:numId="16" w16cid:durableId="1996836137">
    <w:abstractNumId w:val="3"/>
  </w:num>
  <w:num w:numId="17" w16cid:durableId="943853119">
    <w:abstractNumId w:val="15"/>
  </w:num>
  <w:num w:numId="18" w16cid:durableId="491334513">
    <w:abstractNumId w:val="10"/>
  </w:num>
  <w:num w:numId="19" w16cid:durableId="186914445">
    <w:abstractNumId w:val="16"/>
  </w:num>
  <w:num w:numId="20" w16cid:durableId="1282304499">
    <w:abstractNumId w:val="9"/>
  </w:num>
  <w:num w:numId="21" w16cid:durableId="289237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5B50"/>
    <w:rsid w:val="00022375"/>
    <w:rsid w:val="000332B4"/>
    <w:rsid w:val="0007479A"/>
    <w:rsid w:val="000A0C55"/>
    <w:rsid w:val="000A5118"/>
    <w:rsid w:val="000C7933"/>
    <w:rsid w:val="000D0F1E"/>
    <w:rsid w:val="000D3CA9"/>
    <w:rsid w:val="000E0C6F"/>
    <w:rsid w:val="000E6688"/>
    <w:rsid w:val="000E6805"/>
    <w:rsid w:val="000F3F23"/>
    <w:rsid w:val="0010286F"/>
    <w:rsid w:val="001077E1"/>
    <w:rsid w:val="00120B34"/>
    <w:rsid w:val="001403D3"/>
    <w:rsid w:val="001455E8"/>
    <w:rsid w:val="001600BB"/>
    <w:rsid w:val="00160BFB"/>
    <w:rsid w:val="0017671E"/>
    <w:rsid w:val="001806EC"/>
    <w:rsid w:val="00190FB9"/>
    <w:rsid w:val="001C611C"/>
    <w:rsid w:val="001C6D7D"/>
    <w:rsid w:val="001D6B99"/>
    <w:rsid w:val="001E421F"/>
    <w:rsid w:val="00202ADF"/>
    <w:rsid w:val="0021236B"/>
    <w:rsid w:val="0021582D"/>
    <w:rsid w:val="002450C4"/>
    <w:rsid w:val="00260F6A"/>
    <w:rsid w:val="002A1484"/>
    <w:rsid w:val="002A153C"/>
    <w:rsid w:val="002A728C"/>
    <w:rsid w:val="002C5E8E"/>
    <w:rsid w:val="002D06D5"/>
    <w:rsid w:val="002D579E"/>
    <w:rsid w:val="002E27C0"/>
    <w:rsid w:val="002E330A"/>
    <w:rsid w:val="002E3771"/>
    <w:rsid w:val="002F1309"/>
    <w:rsid w:val="003031D3"/>
    <w:rsid w:val="00336BE8"/>
    <w:rsid w:val="0034211B"/>
    <w:rsid w:val="00345B04"/>
    <w:rsid w:val="00345EF8"/>
    <w:rsid w:val="00353019"/>
    <w:rsid w:val="00396ADE"/>
    <w:rsid w:val="003B107D"/>
    <w:rsid w:val="003B7BD6"/>
    <w:rsid w:val="003D75D6"/>
    <w:rsid w:val="003D7919"/>
    <w:rsid w:val="003E0AE0"/>
    <w:rsid w:val="004046DC"/>
    <w:rsid w:val="004274FD"/>
    <w:rsid w:val="00443730"/>
    <w:rsid w:val="00495DC0"/>
    <w:rsid w:val="00497FF9"/>
    <w:rsid w:val="004B19FE"/>
    <w:rsid w:val="004C066C"/>
    <w:rsid w:val="004D135D"/>
    <w:rsid w:val="004E2341"/>
    <w:rsid w:val="004F00E6"/>
    <w:rsid w:val="004F0ED5"/>
    <w:rsid w:val="0052268A"/>
    <w:rsid w:val="00522DA2"/>
    <w:rsid w:val="00551CE9"/>
    <w:rsid w:val="0057018E"/>
    <w:rsid w:val="00574711"/>
    <w:rsid w:val="0058262E"/>
    <w:rsid w:val="0059210B"/>
    <w:rsid w:val="005A4344"/>
    <w:rsid w:val="005C13C3"/>
    <w:rsid w:val="005C725F"/>
    <w:rsid w:val="005D4188"/>
    <w:rsid w:val="005E1F13"/>
    <w:rsid w:val="0060387E"/>
    <w:rsid w:val="0063145D"/>
    <w:rsid w:val="00632AA0"/>
    <w:rsid w:val="00643672"/>
    <w:rsid w:val="00645ADA"/>
    <w:rsid w:val="006460DA"/>
    <w:rsid w:val="00671B49"/>
    <w:rsid w:val="00684D3C"/>
    <w:rsid w:val="00686F1E"/>
    <w:rsid w:val="00687AFE"/>
    <w:rsid w:val="006A1ED0"/>
    <w:rsid w:val="006B40E6"/>
    <w:rsid w:val="006B491A"/>
    <w:rsid w:val="006B7454"/>
    <w:rsid w:val="006E1C3F"/>
    <w:rsid w:val="006F3217"/>
    <w:rsid w:val="00700F7A"/>
    <w:rsid w:val="00704600"/>
    <w:rsid w:val="007048B7"/>
    <w:rsid w:val="00716201"/>
    <w:rsid w:val="0073210F"/>
    <w:rsid w:val="007408A3"/>
    <w:rsid w:val="00743031"/>
    <w:rsid w:val="007437D9"/>
    <w:rsid w:val="00773523"/>
    <w:rsid w:val="00791C0F"/>
    <w:rsid w:val="007938E9"/>
    <w:rsid w:val="0079592C"/>
    <w:rsid w:val="007A0A3D"/>
    <w:rsid w:val="007A67A7"/>
    <w:rsid w:val="007C4487"/>
    <w:rsid w:val="007C54F9"/>
    <w:rsid w:val="007E2F1F"/>
    <w:rsid w:val="007E6098"/>
    <w:rsid w:val="007F63EF"/>
    <w:rsid w:val="00807368"/>
    <w:rsid w:val="00813FEF"/>
    <w:rsid w:val="00814C23"/>
    <w:rsid w:val="008213A6"/>
    <w:rsid w:val="00832728"/>
    <w:rsid w:val="0085617F"/>
    <w:rsid w:val="008632E4"/>
    <w:rsid w:val="00875EA3"/>
    <w:rsid w:val="00880352"/>
    <w:rsid w:val="008865D6"/>
    <w:rsid w:val="00891075"/>
    <w:rsid w:val="008927DE"/>
    <w:rsid w:val="008D0D78"/>
    <w:rsid w:val="008D2E98"/>
    <w:rsid w:val="008E0416"/>
    <w:rsid w:val="008F62C8"/>
    <w:rsid w:val="00900D55"/>
    <w:rsid w:val="00905779"/>
    <w:rsid w:val="0091269A"/>
    <w:rsid w:val="0092099A"/>
    <w:rsid w:val="00920CE8"/>
    <w:rsid w:val="00945E2F"/>
    <w:rsid w:val="0096489D"/>
    <w:rsid w:val="00982DC4"/>
    <w:rsid w:val="00983CFE"/>
    <w:rsid w:val="00984BDB"/>
    <w:rsid w:val="009B7640"/>
    <w:rsid w:val="009D349B"/>
    <w:rsid w:val="009D3D41"/>
    <w:rsid w:val="009D66D9"/>
    <w:rsid w:val="009E1398"/>
    <w:rsid w:val="009F3BE7"/>
    <w:rsid w:val="00A0212E"/>
    <w:rsid w:val="00A0366D"/>
    <w:rsid w:val="00A12836"/>
    <w:rsid w:val="00A1534B"/>
    <w:rsid w:val="00A24F3E"/>
    <w:rsid w:val="00A36B16"/>
    <w:rsid w:val="00A40A6A"/>
    <w:rsid w:val="00A45D86"/>
    <w:rsid w:val="00A522AB"/>
    <w:rsid w:val="00A6601B"/>
    <w:rsid w:val="00A710B2"/>
    <w:rsid w:val="00AA1C73"/>
    <w:rsid w:val="00AA4725"/>
    <w:rsid w:val="00AA73D0"/>
    <w:rsid w:val="00AB026A"/>
    <w:rsid w:val="00AB6D30"/>
    <w:rsid w:val="00AE55D0"/>
    <w:rsid w:val="00AE718F"/>
    <w:rsid w:val="00AF3BE1"/>
    <w:rsid w:val="00AF42BA"/>
    <w:rsid w:val="00AF513E"/>
    <w:rsid w:val="00B03814"/>
    <w:rsid w:val="00B11E9C"/>
    <w:rsid w:val="00B264D9"/>
    <w:rsid w:val="00B30839"/>
    <w:rsid w:val="00B33C04"/>
    <w:rsid w:val="00B57299"/>
    <w:rsid w:val="00B64FC3"/>
    <w:rsid w:val="00B70491"/>
    <w:rsid w:val="00B93735"/>
    <w:rsid w:val="00B97356"/>
    <w:rsid w:val="00BB3BC7"/>
    <w:rsid w:val="00BC120E"/>
    <w:rsid w:val="00BD0879"/>
    <w:rsid w:val="00BD10EF"/>
    <w:rsid w:val="00BF01D1"/>
    <w:rsid w:val="00BF4361"/>
    <w:rsid w:val="00C104FE"/>
    <w:rsid w:val="00C27854"/>
    <w:rsid w:val="00C37A3A"/>
    <w:rsid w:val="00C42446"/>
    <w:rsid w:val="00C546B0"/>
    <w:rsid w:val="00C56B53"/>
    <w:rsid w:val="00C67B9B"/>
    <w:rsid w:val="00C91983"/>
    <w:rsid w:val="00C948E6"/>
    <w:rsid w:val="00CA669F"/>
    <w:rsid w:val="00CA79E4"/>
    <w:rsid w:val="00CC2DEF"/>
    <w:rsid w:val="00CD1FE4"/>
    <w:rsid w:val="00CF0FE4"/>
    <w:rsid w:val="00CF4111"/>
    <w:rsid w:val="00D07E77"/>
    <w:rsid w:val="00D2144F"/>
    <w:rsid w:val="00D22A05"/>
    <w:rsid w:val="00D2582C"/>
    <w:rsid w:val="00D65F79"/>
    <w:rsid w:val="00D67859"/>
    <w:rsid w:val="00D97CA4"/>
    <w:rsid w:val="00DB70A5"/>
    <w:rsid w:val="00DC5AA6"/>
    <w:rsid w:val="00DE62D4"/>
    <w:rsid w:val="00E02628"/>
    <w:rsid w:val="00E02B03"/>
    <w:rsid w:val="00E30008"/>
    <w:rsid w:val="00E310F9"/>
    <w:rsid w:val="00E52249"/>
    <w:rsid w:val="00E522CB"/>
    <w:rsid w:val="00E81C45"/>
    <w:rsid w:val="00EA526A"/>
    <w:rsid w:val="00EB1E07"/>
    <w:rsid w:val="00EF094D"/>
    <w:rsid w:val="00EF6575"/>
    <w:rsid w:val="00F02744"/>
    <w:rsid w:val="00F215EE"/>
    <w:rsid w:val="00F32CAA"/>
    <w:rsid w:val="00F34FE7"/>
    <w:rsid w:val="00F42717"/>
    <w:rsid w:val="00F44EC2"/>
    <w:rsid w:val="00F741B3"/>
    <w:rsid w:val="00F801B3"/>
    <w:rsid w:val="00F82254"/>
    <w:rsid w:val="00F85237"/>
    <w:rsid w:val="00F92C82"/>
    <w:rsid w:val="00FA2C7F"/>
    <w:rsid w:val="00FA5CFB"/>
    <w:rsid w:val="00FB19E0"/>
    <w:rsid w:val="00FB5877"/>
    <w:rsid w:val="00FD04FE"/>
    <w:rsid w:val="00FD074F"/>
    <w:rsid w:val="00FF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94F71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38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38E9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6E1C3F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6E1C3F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DC5AA6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DC5AA6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TekstpodstawowyZnak">
    <w:name w:val="Tekst podstawowy Znak"/>
    <w:basedOn w:val="Domylnaczcionkaakapitu"/>
    <w:link w:val="Tekstpodstawowy"/>
    <w:rsid w:val="00DC5AA6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DC5AA6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DC5AA6"/>
  </w:style>
  <w:style w:type="paragraph" w:customStyle="1" w:styleId="pf0">
    <w:name w:val="pf0"/>
    <w:basedOn w:val="Normalny"/>
    <w:rsid w:val="00120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20B34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120B34"/>
    <w:rPr>
      <w:rFonts w:ascii="Segoe UI" w:hAnsi="Segoe UI" w:cs="Segoe UI" w:hint="default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0A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0A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0AE0"/>
    <w:rPr>
      <w:vertAlign w:val="superscript"/>
    </w:rPr>
  </w:style>
  <w:style w:type="paragraph" w:styleId="Poprawka">
    <w:name w:val="Revision"/>
    <w:hidden/>
    <w:uiPriority w:val="99"/>
    <w:semiHidden/>
    <w:rsid w:val="00671B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67357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7698">
          <w:marLeft w:val="56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3428</Words>
  <Characters>20572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Maciej Zacharczuk</cp:lastModifiedBy>
  <cp:revision>7</cp:revision>
  <dcterms:created xsi:type="dcterms:W3CDTF">2022-12-16T07:48:00Z</dcterms:created>
  <dcterms:modified xsi:type="dcterms:W3CDTF">2023-01-16T09:58:00Z</dcterms:modified>
</cp:coreProperties>
</file>