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2632" w:rsidRPr="003076BB" w:rsidRDefault="00922632" w:rsidP="00922632">
      <w:pPr>
        <w:jc w:val="center"/>
        <w:rPr>
          <w:rFonts w:ascii="Calibri" w:hAnsi="Calibri" w:cs="Calibri"/>
          <w:b/>
          <w:szCs w:val="24"/>
          <w:u w:val="single"/>
        </w:rPr>
      </w:pPr>
      <w:bookmarkStart w:id="0" w:name="_GoBack"/>
      <w:bookmarkEnd w:id="0"/>
      <w:r w:rsidRPr="003076BB">
        <w:rPr>
          <w:rFonts w:ascii="Calibri" w:hAnsi="Calibri" w:cs="Calibri"/>
          <w:b/>
          <w:szCs w:val="24"/>
          <w:u w:val="single"/>
        </w:rPr>
        <w:t xml:space="preserve">Załącznik do zawiadomienia o przetargu nr </w:t>
      </w:r>
      <w:r w:rsidR="00515494">
        <w:rPr>
          <w:rFonts w:ascii="Calibri" w:hAnsi="Calibri" w:cs="Calibri"/>
          <w:b/>
          <w:szCs w:val="24"/>
          <w:u w:val="single"/>
        </w:rPr>
        <w:t>DAG</w:t>
      </w:r>
      <w:r w:rsidR="0000613F">
        <w:rPr>
          <w:rFonts w:ascii="Calibri" w:hAnsi="Calibri" w:cs="Calibri"/>
          <w:b/>
          <w:szCs w:val="24"/>
          <w:u w:val="single"/>
        </w:rPr>
        <w:t>11</w:t>
      </w:r>
      <w:r w:rsidRPr="003076BB">
        <w:rPr>
          <w:rFonts w:ascii="Calibri" w:hAnsi="Calibri" w:cs="Calibri"/>
          <w:b/>
          <w:szCs w:val="24"/>
          <w:u w:val="single"/>
        </w:rPr>
        <w:t>.683</w:t>
      </w:r>
      <w:r w:rsidR="003076BB">
        <w:rPr>
          <w:rFonts w:ascii="Calibri" w:hAnsi="Calibri" w:cs="Calibri"/>
          <w:b/>
          <w:szCs w:val="24"/>
          <w:u w:val="single"/>
        </w:rPr>
        <w:t>8</w:t>
      </w:r>
      <w:r w:rsidR="00B916EC">
        <w:rPr>
          <w:rFonts w:ascii="Calibri" w:hAnsi="Calibri" w:cs="Calibri"/>
          <w:b/>
          <w:szCs w:val="24"/>
          <w:u w:val="single"/>
        </w:rPr>
        <w:t>.13.</w:t>
      </w:r>
      <w:r w:rsidRPr="003076BB">
        <w:rPr>
          <w:rFonts w:ascii="Calibri" w:hAnsi="Calibri" w:cs="Calibri"/>
          <w:b/>
          <w:szCs w:val="24"/>
          <w:u w:val="single"/>
        </w:rPr>
        <w:t>20</w:t>
      </w:r>
      <w:r w:rsidR="003076BB">
        <w:rPr>
          <w:rFonts w:ascii="Calibri" w:hAnsi="Calibri" w:cs="Calibri"/>
          <w:b/>
          <w:szCs w:val="24"/>
          <w:u w:val="single"/>
        </w:rPr>
        <w:t>2</w:t>
      </w:r>
      <w:r w:rsidR="005F527F">
        <w:rPr>
          <w:rFonts w:ascii="Calibri" w:hAnsi="Calibri" w:cs="Calibri"/>
          <w:b/>
          <w:szCs w:val="24"/>
          <w:u w:val="single"/>
        </w:rPr>
        <w:t>2</w:t>
      </w:r>
    </w:p>
    <w:p w:rsidR="00922632" w:rsidRPr="003076BB" w:rsidRDefault="001D0741" w:rsidP="00922632">
      <w:pPr>
        <w:jc w:val="center"/>
        <w:rPr>
          <w:rFonts w:ascii="Calibri" w:hAnsi="Calibri" w:cs="Calibri"/>
          <w:b/>
          <w:szCs w:val="24"/>
          <w:u w:val="single"/>
        </w:rPr>
      </w:pPr>
      <w:r w:rsidRPr="00F15766">
        <w:rPr>
          <w:rFonts w:ascii="Calibri" w:hAnsi="Calibri" w:cs="Calibri"/>
          <w:b/>
          <w:szCs w:val="24"/>
          <w:u w:val="single"/>
        </w:rPr>
        <w:t>z dnia</w:t>
      </w:r>
      <w:r w:rsidR="00E40FD0" w:rsidRPr="00F15766">
        <w:rPr>
          <w:rFonts w:ascii="Calibri" w:hAnsi="Calibri" w:cs="Calibri"/>
          <w:b/>
          <w:szCs w:val="24"/>
          <w:u w:val="single"/>
        </w:rPr>
        <w:t xml:space="preserve"> </w:t>
      </w:r>
      <w:r w:rsidR="00B90C00">
        <w:rPr>
          <w:rFonts w:ascii="Calibri" w:hAnsi="Calibri" w:cs="Calibri"/>
          <w:b/>
          <w:szCs w:val="24"/>
          <w:u w:val="single"/>
        </w:rPr>
        <w:t>30</w:t>
      </w:r>
      <w:r w:rsidR="00515494">
        <w:rPr>
          <w:rFonts w:ascii="Calibri" w:hAnsi="Calibri" w:cs="Calibri"/>
          <w:b/>
          <w:szCs w:val="24"/>
          <w:u w:val="single"/>
        </w:rPr>
        <w:t xml:space="preserve"> września</w:t>
      </w:r>
      <w:r w:rsidR="003076BB" w:rsidRPr="00F15766">
        <w:rPr>
          <w:rFonts w:ascii="Calibri" w:hAnsi="Calibri" w:cs="Calibri"/>
          <w:b/>
          <w:szCs w:val="24"/>
          <w:u w:val="single"/>
        </w:rPr>
        <w:t xml:space="preserve"> 202</w:t>
      </w:r>
      <w:r w:rsidR="00DB2552" w:rsidRPr="00F15766">
        <w:rPr>
          <w:rFonts w:ascii="Calibri" w:hAnsi="Calibri" w:cs="Calibri"/>
          <w:b/>
          <w:szCs w:val="24"/>
          <w:u w:val="single"/>
        </w:rPr>
        <w:t>2</w:t>
      </w:r>
      <w:r w:rsidR="00922632" w:rsidRPr="00F15766">
        <w:rPr>
          <w:rFonts w:ascii="Calibri" w:hAnsi="Calibri" w:cs="Calibri"/>
          <w:b/>
          <w:szCs w:val="24"/>
          <w:u w:val="single"/>
        </w:rPr>
        <w:t xml:space="preserve"> r.</w:t>
      </w:r>
    </w:p>
    <w:p w:rsidR="00922632" w:rsidRPr="003076BB" w:rsidRDefault="00922632" w:rsidP="007563FA">
      <w:pPr>
        <w:spacing w:before="120"/>
        <w:jc w:val="center"/>
        <w:rPr>
          <w:rFonts w:ascii="Calibri" w:hAnsi="Calibri" w:cs="Calibri"/>
          <w:b/>
          <w:szCs w:val="24"/>
        </w:rPr>
      </w:pPr>
      <w:r w:rsidRPr="003076BB">
        <w:rPr>
          <w:rFonts w:ascii="Calibri" w:hAnsi="Calibri" w:cs="Calibri"/>
          <w:b/>
          <w:szCs w:val="24"/>
        </w:rPr>
        <w:t>Kryteria i sposób oceny ofert przetargowych</w:t>
      </w:r>
    </w:p>
    <w:p w:rsidR="00922632" w:rsidRPr="003076BB" w:rsidRDefault="00922632" w:rsidP="00922632">
      <w:pPr>
        <w:overflowPunct/>
        <w:spacing w:before="200"/>
        <w:jc w:val="both"/>
        <w:textAlignment w:val="auto"/>
        <w:rPr>
          <w:rFonts w:ascii="Calibri" w:hAnsi="Calibri" w:cs="Calibri"/>
          <w:szCs w:val="24"/>
        </w:rPr>
      </w:pPr>
      <w:r w:rsidRPr="003076BB">
        <w:rPr>
          <w:rFonts w:ascii="Calibri" w:hAnsi="Calibri" w:cs="Calibri"/>
          <w:b/>
          <w:bCs/>
          <w:szCs w:val="24"/>
        </w:rPr>
        <w:t>1. Atrakcyjność proponowanej lokalizacji kasyna gry:</w:t>
      </w:r>
    </w:p>
    <w:p w:rsidR="00922632" w:rsidRPr="003076BB" w:rsidRDefault="00922632" w:rsidP="00922632">
      <w:pPr>
        <w:tabs>
          <w:tab w:val="left" w:pos="284"/>
        </w:tabs>
        <w:overflowPunct/>
        <w:spacing w:before="60"/>
        <w:jc w:val="both"/>
        <w:textAlignment w:val="auto"/>
        <w:rPr>
          <w:rFonts w:ascii="Calibri" w:hAnsi="Calibri" w:cs="Calibri"/>
          <w:szCs w:val="24"/>
        </w:rPr>
      </w:pPr>
      <w:r w:rsidRPr="003076BB">
        <w:rPr>
          <w:rFonts w:ascii="Calibri" w:hAnsi="Calibri" w:cs="Calibri"/>
          <w:szCs w:val="24"/>
        </w:rPr>
        <w:t>1)</w:t>
      </w:r>
      <w:r w:rsidRPr="003076BB">
        <w:rPr>
          <w:rFonts w:ascii="Calibri" w:hAnsi="Calibri" w:cs="Calibri"/>
          <w:szCs w:val="24"/>
        </w:rPr>
        <w:tab/>
        <w:t>lokalizacja budynku:</w:t>
      </w:r>
    </w:p>
    <w:p w:rsidR="00922632" w:rsidRPr="003076BB" w:rsidRDefault="00922632" w:rsidP="00922632">
      <w:pPr>
        <w:tabs>
          <w:tab w:val="left" w:pos="284"/>
        </w:tabs>
        <w:overflowPunct/>
        <w:jc w:val="both"/>
        <w:textAlignment w:val="auto"/>
        <w:rPr>
          <w:rFonts w:ascii="Calibri" w:hAnsi="Calibri" w:cs="Calibri"/>
          <w:szCs w:val="24"/>
        </w:rPr>
      </w:pPr>
      <w:r w:rsidRPr="003076BB">
        <w:rPr>
          <w:rFonts w:ascii="Calibri" w:hAnsi="Calibri" w:cs="Calibri"/>
          <w:szCs w:val="24"/>
        </w:rPr>
        <w:t>a)</w:t>
      </w:r>
      <w:r w:rsidRPr="003076BB">
        <w:rPr>
          <w:rFonts w:ascii="Calibri" w:hAnsi="Calibri" w:cs="Calibri"/>
          <w:szCs w:val="24"/>
        </w:rPr>
        <w:tab/>
        <w:t>1 pkt – w centrum miasta,</w:t>
      </w:r>
    </w:p>
    <w:p w:rsidR="00922632" w:rsidRPr="003076BB" w:rsidRDefault="00922632" w:rsidP="00922632">
      <w:pPr>
        <w:tabs>
          <w:tab w:val="left" w:pos="284"/>
        </w:tabs>
        <w:overflowPunct/>
        <w:jc w:val="both"/>
        <w:textAlignment w:val="auto"/>
        <w:rPr>
          <w:rFonts w:ascii="Calibri" w:hAnsi="Calibri" w:cs="Calibri"/>
          <w:szCs w:val="24"/>
        </w:rPr>
      </w:pPr>
      <w:r w:rsidRPr="003076BB">
        <w:rPr>
          <w:rFonts w:ascii="Calibri" w:hAnsi="Calibri" w:cs="Calibri"/>
          <w:szCs w:val="24"/>
        </w:rPr>
        <w:t>b)</w:t>
      </w:r>
      <w:r w:rsidRPr="003076BB">
        <w:rPr>
          <w:rFonts w:ascii="Calibri" w:hAnsi="Calibri" w:cs="Calibri"/>
          <w:szCs w:val="24"/>
        </w:rPr>
        <w:tab/>
        <w:t>1 pkt – przy ruchliwym ciągu komunikacyjnym,</w:t>
      </w:r>
    </w:p>
    <w:p w:rsidR="00922632" w:rsidRPr="003076BB" w:rsidRDefault="00922632" w:rsidP="00922632">
      <w:pPr>
        <w:tabs>
          <w:tab w:val="left" w:pos="284"/>
        </w:tabs>
        <w:overflowPunct/>
        <w:jc w:val="both"/>
        <w:textAlignment w:val="auto"/>
        <w:rPr>
          <w:rFonts w:ascii="Calibri" w:hAnsi="Calibri" w:cs="Calibri"/>
          <w:szCs w:val="24"/>
        </w:rPr>
      </w:pPr>
      <w:r w:rsidRPr="003076BB">
        <w:rPr>
          <w:rFonts w:ascii="Calibri" w:hAnsi="Calibri" w:cs="Calibri"/>
          <w:szCs w:val="24"/>
        </w:rPr>
        <w:t>c)</w:t>
      </w:r>
      <w:r w:rsidRPr="003076BB">
        <w:rPr>
          <w:rFonts w:ascii="Calibri" w:hAnsi="Calibri" w:cs="Calibri"/>
          <w:szCs w:val="24"/>
        </w:rPr>
        <w:tab/>
        <w:t>1 pkt – w obrębie lub bezpośrednim sąsiedztwie centrum rozrywki;</w:t>
      </w:r>
    </w:p>
    <w:p w:rsidR="00922632" w:rsidRPr="003076BB" w:rsidRDefault="00922632" w:rsidP="00922632">
      <w:pPr>
        <w:tabs>
          <w:tab w:val="left" w:pos="284"/>
        </w:tabs>
        <w:overflowPunct/>
        <w:spacing w:before="60"/>
        <w:jc w:val="both"/>
        <w:textAlignment w:val="auto"/>
        <w:rPr>
          <w:rFonts w:ascii="Calibri" w:hAnsi="Calibri" w:cs="Calibri"/>
          <w:szCs w:val="24"/>
        </w:rPr>
      </w:pPr>
      <w:r w:rsidRPr="003076BB">
        <w:rPr>
          <w:rFonts w:ascii="Calibri" w:hAnsi="Calibri" w:cs="Calibri"/>
          <w:szCs w:val="24"/>
        </w:rPr>
        <w:t>2)</w:t>
      </w:r>
      <w:r w:rsidRPr="003076BB">
        <w:rPr>
          <w:rFonts w:ascii="Calibri" w:hAnsi="Calibri" w:cs="Calibri"/>
          <w:szCs w:val="24"/>
        </w:rPr>
        <w:tab/>
        <w:t>standard budynku:</w:t>
      </w:r>
    </w:p>
    <w:p w:rsidR="00922632" w:rsidRPr="003076BB" w:rsidRDefault="00922632" w:rsidP="00922632">
      <w:pPr>
        <w:tabs>
          <w:tab w:val="left" w:pos="284"/>
        </w:tabs>
        <w:overflowPunct/>
        <w:jc w:val="both"/>
        <w:textAlignment w:val="auto"/>
        <w:rPr>
          <w:rFonts w:ascii="Calibri" w:hAnsi="Calibri" w:cs="Calibri"/>
          <w:szCs w:val="24"/>
        </w:rPr>
      </w:pPr>
      <w:r w:rsidRPr="003076BB">
        <w:rPr>
          <w:rFonts w:ascii="Calibri" w:hAnsi="Calibri" w:cs="Calibri"/>
          <w:szCs w:val="24"/>
        </w:rPr>
        <w:t>a)</w:t>
      </w:r>
      <w:r w:rsidRPr="003076BB">
        <w:rPr>
          <w:rFonts w:ascii="Calibri" w:hAnsi="Calibri" w:cs="Calibri"/>
          <w:szCs w:val="24"/>
        </w:rPr>
        <w:tab/>
        <w:t>5 pkt – hotel kategorii cztery albo pięć gwiazdek,</w:t>
      </w:r>
    </w:p>
    <w:p w:rsidR="00922632" w:rsidRPr="003076BB" w:rsidRDefault="00922632" w:rsidP="00922632">
      <w:pPr>
        <w:tabs>
          <w:tab w:val="left" w:pos="284"/>
        </w:tabs>
        <w:overflowPunct/>
        <w:jc w:val="both"/>
        <w:textAlignment w:val="auto"/>
        <w:rPr>
          <w:rFonts w:ascii="Calibri" w:hAnsi="Calibri" w:cs="Calibri"/>
          <w:szCs w:val="24"/>
        </w:rPr>
      </w:pPr>
      <w:r w:rsidRPr="003076BB">
        <w:rPr>
          <w:rFonts w:ascii="Calibri" w:hAnsi="Calibri" w:cs="Calibri"/>
          <w:szCs w:val="24"/>
        </w:rPr>
        <w:t>b)</w:t>
      </w:r>
      <w:r w:rsidRPr="003076BB">
        <w:rPr>
          <w:rFonts w:ascii="Calibri" w:hAnsi="Calibri" w:cs="Calibri"/>
          <w:szCs w:val="24"/>
        </w:rPr>
        <w:tab/>
        <w:t>4 pkt – budynek zabytkowy,</w:t>
      </w:r>
    </w:p>
    <w:p w:rsidR="00922632" w:rsidRPr="003076BB" w:rsidRDefault="00922632" w:rsidP="00922632">
      <w:pPr>
        <w:tabs>
          <w:tab w:val="left" w:pos="284"/>
        </w:tabs>
        <w:overflowPunct/>
        <w:jc w:val="both"/>
        <w:textAlignment w:val="auto"/>
        <w:rPr>
          <w:rFonts w:ascii="Calibri" w:hAnsi="Calibri" w:cs="Calibri"/>
          <w:szCs w:val="24"/>
        </w:rPr>
      </w:pPr>
      <w:r w:rsidRPr="003076BB">
        <w:rPr>
          <w:rFonts w:ascii="Calibri" w:hAnsi="Calibri" w:cs="Calibri"/>
          <w:szCs w:val="24"/>
        </w:rPr>
        <w:t>c)</w:t>
      </w:r>
      <w:r w:rsidRPr="003076BB">
        <w:rPr>
          <w:rFonts w:ascii="Calibri" w:hAnsi="Calibri" w:cs="Calibri"/>
          <w:szCs w:val="24"/>
        </w:rPr>
        <w:tab/>
        <w:t>3 pkt – budynek nowy,</w:t>
      </w:r>
    </w:p>
    <w:p w:rsidR="00922632" w:rsidRPr="003076BB" w:rsidRDefault="00922632" w:rsidP="00922632">
      <w:pPr>
        <w:tabs>
          <w:tab w:val="left" w:pos="284"/>
        </w:tabs>
        <w:overflowPunct/>
        <w:jc w:val="both"/>
        <w:textAlignment w:val="auto"/>
        <w:rPr>
          <w:rFonts w:ascii="Calibri" w:hAnsi="Calibri" w:cs="Calibri"/>
          <w:szCs w:val="24"/>
        </w:rPr>
      </w:pPr>
      <w:r w:rsidRPr="003076BB">
        <w:rPr>
          <w:rFonts w:ascii="Calibri" w:hAnsi="Calibri" w:cs="Calibri"/>
          <w:szCs w:val="24"/>
        </w:rPr>
        <w:t>d)</w:t>
      </w:r>
      <w:r w:rsidRPr="003076BB">
        <w:rPr>
          <w:rFonts w:ascii="Calibri" w:hAnsi="Calibri" w:cs="Calibri"/>
          <w:szCs w:val="24"/>
        </w:rPr>
        <w:tab/>
        <w:t>3 pkt – hotel kategorii trzy gwiazdki.</w:t>
      </w:r>
      <w:r w:rsidR="00123D92" w:rsidRPr="003076BB">
        <w:rPr>
          <w:rFonts w:ascii="Calibri" w:hAnsi="Calibri" w:cs="Calibri"/>
          <w:szCs w:val="24"/>
        </w:rPr>
        <w:t xml:space="preserve"> </w:t>
      </w:r>
    </w:p>
    <w:p w:rsidR="00922632" w:rsidRPr="003076BB" w:rsidRDefault="00922632" w:rsidP="00922632">
      <w:pPr>
        <w:tabs>
          <w:tab w:val="left" w:pos="284"/>
        </w:tabs>
        <w:overflowPunct/>
        <w:jc w:val="both"/>
        <w:textAlignment w:val="auto"/>
        <w:rPr>
          <w:rFonts w:ascii="Calibri" w:hAnsi="Calibri" w:cs="Calibri"/>
          <w:szCs w:val="24"/>
        </w:rPr>
      </w:pPr>
    </w:p>
    <w:p w:rsidR="00922632" w:rsidRPr="003076BB" w:rsidRDefault="00922632" w:rsidP="00922632">
      <w:pPr>
        <w:pStyle w:val="NormalnyWeb"/>
        <w:rPr>
          <w:rFonts w:ascii="Calibri" w:hAnsi="Calibri" w:cs="Calibri"/>
          <w:b/>
          <w:bCs/>
          <w:sz w:val="24"/>
        </w:rPr>
      </w:pPr>
      <w:r w:rsidRPr="003076BB">
        <w:rPr>
          <w:rFonts w:ascii="Calibri" w:hAnsi="Calibri" w:cs="Calibri"/>
          <w:b/>
          <w:bCs/>
          <w:sz w:val="24"/>
        </w:rPr>
        <w:t>2. Planowany termin rozpoczęcia działalności kasyna gry:</w:t>
      </w:r>
    </w:p>
    <w:p w:rsidR="00922632" w:rsidRPr="003076BB" w:rsidRDefault="00922632" w:rsidP="00922632">
      <w:pPr>
        <w:overflowPunct/>
        <w:jc w:val="both"/>
        <w:textAlignment w:val="auto"/>
        <w:rPr>
          <w:rFonts w:ascii="Calibri" w:hAnsi="Calibri" w:cs="Calibri"/>
          <w:szCs w:val="24"/>
        </w:rPr>
      </w:pPr>
      <w:r w:rsidRPr="003076BB">
        <w:rPr>
          <w:rFonts w:ascii="Calibri" w:hAnsi="Calibri" w:cs="Calibri"/>
          <w:szCs w:val="24"/>
        </w:rPr>
        <w:t>1) 3 pkt – w przypadku zadeklarowania przez podmiot bądź podmioty ubiegające się o udzielenie koncesji terminu rozpoczęcia działalności nieprzekraczającego 3 miesięcy od dnia udzielenia koncesji;</w:t>
      </w:r>
    </w:p>
    <w:p w:rsidR="00922632" w:rsidRPr="003076BB" w:rsidRDefault="00922632" w:rsidP="00922632">
      <w:pPr>
        <w:overflowPunct/>
        <w:jc w:val="both"/>
        <w:textAlignment w:val="auto"/>
        <w:rPr>
          <w:rFonts w:ascii="Calibri" w:hAnsi="Calibri" w:cs="Calibri"/>
          <w:szCs w:val="24"/>
        </w:rPr>
      </w:pPr>
      <w:r w:rsidRPr="003076BB">
        <w:rPr>
          <w:rFonts w:ascii="Calibri" w:hAnsi="Calibri" w:cs="Calibri"/>
          <w:szCs w:val="24"/>
        </w:rPr>
        <w:t xml:space="preserve">2) 2 pkt – w przypadku zadeklarowania przez podmiot bądź podmioty ubiegające się o udzielenie koncesji terminu rozpoczęcia działalności wynoszącego ponad 3 miesiące i nieprzekraczającego </w:t>
      </w:r>
      <w:r w:rsidRPr="003076BB">
        <w:rPr>
          <w:rFonts w:ascii="Calibri" w:hAnsi="Calibri" w:cs="Calibri"/>
          <w:szCs w:val="24"/>
        </w:rPr>
        <w:br/>
        <w:t>6 miesięcy od dnia udzielenia koncesji;</w:t>
      </w:r>
    </w:p>
    <w:p w:rsidR="00922632" w:rsidRPr="003076BB" w:rsidRDefault="00922632" w:rsidP="00922632">
      <w:pPr>
        <w:overflowPunct/>
        <w:jc w:val="both"/>
        <w:textAlignment w:val="auto"/>
        <w:rPr>
          <w:rFonts w:ascii="Calibri" w:hAnsi="Calibri" w:cs="Calibri"/>
          <w:szCs w:val="24"/>
        </w:rPr>
      </w:pPr>
      <w:r w:rsidRPr="003076BB">
        <w:rPr>
          <w:rFonts w:ascii="Calibri" w:hAnsi="Calibri" w:cs="Calibri"/>
          <w:szCs w:val="24"/>
        </w:rPr>
        <w:t xml:space="preserve">3) 1 pkt – w przypadku zadeklarowania przez podmiot bądź podmioty ubiegające się o udzielenie koncesji terminu rozpoczęcia działalności wynoszącego ponad 6 miesięcy i nieprzekraczającego </w:t>
      </w:r>
      <w:r w:rsidRPr="003076BB">
        <w:rPr>
          <w:rFonts w:ascii="Calibri" w:hAnsi="Calibri" w:cs="Calibri"/>
          <w:szCs w:val="24"/>
        </w:rPr>
        <w:br/>
        <w:t>12 miesięcy od dnia udzielenia koncesji;</w:t>
      </w:r>
    </w:p>
    <w:p w:rsidR="00922632" w:rsidRPr="003076BB" w:rsidRDefault="00922632" w:rsidP="00922632">
      <w:pPr>
        <w:overflowPunct/>
        <w:jc w:val="both"/>
        <w:textAlignment w:val="auto"/>
        <w:rPr>
          <w:rFonts w:ascii="Calibri" w:hAnsi="Calibri" w:cs="Calibri"/>
          <w:szCs w:val="24"/>
        </w:rPr>
      </w:pPr>
      <w:r w:rsidRPr="003076BB">
        <w:rPr>
          <w:rFonts w:ascii="Calibri" w:hAnsi="Calibri" w:cs="Calibri"/>
          <w:szCs w:val="24"/>
        </w:rPr>
        <w:t>4) 0 pkt – w przypadku zadeklarowania przez podmiot bądź podmioty ubiegające się o udzielenie koncesji terminu rozpoczęcia działalności wynoszącego ponad 12 miesięcy od dnia udzielenia koncesji.</w:t>
      </w:r>
    </w:p>
    <w:p w:rsidR="00922632" w:rsidRPr="003076BB" w:rsidRDefault="00922632" w:rsidP="00922632">
      <w:pPr>
        <w:tabs>
          <w:tab w:val="left" w:pos="284"/>
        </w:tabs>
        <w:overflowPunct/>
        <w:jc w:val="both"/>
        <w:textAlignment w:val="auto"/>
        <w:rPr>
          <w:rFonts w:ascii="Calibri" w:hAnsi="Calibri" w:cs="Calibri"/>
          <w:szCs w:val="24"/>
        </w:rPr>
      </w:pPr>
    </w:p>
    <w:p w:rsidR="00922632" w:rsidRPr="003076BB" w:rsidRDefault="00922632" w:rsidP="00922632">
      <w:pPr>
        <w:pStyle w:val="NormalnyWeb"/>
        <w:rPr>
          <w:rFonts w:ascii="Calibri" w:hAnsi="Calibri" w:cs="Calibri"/>
          <w:b/>
          <w:bCs/>
          <w:sz w:val="24"/>
        </w:rPr>
      </w:pPr>
      <w:r w:rsidRPr="003076BB">
        <w:rPr>
          <w:rFonts w:ascii="Calibri" w:hAnsi="Calibri" w:cs="Calibri"/>
          <w:b/>
          <w:bCs/>
          <w:sz w:val="24"/>
        </w:rPr>
        <w:t>3. Planowane godziny otwarcia kasyna gry:</w:t>
      </w:r>
    </w:p>
    <w:p w:rsidR="00922632" w:rsidRPr="003076BB" w:rsidRDefault="00922632" w:rsidP="00922632">
      <w:pPr>
        <w:tabs>
          <w:tab w:val="right" w:pos="284"/>
          <w:tab w:val="left" w:pos="408"/>
        </w:tabs>
        <w:overflowPunct/>
        <w:jc w:val="both"/>
        <w:textAlignment w:val="auto"/>
        <w:rPr>
          <w:rFonts w:ascii="Calibri" w:hAnsi="Calibri" w:cs="Calibri"/>
          <w:szCs w:val="24"/>
        </w:rPr>
      </w:pPr>
      <w:r w:rsidRPr="003076BB">
        <w:rPr>
          <w:rFonts w:ascii="Calibri" w:hAnsi="Calibri" w:cs="Calibri"/>
          <w:szCs w:val="24"/>
        </w:rPr>
        <w:t xml:space="preserve">1) </w:t>
      </w:r>
      <w:r w:rsidRPr="003076BB">
        <w:rPr>
          <w:rFonts w:ascii="Calibri" w:hAnsi="Calibri" w:cs="Calibri"/>
          <w:szCs w:val="24"/>
        </w:rPr>
        <w:tab/>
        <w:t>1 pkt – w przypadku gdy obiekt będzie otwarty dłużej niż 12 godzin na dobę;</w:t>
      </w:r>
    </w:p>
    <w:p w:rsidR="00922632" w:rsidRPr="003076BB" w:rsidRDefault="00922632" w:rsidP="00922632">
      <w:pPr>
        <w:tabs>
          <w:tab w:val="right" w:pos="284"/>
          <w:tab w:val="left" w:pos="408"/>
        </w:tabs>
        <w:overflowPunct/>
        <w:jc w:val="both"/>
        <w:textAlignment w:val="auto"/>
        <w:rPr>
          <w:rFonts w:ascii="Calibri" w:hAnsi="Calibri" w:cs="Calibri"/>
          <w:szCs w:val="24"/>
        </w:rPr>
      </w:pPr>
      <w:r w:rsidRPr="003076BB">
        <w:rPr>
          <w:rFonts w:ascii="Calibri" w:hAnsi="Calibri" w:cs="Calibri"/>
          <w:szCs w:val="24"/>
        </w:rPr>
        <w:t>2)</w:t>
      </w:r>
      <w:r w:rsidRPr="003076BB">
        <w:rPr>
          <w:rFonts w:ascii="Calibri" w:hAnsi="Calibri" w:cs="Calibri"/>
          <w:szCs w:val="24"/>
        </w:rPr>
        <w:tab/>
        <w:t xml:space="preserve"> 0,5 pkt – w przypadku gdy obiekt będzie otwarty od 8 do 12 godzin na dobę;</w:t>
      </w:r>
    </w:p>
    <w:p w:rsidR="00922632" w:rsidRPr="003076BB" w:rsidRDefault="00922632" w:rsidP="00922632">
      <w:pPr>
        <w:tabs>
          <w:tab w:val="right" w:pos="284"/>
          <w:tab w:val="left" w:pos="408"/>
        </w:tabs>
        <w:overflowPunct/>
        <w:jc w:val="both"/>
        <w:textAlignment w:val="auto"/>
        <w:rPr>
          <w:rFonts w:ascii="Calibri" w:hAnsi="Calibri" w:cs="Calibri"/>
          <w:szCs w:val="24"/>
        </w:rPr>
      </w:pPr>
      <w:r w:rsidRPr="003076BB">
        <w:rPr>
          <w:rFonts w:ascii="Calibri" w:hAnsi="Calibri" w:cs="Calibri"/>
          <w:szCs w:val="24"/>
        </w:rPr>
        <w:t xml:space="preserve">3) </w:t>
      </w:r>
      <w:r w:rsidRPr="003076BB">
        <w:rPr>
          <w:rFonts w:ascii="Calibri" w:hAnsi="Calibri" w:cs="Calibri"/>
          <w:szCs w:val="24"/>
        </w:rPr>
        <w:tab/>
        <w:t>0 pkt – w przypadku gdy obiekt będzie otwarty krócej niż 8 godzin na dobę.</w:t>
      </w:r>
    </w:p>
    <w:p w:rsidR="00922632" w:rsidRPr="003076BB" w:rsidRDefault="00922632" w:rsidP="00922632">
      <w:pPr>
        <w:tabs>
          <w:tab w:val="right" w:pos="284"/>
          <w:tab w:val="left" w:pos="408"/>
        </w:tabs>
        <w:overflowPunct/>
        <w:jc w:val="both"/>
        <w:textAlignment w:val="auto"/>
        <w:rPr>
          <w:rFonts w:ascii="Calibri" w:hAnsi="Calibri" w:cs="Calibri"/>
          <w:szCs w:val="24"/>
        </w:rPr>
      </w:pPr>
    </w:p>
    <w:p w:rsidR="00922632" w:rsidRPr="003076BB" w:rsidRDefault="00922632" w:rsidP="00922632">
      <w:pPr>
        <w:pStyle w:val="NormalnyWeb"/>
        <w:jc w:val="both"/>
        <w:rPr>
          <w:rFonts w:ascii="Calibri" w:hAnsi="Calibri" w:cs="Calibri"/>
          <w:b/>
          <w:bCs/>
          <w:color w:val="auto"/>
          <w:sz w:val="24"/>
        </w:rPr>
      </w:pPr>
      <w:r w:rsidRPr="003076BB">
        <w:rPr>
          <w:rFonts w:ascii="Calibri" w:hAnsi="Calibri" w:cs="Calibri"/>
          <w:b/>
          <w:bCs/>
          <w:color w:val="auto"/>
          <w:sz w:val="24"/>
        </w:rPr>
        <w:t xml:space="preserve">3a. Deklarowana podstawa opodatkowania podatkiem od gier, jaką podmiot ubiegający się </w:t>
      </w:r>
      <w:r w:rsidRPr="003076BB">
        <w:rPr>
          <w:rFonts w:ascii="Calibri" w:hAnsi="Calibri" w:cs="Calibri"/>
          <w:b/>
          <w:bCs/>
          <w:color w:val="auto"/>
          <w:sz w:val="24"/>
        </w:rPr>
        <w:br/>
        <w:t xml:space="preserve">o udzielenie koncesji planuje osiągnąć w działalności prowadzonej na podstawie koncesji </w:t>
      </w:r>
      <w:r w:rsidRPr="003076BB">
        <w:rPr>
          <w:rFonts w:ascii="Calibri" w:hAnsi="Calibri" w:cs="Calibri"/>
          <w:b/>
          <w:bCs/>
          <w:color w:val="auto"/>
          <w:sz w:val="24"/>
        </w:rPr>
        <w:br/>
        <w:t>w kasynie gry, którego dotyczy złożona oferta:</w:t>
      </w:r>
    </w:p>
    <w:p w:rsidR="00922632" w:rsidRPr="003076BB" w:rsidRDefault="00922632" w:rsidP="00922632">
      <w:pPr>
        <w:pStyle w:val="NormalnyWeb"/>
        <w:jc w:val="both"/>
        <w:rPr>
          <w:rFonts w:ascii="Calibri" w:hAnsi="Calibri" w:cs="Calibri"/>
          <w:color w:val="auto"/>
          <w:sz w:val="24"/>
        </w:rPr>
      </w:pPr>
      <w:r w:rsidRPr="003076BB">
        <w:rPr>
          <w:rFonts w:ascii="Calibri" w:hAnsi="Calibri" w:cs="Calibri"/>
          <w:color w:val="auto"/>
          <w:sz w:val="24"/>
        </w:rPr>
        <w:t>1) 3 pkt – w przypadku zadeklarowania najwyższej podstawy opodatkowania podatkiem od gier przez podmiot bądź podmioty ubiegające się o udzielenie koncesji;</w:t>
      </w:r>
    </w:p>
    <w:p w:rsidR="00922632" w:rsidRPr="003076BB" w:rsidRDefault="00922632" w:rsidP="00922632">
      <w:pPr>
        <w:pStyle w:val="NormalnyWeb"/>
        <w:jc w:val="both"/>
        <w:rPr>
          <w:rFonts w:ascii="Calibri" w:hAnsi="Calibri" w:cs="Calibri"/>
          <w:color w:val="auto"/>
          <w:sz w:val="24"/>
        </w:rPr>
      </w:pPr>
      <w:r w:rsidRPr="003076BB">
        <w:rPr>
          <w:rFonts w:ascii="Calibri" w:hAnsi="Calibri" w:cs="Calibri"/>
          <w:color w:val="auto"/>
          <w:sz w:val="24"/>
        </w:rPr>
        <w:t>2) 2 pkt – w przypadku zadeklarowania drugiej pod względem wysokości podstawy opodatkowania podatkiem od gier przez podmiot bądź podmioty ubiegające się o udzielenie koncesji;</w:t>
      </w:r>
    </w:p>
    <w:p w:rsidR="00922632" w:rsidRPr="003076BB" w:rsidRDefault="00922632" w:rsidP="00922632">
      <w:pPr>
        <w:pStyle w:val="NormalnyWeb"/>
        <w:jc w:val="both"/>
        <w:rPr>
          <w:rFonts w:ascii="Calibri" w:hAnsi="Calibri" w:cs="Calibri"/>
          <w:color w:val="auto"/>
          <w:sz w:val="24"/>
        </w:rPr>
      </w:pPr>
      <w:r w:rsidRPr="003076BB">
        <w:rPr>
          <w:rFonts w:ascii="Calibri" w:hAnsi="Calibri" w:cs="Calibri"/>
          <w:color w:val="auto"/>
          <w:sz w:val="24"/>
        </w:rPr>
        <w:t>3) 1 pkt – w przypadku zadeklarowania trzeciej i kolejnej pod względem wysokości podstawy opodatkowania podatkiem od gier przez podmiot bądź podmioty ubiegające się o udzielenie koncesji.</w:t>
      </w:r>
    </w:p>
    <w:p w:rsidR="00922632" w:rsidRPr="003076BB" w:rsidRDefault="00922632" w:rsidP="00922632">
      <w:pPr>
        <w:pStyle w:val="Default"/>
        <w:rPr>
          <w:rFonts w:ascii="Calibri" w:hAnsi="Calibri" w:cs="Calibri"/>
          <w:color w:val="auto"/>
        </w:rPr>
      </w:pPr>
    </w:p>
    <w:p w:rsidR="00922632" w:rsidRPr="003076BB" w:rsidRDefault="00922632" w:rsidP="00922632">
      <w:pPr>
        <w:pStyle w:val="NormalnyWeb"/>
        <w:jc w:val="both"/>
        <w:rPr>
          <w:rFonts w:ascii="Calibri" w:hAnsi="Calibri" w:cs="Calibri"/>
          <w:b/>
          <w:bCs/>
          <w:color w:val="auto"/>
          <w:sz w:val="24"/>
        </w:rPr>
      </w:pPr>
      <w:r w:rsidRPr="003076BB">
        <w:rPr>
          <w:rFonts w:ascii="Calibri" w:hAnsi="Calibri" w:cs="Calibri"/>
          <w:b/>
          <w:bCs/>
          <w:color w:val="auto"/>
          <w:sz w:val="24"/>
        </w:rPr>
        <w:t xml:space="preserve">3b. Wielkość powierzchni kasyna gry przeznaczonej bezpośrednio na prowadzenie gier hazardowych: </w:t>
      </w:r>
    </w:p>
    <w:p w:rsidR="00931D6E" w:rsidRPr="003076BB" w:rsidRDefault="00922632" w:rsidP="00922632">
      <w:pPr>
        <w:pStyle w:val="NormalnyWeb"/>
        <w:jc w:val="both"/>
        <w:rPr>
          <w:rFonts w:ascii="Calibri" w:hAnsi="Calibri" w:cs="Calibri"/>
          <w:color w:val="auto"/>
          <w:sz w:val="24"/>
        </w:rPr>
      </w:pPr>
      <w:r w:rsidRPr="003076BB">
        <w:rPr>
          <w:rFonts w:ascii="Calibri" w:hAnsi="Calibri" w:cs="Calibri"/>
          <w:color w:val="auto"/>
          <w:sz w:val="24"/>
        </w:rPr>
        <w:t xml:space="preserve">1) 3 pkt – w przypadku zadeklarowania największej powierzchni przeznaczonej bezpośrednio </w:t>
      </w:r>
      <w:r w:rsidR="00015E1D">
        <w:rPr>
          <w:rFonts w:ascii="Calibri" w:hAnsi="Calibri" w:cs="Calibri"/>
          <w:color w:val="auto"/>
          <w:sz w:val="24"/>
        </w:rPr>
        <w:br/>
      </w:r>
      <w:r w:rsidRPr="003076BB">
        <w:rPr>
          <w:rFonts w:ascii="Calibri" w:hAnsi="Calibri" w:cs="Calibri"/>
          <w:color w:val="auto"/>
          <w:sz w:val="24"/>
        </w:rPr>
        <w:t>na prowadzenie gier hazardowych przez podmiot bądź podmioty ubiegające się o udzielenie koncesji;</w:t>
      </w:r>
    </w:p>
    <w:p w:rsidR="00922632" w:rsidRPr="003076BB" w:rsidRDefault="00922632" w:rsidP="00922632">
      <w:pPr>
        <w:pStyle w:val="NormalnyWeb"/>
        <w:jc w:val="both"/>
        <w:rPr>
          <w:rFonts w:ascii="Calibri" w:hAnsi="Calibri" w:cs="Calibri"/>
          <w:color w:val="auto"/>
          <w:sz w:val="24"/>
        </w:rPr>
      </w:pPr>
      <w:r w:rsidRPr="003076BB">
        <w:rPr>
          <w:rFonts w:ascii="Calibri" w:hAnsi="Calibri" w:cs="Calibri"/>
          <w:color w:val="auto"/>
          <w:sz w:val="24"/>
        </w:rPr>
        <w:lastRenderedPageBreak/>
        <w:t xml:space="preserve">2) 2 pkt – w przypadku zadeklarowania drugiej pod względem wielkości powierzchni przeznaczonej bezpośrednio na prowadzenie gier hazardowych przez podmiot bądź podmioty ubiegające się </w:t>
      </w:r>
      <w:r w:rsidR="00015E1D">
        <w:rPr>
          <w:rFonts w:ascii="Calibri" w:hAnsi="Calibri" w:cs="Calibri"/>
          <w:color w:val="auto"/>
          <w:sz w:val="24"/>
        </w:rPr>
        <w:br/>
      </w:r>
      <w:r w:rsidRPr="003076BB">
        <w:rPr>
          <w:rFonts w:ascii="Calibri" w:hAnsi="Calibri" w:cs="Calibri"/>
          <w:color w:val="auto"/>
          <w:sz w:val="24"/>
        </w:rPr>
        <w:t>o udzielenie koncesji;</w:t>
      </w:r>
    </w:p>
    <w:p w:rsidR="00922632" w:rsidRPr="003076BB" w:rsidRDefault="00922632" w:rsidP="00922632">
      <w:pPr>
        <w:pStyle w:val="NormalnyWeb"/>
        <w:jc w:val="both"/>
        <w:rPr>
          <w:rFonts w:ascii="Calibri" w:hAnsi="Calibri" w:cs="Calibri"/>
          <w:color w:val="auto"/>
          <w:sz w:val="24"/>
        </w:rPr>
      </w:pPr>
      <w:r w:rsidRPr="003076BB">
        <w:rPr>
          <w:rFonts w:ascii="Calibri" w:hAnsi="Calibri" w:cs="Calibri"/>
          <w:color w:val="auto"/>
          <w:sz w:val="24"/>
        </w:rPr>
        <w:t>3) 1 pkt – w przypadku zadeklarowania trzeciej i kolejnej pod względem wielkości powierzchni przeznaczonej bezpośrednio na prowadzenie gier hazardowych przez podmiot bądź podmioty ubiegające się o udzielenie koncesji.</w:t>
      </w:r>
    </w:p>
    <w:p w:rsidR="00922632" w:rsidRPr="003076BB" w:rsidRDefault="00922632" w:rsidP="00922632">
      <w:pPr>
        <w:tabs>
          <w:tab w:val="right" w:pos="284"/>
          <w:tab w:val="left" w:pos="408"/>
        </w:tabs>
        <w:overflowPunct/>
        <w:jc w:val="both"/>
        <w:textAlignment w:val="auto"/>
        <w:rPr>
          <w:rFonts w:ascii="Calibri" w:hAnsi="Calibri" w:cs="Calibri"/>
          <w:szCs w:val="24"/>
        </w:rPr>
      </w:pPr>
    </w:p>
    <w:p w:rsidR="00922632" w:rsidRPr="003076BB" w:rsidRDefault="00922632" w:rsidP="00922632">
      <w:pPr>
        <w:overflowPunct/>
        <w:jc w:val="both"/>
        <w:textAlignment w:val="auto"/>
        <w:rPr>
          <w:rFonts w:ascii="Calibri" w:hAnsi="Calibri" w:cs="Calibri"/>
          <w:szCs w:val="24"/>
        </w:rPr>
      </w:pPr>
      <w:r w:rsidRPr="003076BB">
        <w:rPr>
          <w:rFonts w:ascii="Calibri" w:hAnsi="Calibri" w:cs="Calibri"/>
          <w:b/>
          <w:bCs/>
          <w:szCs w:val="24"/>
        </w:rPr>
        <w:t>4. Terminowość rozpoczynania dotychczasowej działalności po uzyskaniu koncesji lub zezwolenia w wyniku przetargu w okresie ostatnich trzech lat kalendarzowych poprzedzających rok, w którym zostało ogłoszone zawiadomienie o przetargu:</w:t>
      </w:r>
    </w:p>
    <w:p w:rsidR="00922632" w:rsidRPr="003076BB" w:rsidRDefault="00922632" w:rsidP="00922632">
      <w:pPr>
        <w:tabs>
          <w:tab w:val="left" w:pos="284"/>
        </w:tabs>
        <w:overflowPunct/>
        <w:spacing w:before="60"/>
        <w:jc w:val="both"/>
        <w:textAlignment w:val="auto"/>
        <w:rPr>
          <w:rFonts w:ascii="Calibri" w:hAnsi="Calibri" w:cs="Calibri"/>
          <w:szCs w:val="24"/>
        </w:rPr>
      </w:pPr>
      <w:r w:rsidRPr="003076BB">
        <w:rPr>
          <w:rFonts w:ascii="Calibri" w:hAnsi="Calibri" w:cs="Calibri"/>
          <w:szCs w:val="24"/>
        </w:rPr>
        <w:t>1)</w:t>
      </w:r>
      <w:r w:rsidRPr="003076BB">
        <w:rPr>
          <w:rFonts w:ascii="Calibri" w:hAnsi="Calibri" w:cs="Calibri"/>
          <w:szCs w:val="24"/>
        </w:rPr>
        <w:tab/>
        <w:t xml:space="preserve">3 pkt – w przypadku gdy podmiot ubiegający się o udzielenie koncesji lub zezwolenia uzyskał </w:t>
      </w:r>
      <w:r w:rsidRPr="003076BB">
        <w:rPr>
          <w:rFonts w:ascii="Calibri" w:hAnsi="Calibri" w:cs="Calibri"/>
          <w:szCs w:val="24"/>
        </w:rPr>
        <w:br/>
        <w:t>w tym okresie koncesję lub zezwolenie w wyniku przetargu i rozpoczął działalność w terminie zadeklarowanym w ofercie, z zastrzeżeniem, że w przypadku podmiotu, który w tym okresie uzyskał więcej niż jedną koncesję lub zezwolenie, liczba punktów mieści się w przedziale od 0 do 3, odpowiednio:</w:t>
      </w:r>
    </w:p>
    <w:p w:rsidR="00922632" w:rsidRPr="003076BB" w:rsidRDefault="00922632" w:rsidP="00922632">
      <w:pPr>
        <w:tabs>
          <w:tab w:val="left" w:pos="680"/>
        </w:tabs>
        <w:overflowPunct/>
        <w:ind w:left="284"/>
        <w:jc w:val="both"/>
        <w:textAlignment w:val="auto"/>
        <w:rPr>
          <w:rFonts w:ascii="Calibri" w:hAnsi="Calibri" w:cs="Calibri"/>
          <w:szCs w:val="24"/>
        </w:rPr>
      </w:pPr>
      <w:r w:rsidRPr="003076BB">
        <w:rPr>
          <w:rFonts w:ascii="Calibri" w:hAnsi="Calibri" w:cs="Calibri"/>
          <w:szCs w:val="24"/>
        </w:rPr>
        <w:t>a)</w:t>
      </w:r>
      <w:r w:rsidRPr="003076BB">
        <w:rPr>
          <w:rFonts w:ascii="Calibri" w:hAnsi="Calibri" w:cs="Calibri"/>
          <w:szCs w:val="24"/>
        </w:rPr>
        <w:tab/>
        <w:t>3 pkt – w przypadku otwarcia w zadeklarowanym terminie od 100 % do 75 % ośrodków,</w:t>
      </w:r>
    </w:p>
    <w:p w:rsidR="00922632" w:rsidRPr="003076BB" w:rsidRDefault="00922632" w:rsidP="00922632">
      <w:pPr>
        <w:tabs>
          <w:tab w:val="left" w:pos="680"/>
        </w:tabs>
        <w:overflowPunct/>
        <w:ind w:left="284"/>
        <w:jc w:val="both"/>
        <w:textAlignment w:val="auto"/>
        <w:rPr>
          <w:rFonts w:ascii="Calibri" w:hAnsi="Calibri" w:cs="Calibri"/>
          <w:szCs w:val="24"/>
        </w:rPr>
      </w:pPr>
      <w:r w:rsidRPr="003076BB">
        <w:rPr>
          <w:rFonts w:ascii="Calibri" w:hAnsi="Calibri" w:cs="Calibri"/>
          <w:szCs w:val="24"/>
        </w:rPr>
        <w:t>b)</w:t>
      </w:r>
      <w:r w:rsidRPr="003076BB">
        <w:rPr>
          <w:rFonts w:ascii="Calibri" w:hAnsi="Calibri" w:cs="Calibri"/>
          <w:szCs w:val="24"/>
        </w:rPr>
        <w:tab/>
        <w:t>2 pkt – w przypadku otwarcia w zadeklarowanym terminie poniżej 75 % do 50 % ośrodków,</w:t>
      </w:r>
    </w:p>
    <w:p w:rsidR="00922632" w:rsidRPr="003076BB" w:rsidRDefault="00922632" w:rsidP="00922632">
      <w:pPr>
        <w:tabs>
          <w:tab w:val="left" w:pos="680"/>
        </w:tabs>
        <w:overflowPunct/>
        <w:ind w:left="284"/>
        <w:jc w:val="both"/>
        <w:textAlignment w:val="auto"/>
        <w:rPr>
          <w:rFonts w:ascii="Calibri" w:hAnsi="Calibri" w:cs="Calibri"/>
          <w:szCs w:val="24"/>
        </w:rPr>
      </w:pPr>
      <w:r w:rsidRPr="003076BB">
        <w:rPr>
          <w:rFonts w:ascii="Calibri" w:hAnsi="Calibri" w:cs="Calibri"/>
          <w:szCs w:val="24"/>
        </w:rPr>
        <w:t>c)</w:t>
      </w:r>
      <w:r w:rsidRPr="003076BB">
        <w:rPr>
          <w:rFonts w:ascii="Calibri" w:hAnsi="Calibri" w:cs="Calibri"/>
          <w:szCs w:val="24"/>
        </w:rPr>
        <w:tab/>
        <w:t>1 pkt – w przypadku otwarcia w zadeklarowanym terminie poniżej 50 % do 25 % ośrodków,</w:t>
      </w:r>
    </w:p>
    <w:p w:rsidR="00922632" w:rsidRPr="003076BB" w:rsidRDefault="00922632" w:rsidP="00922632">
      <w:pPr>
        <w:tabs>
          <w:tab w:val="left" w:pos="680"/>
        </w:tabs>
        <w:overflowPunct/>
        <w:ind w:left="284"/>
        <w:jc w:val="both"/>
        <w:textAlignment w:val="auto"/>
        <w:rPr>
          <w:rFonts w:ascii="Calibri" w:hAnsi="Calibri" w:cs="Calibri"/>
          <w:szCs w:val="24"/>
        </w:rPr>
      </w:pPr>
      <w:r w:rsidRPr="003076BB">
        <w:rPr>
          <w:rFonts w:ascii="Calibri" w:hAnsi="Calibri" w:cs="Calibri"/>
          <w:szCs w:val="24"/>
        </w:rPr>
        <w:t>d)</w:t>
      </w:r>
      <w:r w:rsidRPr="003076BB">
        <w:rPr>
          <w:rFonts w:ascii="Calibri" w:hAnsi="Calibri" w:cs="Calibri"/>
          <w:szCs w:val="24"/>
        </w:rPr>
        <w:tab/>
        <w:t>0 pkt – w przypadku otwarcia w zadeklarowanym terminie poniżej 25 % ośrodków;</w:t>
      </w:r>
    </w:p>
    <w:p w:rsidR="00922632" w:rsidRPr="003076BB" w:rsidRDefault="00922632" w:rsidP="00922632">
      <w:pPr>
        <w:tabs>
          <w:tab w:val="left" w:pos="284"/>
        </w:tabs>
        <w:overflowPunct/>
        <w:spacing w:before="60"/>
        <w:jc w:val="both"/>
        <w:textAlignment w:val="auto"/>
        <w:rPr>
          <w:rFonts w:ascii="Calibri" w:hAnsi="Calibri" w:cs="Calibri"/>
          <w:szCs w:val="24"/>
        </w:rPr>
      </w:pPr>
      <w:r w:rsidRPr="003076BB">
        <w:rPr>
          <w:rFonts w:ascii="Calibri" w:hAnsi="Calibri" w:cs="Calibri"/>
          <w:szCs w:val="24"/>
        </w:rPr>
        <w:t>2)</w:t>
      </w:r>
      <w:r w:rsidRPr="003076BB">
        <w:rPr>
          <w:rFonts w:ascii="Calibri" w:hAnsi="Calibri" w:cs="Calibri"/>
          <w:szCs w:val="24"/>
        </w:rPr>
        <w:tab/>
        <w:t>2 pkt – w przypadku podmiotu ubiegającego się o udzielenie koncesji lub zezwolenia, który:</w:t>
      </w:r>
    </w:p>
    <w:p w:rsidR="00922632" w:rsidRPr="003076BB" w:rsidRDefault="00922632" w:rsidP="00922632">
      <w:pPr>
        <w:tabs>
          <w:tab w:val="left" w:pos="680"/>
        </w:tabs>
        <w:overflowPunct/>
        <w:ind w:left="284"/>
        <w:jc w:val="both"/>
        <w:textAlignment w:val="auto"/>
        <w:rPr>
          <w:rFonts w:ascii="Calibri" w:hAnsi="Calibri" w:cs="Calibri"/>
          <w:szCs w:val="24"/>
        </w:rPr>
      </w:pPr>
      <w:r w:rsidRPr="003076BB">
        <w:rPr>
          <w:rFonts w:ascii="Calibri" w:hAnsi="Calibri" w:cs="Calibri"/>
          <w:szCs w:val="24"/>
        </w:rPr>
        <w:t>a)</w:t>
      </w:r>
      <w:r w:rsidRPr="003076BB">
        <w:rPr>
          <w:rFonts w:ascii="Calibri" w:hAnsi="Calibri" w:cs="Calibri"/>
          <w:szCs w:val="24"/>
        </w:rPr>
        <w:tab/>
        <w:t>dotychczas nie uzyskał koncesji lub zezwolenia w wyniku przetargu, w tym dotychczas nie przystępował do przetargu,</w:t>
      </w:r>
    </w:p>
    <w:p w:rsidR="00922632" w:rsidRPr="003076BB" w:rsidRDefault="00922632" w:rsidP="00922632">
      <w:pPr>
        <w:tabs>
          <w:tab w:val="left" w:pos="680"/>
        </w:tabs>
        <w:overflowPunct/>
        <w:ind w:left="284"/>
        <w:jc w:val="both"/>
        <w:textAlignment w:val="auto"/>
        <w:rPr>
          <w:rFonts w:ascii="Calibri" w:hAnsi="Calibri" w:cs="Calibri"/>
          <w:szCs w:val="24"/>
        </w:rPr>
      </w:pPr>
      <w:r w:rsidRPr="003076BB">
        <w:rPr>
          <w:rFonts w:ascii="Calibri" w:hAnsi="Calibri" w:cs="Calibri"/>
          <w:szCs w:val="24"/>
        </w:rPr>
        <w:t>b)</w:t>
      </w:r>
      <w:r w:rsidRPr="003076BB">
        <w:rPr>
          <w:rFonts w:ascii="Calibri" w:hAnsi="Calibri" w:cs="Calibri"/>
          <w:szCs w:val="24"/>
        </w:rPr>
        <w:tab/>
        <w:t>uzyskał koncesję lub zezwolenie w wyniku przetargu w innym okresie,</w:t>
      </w:r>
    </w:p>
    <w:p w:rsidR="00922632" w:rsidRPr="003076BB" w:rsidRDefault="00922632" w:rsidP="00922632">
      <w:pPr>
        <w:tabs>
          <w:tab w:val="left" w:pos="680"/>
        </w:tabs>
        <w:overflowPunct/>
        <w:ind w:left="284"/>
        <w:jc w:val="both"/>
        <w:textAlignment w:val="auto"/>
        <w:rPr>
          <w:rFonts w:ascii="Calibri" w:hAnsi="Calibri" w:cs="Calibri"/>
          <w:szCs w:val="24"/>
        </w:rPr>
      </w:pPr>
      <w:r w:rsidRPr="003076BB">
        <w:rPr>
          <w:rFonts w:ascii="Calibri" w:hAnsi="Calibri" w:cs="Calibri"/>
          <w:szCs w:val="24"/>
        </w:rPr>
        <w:t>c)</w:t>
      </w:r>
      <w:r w:rsidRPr="003076BB">
        <w:rPr>
          <w:rFonts w:ascii="Calibri" w:hAnsi="Calibri" w:cs="Calibri"/>
          <w:szCs w:val="24"/>
        </w:rPr>
        <w:tab/>
        <w:t>nie może być poddany ocenie ze względu na fakt, że deklarowany termin rozpoczęcia działalności jeszcze nie upłynął;</w:t>
      </w:r>
    </w:p>
    <w:p w:rsidR="00922632" w:rsidRPr="003076BB" w:rsidRDefault="00922632" w:rsidP="00922632">
      <w:pPr>
        <w:tabs>
          <w:tab w:val="left" w:pos="284"/>
        </w:tabs>
        <w:overflowPunct/>
        <w:spacing w:before="60"/>
        <w:jc w:val="both"/>
        <w:textAlignment w:val="auto"/>
        <w:rPr>
          <w:rFonts w:ascii="Calibri" w:hAnsi="Calibri" w:cs="Calibri"/>
          <w:szCs w:val="24"/>
        </w:rPr>
      </w:pPr>
      <w:r w:rsidRPr="003076BB">
        <w:rPr>
          <w:rFonts w:ascii="Calibri" w:hAnsi="Calibri" w:cs="Calibri"/>
          <w:szCs w:val="24"/>
        </w:rPr>
        <w:t>3)</w:t>
      </w:r>
      <w:r w:rsidRPr="003076BB">
        <w:rPr>
          <w:rFonts w:ascii="Calibri" w:hAnsi="Calibri" w:cs="Calibri"/>
          <w:szCs w:val="24"/>
        </w:rPr>
        <w:tab/>
        <w:t xml:space="preserve">0 pkt – w przypadku gdy podmiot ubiegający się o udzielenie koncesji lub zezwolenia uzyskał </w:t>
      </w:r>
      <w:r w:rsidRPr="003076BB">
        <w:rPr>
          <w:rFonts w:ascii="Calibri" w:hAnsi="Calibri" w:cs="Calibri"/>
          <w:szCs w:val="24"/>
        </w:rPr>
        <w:br/>
        <w:t xml:space="preserve">w tym okresie koncesję lub zezwolenie w wyniku przetargu, lecz nie rozpoczął działalności </w:t>
      </w:r>
      <w:r w:rsidRPr="003076BB">
        <w:rPr>
          <w:rFonts w:ascii="Calibri" w:hAnsi="Calibri" w:cs="Calibri"/>
          <w:szCs w:val="24"/>
        </w:rPr>
        <w:br/>
        <w:t>w zadeklarowanym w ofercie terminie.</w:t>
      </w:r>
    </w:p>
    <w:p w:rsidR="00922632" w:rsidRPr="003076BB" w:rsidRDefault="00922632" w:rsidP="00922632">
      <w:pPr>
        <w:overflowPunct/>
        <w:spacing w:before="200"/>
        <w:jc w:val="both"/>
        <w:textAlignment w:val="auto"/>
        <w:rPr>
          <w:rFonts w:ascii="Calibri" w:hAnsi="Calibri" w:cs="Calibri"/>
          <w:szCs w:val="24"/>
        </w:rPr>
      </w:pPr>
      <w:r w:rsidRPr="003076BB">
        <w:rPr>
          <w:rFonts w:ascii="Calibri" w:hAnsi="Calibri" w:cs="Calibri"/>
          <w:b/>
          <w:bCs/>
          <w:szCs w:val="24"/>
        </w:rPr>
        <w:t xml:space="preserve">5. Zgodność wysokości podstawy opodatkowania podatkiem od gier uprzednio deklarowanej przez podmiot, który uzyskał koncesję lub zezwolenie w wyniku przetargu, z realnie uzyskaną </w:t>
      </w:r>
      <w:r w:rsidR="00E619C0">
        <w:rPr>
          <w:rFonts w:ascii="Calibri" w:hAnsi="Calibri" w:cs="Calibri"/>
          <w:b/>
          <w:bCs/>
          <w:szCs w:val="24"/>
        </w:rPr>
        <w:br/>
      </w:r>
      <w:r w:rsidRPr="003076BB">
        <w:rPr>
          <w:rFonts w:ascii="Calibri" w:hAnsi="Calibri" w:cs="Calibri"/>
          <w:b/>
          <w:bCs/>
          <w:szCs w:val="24"/>
        </w:rPr>
        <w:t>w działalności prowadzonej na podstawie takiej koncesji lub zezwolenia, biorąc pod uwagę koncesje i zezwolenia uzyskane w okresie ostatnich trzech lat kalendarzowych poprzedzających rok, w którym zostało ogłoszone zawiadomienie o przetargu:</w:t>
      </w:r>
    </w:p>
    <w:p w:rsidR="00922632" w:rsidRPr="003076BB" w:rsidRDefault="00922632" w:rsidP="00922632">
      <w:pPr>
        <w:tabs>
          <w:tab w:val="left" w:pos="284"/>
        </w:tabs>
        <w:overflowPunct/>
        <w:spacing w:before="60"/>
        <w:jc w:val="both"/>
        <w:textAlignment w:val="auto"/>
        <w:rPr>
          <w:rFonts w:ascii="Calibri" w:hAnsi="Calibri" w:cs="Calibri"/>
          <w:szCs w:val="24"/>
        </w:rPr>
      </w:pPr>
      <w:r w:rsidRPr="003076BB">
        <w:rPr>
          <w:rFonts w:ascii="Calibri" w:hAnsi="Calibri" w:cs="Calibri"/>
          <w:szCs w:val="24"/>
        </w:rPr>
        <w:t>1)</w:t>
      </w:r>
      <w:r w:rsidRPr="003076BB">
        <w:rPr>
          <w:rFonts w:ascii="Calibri" w:hAnsi="Calibri" w:cs="Calibri"/>
          <w:szCs w:val="24"/>
        </w:rPr>
        <w:tab/>
        <w:t>4 pkt – w przypadku gdy zgodność pomiędzy deklarowaną a realnie uzyskaną podstawą opodatkowania występuje w przedziale powyżej 75 % do 100%,</w:t>
      </w:r>
    </w:p>
    <w:p w:rsidR="00922632" w:rsidRPr="003076BB" w:rsidRDefault="00922632" w:rsidP="00922632">
      <w:pPr>
        <w:tabs>
          <w:tab w:val="left" w:pos="284"/>
        </w:tabs>
        <w:overflowPunct/>
        <w:spacing w:before="60"/>
        <w:jc w:val="both"/>
        <w:textAlignment w:val="auto"/>
        <w:rPr>
          <w:rFonts w:ascii="Calibri" w:hAnsi="Calibri" w:cs="Calibri"/>
          <w:szCs w:val="24"/>
        </w:rPr>
      </w:pPr>
      <w:r w:rsidRPr="003076BB">
        <w:rPr>
          <w:rFonts w:ascii="Calibri" w:hAnsi="Calibri" w:cs="Calibri"/>
          <w:szCs w:val="24"/>
        </w:rPr>
        <w:t>2)</w:t>
      </w:r>
      <w:r w:rsidRPr="003076BB">
        <w:rPr>
          <w:rFonts w:ascii="Calibri" w:hAnsi="Calibri" w:cs="Calibri"/>
          <w:szCs w:val="24"/>
        </w:rPr>
        <w:tab/>
        <w:t>2 pkt – w przypadku gdy zgodność pomiędzy deklarowaną a realnie uzyskaną podstawą opodatkowania występuje w przedziale od 50 % do 75 %,</w:t>
      </w:r>
    </w:p>
    <w:p w:rsidR="00922632" w:rsidRPr="003076BB" w:rsidRDefault="00922632" w:rsidP="00922632">
      <w:pPr>
        <w:tabs>
          <w:tab w:val="left" w:pos="284"/>
        </w:tabs>
        <w:overflowPunct/>
        <w:spacing w:before="60"/>
        <w:jc w:val="both"/>
        <w:textAlignment w:val="auto"/>
        <w:rPr>
          <w:rFonts w:ascii="Calibri" w:hAnsi="Calibri" w:cs="Calibri"/>
          <w:szCs w:val="24"/>
        </w:rPr>
      </w:pPr>
      <w:r w:rsidRPr="003076BB">
        <w:rPr>
          <w:rFonts w:ascii="Calibri" w:hAnsi="Calibri" w:cs="Calibri"/>
          <w:szCs w:val="24"/>
        </w:rPr>
        <w:t>3)</w:t>
      </w:r>
      <w:r w:rsidRPr="003076BB">
        <w:rPr>
          <w:rFonts w:ascii="Calibri" w:hAnsi="Calibri" w:cs="Calibri"/>
          <w:szCs w:val="24"/>
        </w:rPr>
        <w:tab/>
        <w:t>2 pkt – w przypadku podmiotów, które dotychczas nie przystępowały do przetargu lub uzyskały koncesję lub zezwolenie w wyniku przetargu w innym okresie, lub w stosunku do których nie jest możliwe zweryfikowanie deklarowanej wysokości podstawy opodatkowania ze względu na zbyt krótki okres sprawozdawczości,</w:t>
      </w:r>
    </w:p>
    <w:p w:rsidR="00922632" w:rsidRPr="003076BB" w:rsidRDefault="00922632" w:rsidP="00922632">
      <w:pPr>
        <w:tabs>
          <w:tab w:val="left" w:pos="284"/>
        </w:tabs>
        <w:overflowPunct/>
        <w:spacing w:before="60"/>
        <w:jc w:val="both"/>
        <w:textAlignment w:val="auto"/>
        <w:rPr>
          <w:rFonts w:ascii="Calibri" w:hAnsi="Calibri" w:cs="Calibri"/>
          <w:szCs w:val="24"/>
        </w:rPr>
      </w:pPr>
      <w:r w:rsidRPr="003076BB">
        <w:rPr>
          <w:rFonts w:ascii="Calibri" w:hAnsi="Calibri" w:cs="Calibri"/>
          <w:szCs w:val="24"/>
        </w:rPr>
        <w:t>4)</w:t>
      </w:r>
      <w:r w:rsidRPr="003076BB">
        <w:rPr>
          <w:rFonts w:ascii="Calibri" w:hAnsi="Calibri" w:cs="Calibri"/>
          <w:szCs w:val="24"/>
        </w:rPr>
        <w:tab/>
        <w:t>0 pkt – w przypadku gdy zgodność pomiędzy deklarowaną a realnie uzyskaną podstawą opodatkowania podatkiem od gier wynosi poniżej 50 %</w:t>
      </w:r>
    </w:p>
    <w:p w:rsidR="00922632" w:rsidRPr="003076BB" w:rsidRDefault="00922632" w:rsidP="00922632">
      <w:pPr>
        <w:overflowPunct/>
        <w:jc w:val="both"/>
        <w:textAlignment w:val="auto"/>
        <w:rPr>
          <w:rFonts w:ascii="Calibri" w:hAnsi="Calibri" w:cs="Calibri"/>
          <w:szCs w:val="24"/>
        </w:rPr>
      </w:pPr>
      <w:r w:rsidRPr="003076BB">
        <w:rPr>
          <w:rFonts w:ascii="Calibri" w:hAnsi="Calibri" w:cs="Calibri"/>
          <w:szCs w:val="24"/>
        </w:rPr>
        <w:t xml:space="preserve">- przy czym w przypadku podmiotu, który w okresie ostatnich trzech lat kalendarzowych poprzedzających rok, w którym zostało ogłoszone zawiadomienie o przetargu, uzyskał więcej </w:t>
      </w:r>
      <w:r w:rsidR="00E619C0">
        <w:rPr>
          <w:rFonts w:ascii="Calibri" w:hAnsi="Calibri" w:cs="Calibri"/>
          <w:szCs w:val="24"/>
        </w:rPr>
        <w:br/>
      </w:r>
      <w:r w:rsidRPr="003076BB">
        <w:rPr>
          <w:rFonts w:ascii="Calibri" w:hAnsi="Calibri" w:cs="Calibri"/>
          <w:szCs w:val="24"/>
        </w:rPr>
        <w:t>niż jedną koncesję lub zezwolenie w wyniku przetargu, bierze się pod uwagę średnią kwot podstawy opodatkowania deklarowanych i uzyskanych.</w:t>
      </w:r>
    </w:p>
    <w:p w:rsidR="00922632" w:rsidRPr="003076BB" w:rsidRDefault="00922632" w:rsidP="00922632">
      <w:pPr>
        <w:overflowPunct/>
        <w:spacing w:before="200"/>
        <w:jc w:val="both"/>
        <w:textAlignment w:val="auto"/>
        <w:rPr>
          <w:rFonts w:ascii="Calibri" w:hAnsi="Calibri" w:cs="Calibri"/>
          <w:szCs w:val="24"/>
        </w:rPr>
      </w:pPr>
      <w:r w:rsidRPr="003076BB">
        <w:rPr>
          <w:rFonts w:ascii="Calibri" w:hAnsi="Calibri" w:cs="Calibri"/>
          <w:b/>
          <w:bCs/>
          <w:szCs w:val="24"/>
        </w:rPr>
        <w:lastRenderedPageBreak/>
        <w:t>6. Przypadki cofnięcia koncesji, zezwolenia lub innego zezwolenia w zakresie gier hazardowych lub wezwania przez organ udzielający takiej koncesji lub zezwoleń do usunięcia stwierdzonych uchybień w okresie ostatnich trzech lat kalendarzowych poprzedzających rok, w którym zostało ogłoszone zawiadomienie o przetargu:</w:t>
      </w:r>
    </w:p>
    <w:p w:rsidR="00922632" w:rsidRPr="003076BB" w:rsidRDefault="00922632" w:rsidP="00922632">
      <w:pPr>
        <w:tabs>
          <w:tab w:val="left" w:pos="284"/>
        </w:tabs>
        <w:overflowPunct/>
        <w:spacing w:before="60"/>
        <w:jc w:val="both"/>
        <w:textAlignment w:val="auto"/>
        <w:rPr>
          <w:rFonts w:ascii="Calibri" w:hAnsi="Calibri" w:cs="Calibri"/>
          <w:szCs w:val="24"/>
        </w:rPr>
      </w:pPr>
      <w:r w:rsidRPr="003076BB">
        <w:rPr>
          <w:rFonts w:ascii="Calibri" w:hAnsi="Calibri" w:cs="Calibri"/>
          <w:szCs w:val="24"/>
        </w:rPr>
        <w:t>1)</w:t>
      </w:r>
      <w:r w:rsidRPr="003076BB">
        <w:rPr>
          <w:rFonts w:ascii="Calibri" w:hAnsi="Calibri" w:cs="Calibri"/>
          <w:szCs w:val="24"/>
        </w:rPr>
        <w:tab/>
        <w:t>2 pkt – w przypadku podmiotu:</w:t>
      </w:r>
    </w:p>
    <w:p w:rsidR="00922632" w:rsidRPr="003076BB" w:rsidRDefault="00922632" w:rsidP="00922632">
      <w:pPr>
        <w:tabs>
          <w:tab w:val="left" w:pos="680"/>
        </w:tabs>
        <w:overflowPunct/>
        <w:ind w:left="284"/>
        <w:jc w:val="both"/>
        <w:textAlignment w:val="auto"/>
        <w:rPr>
          <w:rFonts w:ascii="Calibri" w:hAnsi="Calibri" w:cs="Calibri"/>
          <w:szCs w:val="24"/>
        </w:rPr>
      </w:pPr>
      <w:r w:rsidRPr="003076BB">
        <w:rPr>
          <w:rFonts w:ascii="Calibri" w:hAnsi="Calibri" w:cs="Calibri"/>
          <w:szCs w:val="24"/>
        </w:rPr>
        <w:t>a)</w:t>
      </w:r>
      <w:r w:rsidRPr="003076BB">
        <w:rPr>
          <w:rFonts w:ascii="Calibri" w:hAnsi="Calibri" w:cs="Calibri"/>
          <w:szCs w:val="24"/>
        </w:rPr>
        <w:tab/>
        <w:t>któremu w tym okresie nie cofnięto koncesji, zezwolenia lub innego zezwolenia w zakresie gier hazardowych ani do którego nie skierowano w tym okresie wezwania do usunięcia stwierdzonych uchybień,</w:t>
      </w:r>
    </w:p>
    <w:p w:rsidR="00922632" w:rsidRPr="003076BB" w:rsidRDefault="00922632" w:rsidP="00922632">
      <w:pPr>
        <w:tabs>
          <w:tab w:val="left" w:pos="680"/>
        </w:tabs>
        <w:overflowPunct/>
        <w:ind w:left="284"/>
        <w:jc w:val="both"/>
        <w:textAlignment w:val="auto"/>
        <w:rPr>
          <w:rFonts w:ascii="Calibri" w:hAnsi="Calibri" w:cs="Calibri"/>
          <w:szCs w:val="24"/>
        </w:rPr>
      </w:pPr>
      <w:r w:rsidRPr="003076BB">
        <w:rPr>
          <w:rFonts w:ascii="Calibri" w:hAnsi="Calibri" w:cs="Calibri"/>
          <w:szCs w:val="24"/>
        </w:rPr>
        <w:t>b)</w:t>
      </w:r>
      <w:r w:rsidRPr="003076BB">
        <w:rPr>
          <w:rFonts w:ascii="Calibri" w:hAnsi="Calibri" w:cs="Calibri"/>
          <w:szCs w:val="24"/>
        </w:rPr>
        <w:tab/>
        <w:t>który nie prowadził w tym okresie działalności w zakresie gier hazardowych;</w:t>
      </w:r>
    </w:p>
    <w:p w:rsidR="00922632" w:rsidRPr="003076BB" w:rsidRDefault="00922632" w:rsidP="00922632">
      <w:pPr>
        <w:tabs>
          <w:tab w:val="left" w:pos="284"/>
        </w:tabs>
        <w:overflowPunct/>
        <w:jc w:val="both"/>
        <w:textAlignment w:val="auto"/>
        <w:rPr>
          <w:rFonts w:ascii="Calibri" w:hAnsi="Calibri" w:cs="Calibri"/>
          <w:szCs w:val="24"/>
        </w:rPr>
      </w:pPr>
      <w:r w:rsidRPr="003076BB">
        <w:rPr>
          <w:rFonts w:ascii="Calibri" w:hAnsi="Calibri" w:cs="Calibri"/>
          <w:szCs w:val="24"/>
        </w:rPr>
        <w:t>2)</w:t>
      </w:r>
      <w:r w:rsidRPr="003076BB">
        <w:rPr>
          <w:rFonts w:ascii="Calibri" w:hAnsi="Calibri" w:cs="Calibri"/>
          <w:szCs w:val="24"/>
        </w:rPr>
        <w:tab/>
        <w:t>0 pkt – w przypadku podmiotu, do którego w tym okresie skierowano wezwanie do usunięcia stwierdzonych uchybień bądź któremu cofnięto koncesję, zezwolenie lub inne zezwolenie w zakresie gier hazardowych.</w:t>
      </w:r>
    </w:p>
    <w:p w:rsidR="00922632" w:rsidRPr="003076BB" w:rsidRDefault="00922632" w:rsidP="00922632">
      <w:pPr>
        <w:tabs>
          <w:tab w:val="left" w:pos="284"/>
        </w:tabs>
        <w:overflowPunct/>
        <w:jc w:val="both"/>
        <w:textAlignment w:val="auto"/>
        <w:rPr>
          <w:rFonts w:ascii="Calibri" w:hAnsi="Calibri" w:cs="Calibri"/>
          <w:szCs w:val="24"/>
        </w:rPr>
      </w:pPr>
    </w:p>
    <w:p w:rsidR="00922632" w:rsidRPr="003076BB" w:rsidRDefault="00922632" w:rsidP="00922632">
      <w:pPr>
        <w:tabs>
          <w:tab w:val="left" w:pos="284"/>
        </w:tabs>
        <w:overflowPunct/>
        <w:jc w:val="both"/>
        <w:textAlignment w:val="auto"/>
        <w:rPr>
          <w:rFonts w:ascii="Calibri" w:hAnsi="Calibri" w:cs="Calibri"/>
          <w:szCs w:val="24"/>
        </w:rPr>
      </w:pPr>
      <w:r w:rsidRPr="003076BB">
        <w:rPr>
          <w:rFonts w:ascii="Calibri" w:hAnsi="Calibri" w:cs="Calibri"/>
          <w:b/>
          <w:bCs/>
          <w:szCs w:val="24"/>
        </w:rPr>
        <w:t>7. Uchybienia w dotychczas prowadzonej działalności w zakresie gier hazardowych, potwierdzone przez organ udzielający koncesji, zezwolenia lub innego zezwolenia w zakresie gier hazardowych lub organ właściwy w sprawach kontroli w okresie ostatnich trzech lat kalendarzowych poprzedzających rok, w którym z</w:t>
      </w:r>
      <w:r w:rsidR="00EA1EFE" w:rsidRPr="003076BB">
        <w:rPr>
          <w:rFonts w:ascii="Calibri" w:hAnsi="Calibri" w:cs="Calibri"/>
          <w:b/>
          <w:bCs/>
          <w:szCs w:val="24"/>
        </w:rPr>
        <w:t xml:space="preserve">ostało ogłoszone zawiadomienie </w:t>
      </w:r>
      <w:r w:rsidRPr="003076BB">
        <w:rPr>
          <w:rFonts w:ascii="Calibri" w:hAnsi="Calibri" w:cs="Calibri"/>
          <w:b/>
          <w:bCs/>
          <w:szCs w:val="24"/>
        </w:rPr>
        <w:t>o przetargu:</w:t>
      </w:r>
    </w:p>
    <w:p w:rsidR="00922632" w:rsidRPr="003076BB" w:rsidRDefault="00922632" w:rsidP="00922632">
      <w:pPr>
        <w:tabs>
          <w:tab w:val="left" w:pos="284"/>
        </w:tabs>
        <w:overflowPunct/>
        <w:jc w:val="both"/>
        <w:textAlignment w:val="auto"/>
        <w:rPr>
          <w:rFonts w:ascii="Calibri" w:hAnsi="Calibri" w:cs="Calibri"/>
          <w:szCs w:val="24"/>
        </w:rPr>
      </w:pPr>
      <w:r w:rsidRPr="003076BB">
        <w:rPr>
          <w:rFonts w:ascii="Calibri" w:hAnsi="Calibri" w:cs="Calibri"/>
          <w:szCs w:val="24"/>
        </w:rPr>
        <w:t>1)</w:t>
      </w:r>
      <w:r w:rsidRPr="003076BB">
        <w:rPr>
          <w:rFonts w:ascii="Calibri" w:hAnsi="Calibri" w:cs="Calibri"/>
          <w:szCs w:val="24"/>
        </w:rPr>
        <w:tab/>
        <w:t>1 pkt – w przypadku gdy nie stwierdzono uchybień, które w tym okresie zostały potwierdzone, oraz w przypadku podmiotów, które w tym okresie nie prowadziły działalności w zakresie gier hazardowych;</w:t>
      </w:r>
    </w:p>
    <w:p w:rsidR="00922632" w:rsidRPr="003076BB" w:rsidRDefault="00922632" w:rsidP="00922632">
      <w:pPr>
        <w:tabs>
          <w:tab w:val="left" w:pos="284"/>
        </w:tabs>
        <w:overflowPunct/>
        <w:jc w:val="both"/>
        <w:textAlignment w:val="auto"/>
        <w:rPr>
          <w:rFonts w:ascii="Calibri" w:hAnsi="Calibri" w:cs="Calibri"/>
          <w:szCs w:val="24"/>
        </w:rPr>
      </w:pPr>
      <w:r w:rsidRPr="003076BB">
        <w:rPr>
          <w:rFonts w:ascii="Calibri" w:hAnsi="Calibri" w:cs="Calibri"/>
          <w:szCs w:val="24"/>
        </w:rPr>
        <w:t>2)</w:t>
      </w:r>
      <w:r w:rsidRPr="003076BB">
        <w:rPr>
          <w:rFonts w:ascii="Calibri" w:hAnsi="Calibri" w:cs="Calibri"/>
          <w:szCs w:val="24"/>
        </w:rPr>
        <w:tab/>
        <w:t>0 pkt – w przypadku gdy stwierdzono uchybienia, które w tym okresie zostały potwierdzone.</w:t>
      </w:r>
    </w:p>
    <w:p w:rsidR="00922632" w:rsidRPr="003076BB" w:rsidRDefault="00922632" w:rsidP="00922632">
      <w:pPr>
        <w:tabs>
          <w:tab w:val="left" w:pos="284"/>
        </w:tabs>
        <w:overflowPunct/>
        <w:jc w:val="both"/>
        <w:textAlignment w:val="auto"/>
        <w:rPr>
          <w:rFonts w:ascii="Calibri" w:hAnsi="Calibri" w:cs="Calibri"/>
          <w:szCs w:val="24"/>
        </w:rPr>
      </w:pPr>
    </w:p>
    <w:p w:rsidR="00922632" w:rsidRPr="003076BB" w:rsidRDefault="00922632" w:rsidP="00922632">
      <w:pPr>
        <w:overflowPunct/>
        <w:jc w:val="both"/>
        <w:textAlignment w:val="auto"/>
        <w:rPr>
          <w:rFonts w:ascii="Calibri" w:hAnsi="Calibri" w:cs="Calibri"/>
          <w:szCs w:val="24"/>
        </w:rPr>
      </w:pPr>
      <w:r w:rsidRPr="003076BB">
        <w:rPr>
          <w:rFonts w:ascii="Calibri" w:hAnsi="Calibri" w:cs="Calibri"/>
          <w:b/>
          <w:bCs/>
          <w:szCs w:val="24"/>
        </w:rPr>
        <w:t>8. Rentowność (wynik netto w każdym z ostatnich trzech lat działalności):</w:t>
      </w:r>
    </w:p>
    <w:p w:rsidR="00922632" w:rsidRPr="003076BB" w:rsidRDefault="00922632" w:rsidP="00922632">
      <w:pPr>
        <w:tabs>
          <w:tab w:val="left" w:pos="284"/>
        </w:tabs>
        <w:overflowPunct/>
        <w:jc w:val="both"/>
        <w:textAlignment w:val="auto"/>
        <w:rPr>
          <w:rFonts w:ascii="Calibri" w:hAnsi="Calibri" w:cs="Calibri"/>
          <w:szCs w:val="24"/>
        </w:rPr>
      </w:pPr>
      <w:r w:rsidRPr="003076BB">
        <w:rPr>
          <w:rFonts w:ascii="Calibri" w:hAnsi="Calibri" w:cs="Calibri"/>
          <w:szCs w:val="24"/>
        </w:rPr>
        <w:t>1)</w:t>
      </w:r>
      <w:r w:rsidRPr="003076BB">
        <w:rPr>
          <w:rFonts w:ascii="Calibri" w:hAnsi="Calibri" w:cs="Calibri"/>
          <w:szCs w:val="24"/>
        </w:rPr>
        <w:tab/>
        <w:t>2 pkt – w przypadku wyniku dodatniego;</w:t>
      </w:r>
    </w:p>
    <w:p w:rsidR="00922632" w:rsidRPr="003076BB" w:rsidRDefault="00922632" w:rsidP="00922632">
      <w:pPr>
        <w:tabs>
          <w:tab w:val="left" w:pos="284"/>
        </w:tabs>
        <w:overflowPunct/>
        <w:jc w:val="both"/>
        <w:textAlignment w:val="auto"/>
        <w:rPr>
          <w:rFonts w:ascii="Calibri" w:hAnsi="Calibri" w:cs="Calibri"/>
          <w:szCs w:val="24"/>
        </w:rPr>
      </w:pPr>
      <w:r w:rsidRPr="003076BB">
        <w:rPr>
          <w:rFonts w:ascii="Calibri" w:hAnsi="Calibri" w:cs="Calibri"/>
          <w:szCs w:val="24"/>
        </w:rPr>
        <w:t>2)</w:t>
      </w:r>
      <w:r w:rsidRPr="003076BB">
        <w:rPr>
          <w:rFonts w:ascii="Calibri" w:hAnsi="Calibri" w:cs="Calibri"/>
          <w:szCs w:val="24"/>
        </w:rPr>
        <w:tab/>
        <w:t>1 pkt – w przypadku podmiotów, co do których nie można ustalić wyniku netto w trzech ostatnich latach działalności;</w:t>
      </w:r>
    </w:p>
    <w:p w:rsidR="00922632" w:rsidRPr="003076BB" w:rsidRDefault="00922632" w:rsidP="00922632">
      <w:pPr>
        <w:tabs>
          <w:tab w:val="left" w:pos="284"/>
        </w:tabs>
        <w:overflowPunct/>
        <w:jc w:val="both"/>
        <w:textAlignment w:val="auto"/>
        <w:rPr>
          <w:rFonts w:ascii="Calibri" w:hAnsi="Calibri" w:cs="Calibri"/>
          <w:szCs w:val="24"/>
        </w:rPr>
      </w:pPr>
      <w:r w:rsidRPr="003076BB">
        <w:rPr>
          <w:rFonts w:ascii="Calibri" w:hAnsi="Calibri" w:cs="Calibri"/>
          <w:szCs w:val="24"/>
        </w:rPr>
        <w:t>3)</w:t>
      </w:r>
      <w:r w:rsidRPr="003076BB">
        <w:rPr>
          <w:rFonts w:ascii="Calibri" w:hAnsi="Calibri" w:cs="Calibri"/>
          <w:szCs w:val="24"/>
        </w:rPr>
        <w:tab/>
        <w:t>0 pkt – w przypadku wyniku ujemnego.</w:t>
      </w:r>
    </w:p>
    <w:p w:rsidR="00922632" w:rsidRPr="003076BB" w:rsidRDefault="00922632" w:rsidP="00922632">
      <w:pPr>
        <w:tabs>
          <w:tab w:val="left" w:pos="284"/>
        </w:tabs>
        <w:overflowPunct/>
        <w:jc w:val="both"/>
        <w:textAlignment w:val="auto"/>
        <w:rPr>
          <w:rFonts w:ascii="Calibri" w:hAnsi="Calibri" w:cs="Calibri"/>
          <w:szCs w:val="24"/>
        </w:rPr>
      </w:pPr>
    </w:p>
    <w:p w:rsidR="00922632" w:rsidRPr="003076BB" w:rsidRDefault="00922632" w:rsidP="00922632">
      <w:pPr>
        <w:pStyle w:val="NormalnyWeb"/>
        <w:jc w:val="both"/>
        <w:rPr>
          <w:rFonts w:ascii="Calibri" w:hAnsi="Calibri" w:cs="Calibri"/>
          <w:b/>
          <w:color w:val="auto"/>
          <w:sz w:val="24"/>
          <w:szCs w:val="24"/>
        </w:rPr>
      </w:pPr>
      <w:r w:rsidRPr="003076BB">
        <w:rPr>
          <w:rFonts w:ascii="Calibri" w:hAnsi="Calibri" w:cs="Calibri"/>
          <w:b/>
          <w:color w:val="auto"/>
          <w:sz w:val="24"/>
          <w:szCs w:val="24"/>
        </w:rPr>
        <w:t>9. Doświadczenie na rynku gier hazardowych:</w:t>
      </w:r>
    </w:p>
    <w:p w:rsidR="00922632" w:rsidRPr="003076BB" w:rsidRDefault="00922632" w:rsidP="00922632">
      <w:pPr>
        <w:tabs>
          <w:tab w:val="left" w:pos="284"/>
        </w:tabs>
        <w:overflowPunct/>
        <w:jc w:val="both"/>
        <w:textAlignment w:val="auto"/>
        <w:rPr>
          <w:rFonts w:ascii="Calibri" w:hAnsi="Calibri" w:cs="Calibri"/>
          <w:szCs w:val="24"/>
        </w:rPr>
      </w:pPr>
      <w:r w:rsidRPr="003076BB">
        <w:rPr>
          <w:rFonts w:ascii="Calibri" w:hAnsi="Calibri" w:cs="Calibri"/>
          <w:szCs w:val="24"/>
        </w:rPr>
        <w:t>1)</w:t>
      </w:r>
      <w:r w:rsidRPr="003076BB">
        <w:rPr>
          <w:rFonts w:ascii="Calibri" w:hAnsi="Calibri" w:cs="Calibri"/>
          <w:szCs w:val="24"/>
        </w:rPr>
        <w:tab/>
        <w:t>1 pkt – w przypadku gdy podmiot posiada doświadczenie na rynku gier hazardowych;</w:t>
      </w:r>
    </w:p>
    <w:p w:rsidR="00922632" w:rsidRPr="003076BB" w:rsidRDefault="00922632" w:rsidP="00922632">
      <w:pPr>
        <w:tabs>
          <w:tab w:val="left" w:pos="284"/>
        </w:tabs>
        <w:overflowPunct/>
        <w:jc w:val="both"/>
        <w:textAlignment w:val="auto"/>
        <w:rPr>
          <w:rFonts w:ascii="Calibri" w:hAnsi="Calibri" w:cs="Calibri"/>
          <w:szCs w:val="24"/>
        </w:rPr>
      </w:pPr>
      <w:r w:rsidRPr="003076BB">
        <w:rPr>
          <w:rFonts w:ascii="Calibri" w:hAnsi="Calibri" w:cs="Calibri"/>
          <w:szCs w:val="24"/>
        </w:rPr>
        <w:t>2)</w:t>
      </w:r>
      <w:r w:rsidRPr="003076BB">
        <w:rPr>
          <w:rFonts w:ascii="Calibri" w:hAnsi="Calibri" w:cs="Calibri"/>
          <w:szCs w:val="24"/>
        </w:rPr>
        <w:tab/>
        <w:t>0 pkt – w przypadku gdy podmiot nie posiada doświadczenia na rynku gier hazardowych.</w:t>
      </w:r>
    </w:p>
    <w:p w:rsidR="00922632" w:rsidRPr="003076BB" w:rsidRDefault="00922632" w:rsidP="00922632">
      <w:pPr>
        <w:tabs>
          <w:tab w:val="left" w:pos="284"/>
        </w:tabs>
        <w:overflowPunct/>
        <w:jc w:val="both"/>
        <w:textAlignment w:val="auto"/>
        <w:rPr>
          <w:rFonts w:ascii="Calibri" w:hAnsi="Calibri" w:cs="Calibri"/>
          <w:szCs w:val="24"/>
        </w:rPr>
      </w:pPr>
    </w:p>
    <w:p w:rsidR="00922632" w:rsidRPr="003076BB" w:rsidRDefault="00922632" w:rsidP="00922632">
      <w:pPr>
        <w:pStyle w:val="NormalnyWeb"/>
        <w:jc w:val="both"/>
        <w:rPr>
          <w:rFonts w:ascii="Calibri" w:hAnsi="Calibri" w:cs="Calibri"/>
          <w:b/>
          <w:bCs/>
          <w:color w:val="auto"/>
          <w:sz w:val="24"/>
        </w:rPr>
      </w:pPr>
      <w:r w:rsidRPr="003076BB">
        <w:rPr>
          <w:rFonts w:ascii="Calibri" w:hAnsi="Calibri" w:cs="Calibri"/>
          <w:b/>
          <w:bCs/>
          <w:color w:val="auto"/>
          <w:sz w:val="24"/>
        </w:rPr>
        <w:t xml:space="preserve">10. Stwierdzone przez organ udzielający koncesji lub zezwolenia lub organ właściwy w sprawach kontroli niedotrzymanie warunków deklarowanych w ofercie, w zakresie kryteriów oceny ofert, o których mowa w ust. 1 pkt 1, 3 i 3b przez podmiot, który uzyskał koncesję lub zezwolenie </w:t>
      </w:r>
      <w:r w:rsidR="00E07B38">
        <w:rPr>
          <w:rFonts w:ascii="Calibri" w:hAnsi="Calibri" w:cs="Calibri"/>
          <w:b/>
          <w:bCs/>
          <w:color w:val="auto"/>
          <w:sz w:val="24"/>
        </w:rPr>
        <w:br/>
      </w:r>
      <w:r w:rsidRPr="003076BB">
        <w:rPr>
          <w:rFonts w:ascii="Calibri" w:hAnsi="Calibri" w:cs="Calibri"/>
          <w:b/>
          <w:bCs/>
          <w:color w:val="auto"/>
          <w:sz w:val="24"/>
        </w:rPr>
        <w:t xml:space="preserve">w wyniku przetargu, w okresie trzech lat od uzyskania koncesji lub zezwolenia, przy czym stwierdzone niedotrzymanie warunków deklarowanych w ofercie bierze się pod uwagę </w:t>
      </w:r>
      <w:r w:rsidR="00E07B38">
        <w:rPr>
          <w:rFonts w:ascii="Calibri" w:hAnsi="Calibri" w:cs="Calibri"/>
          <w:b/>
          <w:bCs/>
          <w:color w:val="auto"/>
          <w:sz w:val="24"/>
        </w:rPr>
        <w:br/>
      </w:r>
      <w:r w:rsidRPr="003076BB">
        <w:rPr>
          <w:rFonts w:ascii="Calibri" w:hAnsi="Calibri" w:cs="Calibri"/>
          <w:b/>
          <w:bCs/>
          <w:color w:val="auto"/>
          <w:sz w:val="24"/>
        </w:rPr>
        <w:t>w przetargach ogłoszonych w okresie sześciu lat od uzyskania koncesji lub zezwolenia:</w:t>
      </w:r>
    </w:p>
    <w:p w:rsidR="00922632" w:rsidRPr="003076BB" w:rsidRDefault="00922632" w:rsidP="00922632">
      <w:pPr>
        <w:pStyle w:val="NormalnyWeb"/>
        <w:jc w:val="both"/>
        <w:rPr>
          <w:rFonts w:ascii="Calibri" w:hAnsi="Calibri" w:cs="Calibri"/>
          <w:bCs/>
          <w:color w:val="auto"/>
          <w:sz w:val="24"/>
        </w:rPr>
      </w:pPr>
      <w:r w:rsidRPr="003076BB">
        <w:rPr>
          <w:rFonts w:ascii="Calibri" w:hAnsi="Calibri" w:cs="Calibri"/>
          <w:bCs/>
          <w:color w:val="auto"/>
          <w:sz w:val="24"/>
        </w:rPr>
        <w:t>1) 2 pkt – w przypadku gdy nie stwierdzono niedotrzymania warunków deklarowanych w ofercie przez podmiot bądź podmioty ubiegające się o udzielenie koncesji lub zezwolenia;</w:t>
      </w:r>
    </w:p>
    <w:p w:rsidR="00922632" w:rsidRPr="003076BB" w:rsidRDefault="00922632" w:rsidP="00922632">
      <w:pPr>
        <w:pStyle w:val="NormalnyWeb"/>
        <w:jc w:val="both"/>
        <w:rPr>
          <w:rFonts w:ascii="Calibri" w:hAnsi="Calibri" w:cs="Calibri"/>
          <w:bCs/>
          <w:color w:val="auto"/>
          <w:sz w:val="24"/>
        </w:rPr>
      </w:pPr>
      <w:r w:rsidRPr="003076BB">
        <w:rPr>
          <w:rFonts w:ascii="Calibri" w:hAnsi="Calibri" w:cs="Calibri"/>
          <w:bCs/>
          <w:color w:val="auto"/>
          <w:sz w:val="24"/>
        </w:rPr>
        <w:t>2) 1 pkt – w przypadku podmiotów, które dotychczas nie uzyskały koncesji lub zezwolenia w wyniku przetargu, w tym dotychczas nie przystępowały do przetargu, lub uzyskały koncesję lub zezwolenie w wyniku przetargu w innym okresie;</w:t>
      </w:r>
    </w:p>
    <w:p w:rsidR="00922632" w:rsidRPr="003076BB" w:rsidRDefault="00922632" w:rsidP="00922632">
      <w:pPr>
        <w:pStyle w:val="NormalnyWeb"/>
        <w:jc w:val="both"/>
        <w:rPr>
          <w:rFonts w:ascii="Calibri" w:hAnsi="Calibri" w:cs="Calibri"/>
          <w:color w:val="auto"/>
          <w:sz w:val="24"/>
          <w:szCs w:val="24"/>
        </w:rPr>
      </w:pPr>
      <w:r w:rsidRPr="003076BB">
        <w:rPr>
          <w:rFonts w:ascii="Calibri" w:hAnsi="Calibri" w:cs="Calibri"/>
          <w:bCs/>
          <w:color w:val="auto"/>
          <w:sz w:val="24"/>
        </w:rPr>
        <w:t xml:space="preserve">3) 0 pkt – w przypadku gdy stwierdzono co najmniej jeden przypadek niedotrzymania warunków deklarowanych w ofercie przez podmiot bądź podmioty ubiegające się o udzielenie koncesji </w:t>
      </w:r>
      <w:r w:rsidR="00E07B38">
        <w:rPr>
          <w:rFonts w:ascii="Calibri" w:hAnsi="Calibri" w:cs="Calibri"/>
          <w:bCs/>
          <w:color w:val="auto"/>
          <w:sz w:val="24"/>
        </w:rPr>
        <w:br/>
      </w:r>
      <w:r w:rsidRPr="003076BB">
        <w:rPr>
          <w:rFonts w:ascii="Calibri" w:hAnsi="Calibri" w:cs="Calibri"/>
          <w:bCs/>
          <w:color w:val="auto"/>
          <w:sz w:val="24"/>
        </w:rPr>
        <w:t xml:space="preserve">lub </w:t>
      </w:r>
      <w:r w:rsidRPr="003076BB">
        <w:rPr>
          <w:rFonts w:ascii="Calibri" w:hAnsi="Calibri" w:cs="Calibri"/>
          <w:bCs/>
          <w:color w:val="auto"/>
          <w:sz w:val="24"/>
          <w:szCs w:val="24"/>
        </w:rPr>
        <w:t>zezwolenia</w:t>
      </w:r>
      <w:r w:rsidRPr="003076BB">
        <w:rPr>
          <w:rFonts w:ascii="Calibri" w:hAnsi="Calibri" w:cs="Calibri"/>
          <w:color w:val="auto"/>
          <w:sz w:val="24"/>
          <w:szCs w:val="24"/>
        </w:rPr>
        <w:t>.</w:t>
      </w:r>
    </w:p>
    <w:sectPr w:rsidR="00922632" w:rsidRPr="003076BB" w:rsidSect="008C19F8">
      <w:footerReference w:type="default" r:id="rId7"/>
      <w:pgSz w:w="11906" w:h="16838"/>
      <w:pgMar w:top="993" w:right="1134" w:bottom="993" w:left="1134" w:header="709" w:footer="551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2264" w:rsidRDefault="006C2264">
      <w:r>
        <w:separator/>
      </w:r>
    </w:p>
  </w:endnote>
  <w:endnote w:type="continuationSeparator" w:id="0">
    <w:p w:rsidR="006C2264" w:rsidRDefault="006C22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PL">
    <w:altName w:val="Arial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23F3" w:rsidRPr="00C06CE5" w:rsidRDefault="00922632">
    <w:pPr>
      <w:pStyle w:val="Stopka"/>
      <w:jc w:val="center"/>
      <w:rPr>
        <w:rFonts w:ascii="Times New Roman" w:hAnsi="Times New Roman"/>
      </w:rPr>
    </w:pPr>
    <w:r w:rsidRPr="00C06CE5">
      <w:rPr>
        <w:rFonts w:ascii="Times New Roman" w:hAnsi="Times New Roman"/>
      </w:rPr>
      <w:fldChar w:fldCharType="begin"/>
    </w:r>
    <w:r w:rsidRPr="00C06CE5">
      <w:rPr>
        <w:rFonts w:ascii="Times New Roman" w:hAnsi="Times New Roman"/>
      </w:rPr>
      <w:instrText xml:space="preserve">\PAGE </w:instrText>
    </w:r>
    <w:r w:rsidRPr="00C06CE5">
      <w:rPr>
        <w:rFonts w:ascii="Times New Roman" w:hAnsi="Times New Roman"/>
      </w:rPr>
      <w:fldChar w:fldCharType="separate"/>
    </w:r>
    <w:r w:rsidR="00A03C77">
      <w:rPr>
        <w:rFonts w:ascii="Times New Roman" w:hAnsi="Times New Roman"/>
        <w:noProof/>
      </w:rPr>
      <w:t>3</w:t>
    </w:r>
    <w:r w:rsidRPr="00C06CE5"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2264" w:rsidRDefault="006C2264">
      <w:r>
        <w:separator/>
      </w:r>
    </w:p>
  </w:footnote>
  <w:footnote w:type="continuationSeparator" w:id="0">
    <w:p w:rsidR="006C2264" w:rsidRDefault="006C22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D47EF3"/>
    <w:multiLevelType w:val="hybridMultilevel"/>
    <w:tmpl w:val="00AC2332"/>
    <w:lvl w:ilvl="0" w:tplc="79E49C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632"/>
    <w:rsid w:val="0000552A"/>
    <w:rsid w:val="0000613F"/>
    <w:rsid w:val="00015E1D"/>
    <w:rsid w:val="000704A6"/>
    <w:rsid w:val="00091584"/>
    <w:rsid w:val="000B4767"/>
    <w:rsid w:val="000E447E"/>
    <w:rsid w:val="00120F8C"/>
    <w:rsid w:val="00123281"/>
    <w:rsid w:val="00123D92"/>
    <w:rsid w:val="00166531"/>
    <w:rsid w:val="001D0741"/>
    <w:rsid w:val="00207411"/>
    <w:rsid w:val="002173ED"/>
    <w:rsid w:val="00275A4D"/>
    <w:rsid w:val="00294A7A"/>
    <w:rsid w:val="002A0C41"/>
    <w:rsid w:val="002A31E7"/>
    <w:rsid w:val="002C6698"/>
    <w:rsid w:val="003076BB"/>
    <w:rsid w:val="003331E5"/>
    <w:rsid w:val="003C10C1"/>
    <w:rsid w:val="00444F23"/>
    <w:rsid w:val="00472B14"/>
    <w:rsid w:val="0047577C"/>
    <w:rsid w:val="004E7BEA"/>
    <w:rsid w:val="00502DCD"/>
    <w:rsid w:val="00515494"/>
    <w:rsid w:val="005F527F"/>
    <w:rsid w:val="006177F8"/>
    <w:rsid w:val="006A6A66"/>
    <w:rsid w:val="006C2264"/>
    <w:rsid w:val="00732C6F"/>
    <w:rsid w:val="007530F5"/>
    <w:rsid w:val="007563FA"/>
    <w:rsid w:val="007601E0"/>
    <w:rsid w:val="007F7CEC"/>
    <w:rsid w:val="00847676"/>
    <w:rsid w:val="008A7DF4"/>
    <w:rsid w:val="008C4DFC"/>
    <w:rsid w:val="00922632"/>
    <w:rsid w:val="00931D6E"/>
    <w:rsid w:val="009738EC"/>
    <w:rsid w:val="009E0AE1"/>
    <w:rsid w:val="00A01C33"/>
    <w:rsid w:val="00A026C4"/>
    <w:rsid w:val="00A03C77"/>
    <w:rsid w:val="00A10BE1"/>
    <w:rsid w:val="00A97789"/>
    <w:rsid w:val="00AA26A5"/>
    <w:rsid w:val="00B33DB3"/>
    <w:rsid w:val="00B37C2A"/>
    <w:rsid w:val="00B54091"/>
    <w:rsid w:val="00B90C00"/>
    <w:rsid w:val="00B916EC"/>
    <w:rsid w:val="00BC2415"/>
    <w:rsid w:val="00C07B41"/>
    <w:rsid w:val="00CA2441"/>
    <w:rsid w:val="00CF5CE4"/>
    <w:rsid w:val="00D02971"/>
    <w:rsid w:val="00D47C3A"/>
    <w:rsid w:val="00D53814"/>
    <w:rsid w:val="00D61C49"/>
    <w:rsid w:val="00DB2552"/>
    <w:rsid w:val="00E07B38"/>
    <w:rsid w:val="00E10BD5"/>
    <w:rsid w:val="00E252E0"/>
    <w:rsid w:val="00E269DF"/>
    <w:rsid w:val="00E40FD0"/>
    <w:rsid w:val="00E619C0"/>
    <w:rsid w:val="00EA1EFE"/>
    <w:rsid w:val="00F04B0B"/>
    <w:rsid w:val="00F15766"/>
    <w:rsid w:val="00FA29F3"/>
    <w:rsid w:val="00FB1216"/>
    <w:rsid w:val="00FC0580"/>
    <w:rsid w:val="00FE7DC2"/>
    <w:rsid w:val="00FF6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7FF2C33-4D7F-41E7-B202-82784600B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2263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 PL" w:eastAsia="Times New Roman" w:hAnsi="Arial PL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922632"/>
    <w:pPr>
      <w:tabs>
        <w:tab w:val="center" w:pos="4819"/>
        <w:tab w:val="right" w:pos="9071"/>
      </w:tabs>
    </w:pPr>
  </w:style>
  <w:style w:type="character" w:customStyle="1" w:styleId="StopkaZnak">
    <w:name w:val="Stopka Znak"/>
    <w:basedOn w:val="Domylnaczcionkaakapitu"/>
    <w:link w:val="Stopka"/>
    <w:rsid w:val="00922632"/>
    <w:rPr>
      <w:rFonts w:ascii="Arial PL" w:eastAsia="Times New Roman" w:hAnsi="Arial PL" w:cs="Times New Roman"/>
      <w:sz w:val="24"/>
      <w:szCs w:val="20"/>
      <w:lang w:eastAsia="pl-PL"/>
    </w:rPr>
  </w:style>
  <w:style w:type="paragraph" w:styleId="NormalnyWeb">
    <w:name w:val="Normal (Web)"/>
    <w:basedOn w:val="Normalny"/>
    <w:rsid w:val="00922632"/>
    <w:pPr>
      <w:overflowPunct/>
      <w:autoSpaceDE/>
      <w:autoSpaceDN/>
      <w:adjustRightInd/>
      <w:textAlignment w:val="auto"/>
    </w:pPr>
    <w:rPr>
      <w:rFonts w:ascii="Verdana" w:eastAsia="Arial Unicode MS" w:hAnsi="Verdana" w:cs="Arial Unicode MS"/>
      <w:color w:val="000000"/>
      <w:sz w:val="13"/>
      <w:szCs w:val="13"/>
    </w:rPr>
  </w:style>
  <w:style w:type="paragraph" w:customStyle="1" w:styleId="Default">
    <w:name w:val="Default"/>
    <w:rsid w:val="0092263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Bezodstpw">
    <w:name w:val="No Spacing"/>
    <w:uiPriority w:val="1"/>
    <w:qFormat/>
    <w:rsid w:val="0092263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1333</Words>
  <Characters>8000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Finansów</Company>
  <LinksUpToDate>false</LinksUpToDate>
  <CharactersWithSpaces>9315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Budnicka Larysa</dc:creator>
  <cp:lastModifiedBy>Polski Marek</cp:lastModifiedBy>
  <cp:revision>2</cp:revision>
  <dcterms:created xsi:type="dcterms:W3CDTF">2022-09-30T06:46:00Z</dcterms:created>
  <dcterms:modified xsi:type="dcterms:W3CDTF">2022-09-30T06:46:00Z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InformacjePubliczneInformacjeSektoraPublicznego</vt:lpwstr>
  </property>
  <property fmtid="{D5CDD505-2E9C-101B-9397-08002B2CF9AE}" pid="3" name="MFClassifiedBy">
    <vt:lpwstr>MF\ALBU;Budnicka Larysa</vt:lpwstr>
  </property>
  <property fmtid="{D5CDD505-2E9C-101B-9397-08002B2CF9AE}" pid="4" name="MFClassificationDate">
    <vt:lpwstr>2022-01-11T10:21:05.9323299+01:00</vt:lpwstr>
  </property>
  <property fmtid="{D5CDD505-2E9C-101B-9397-08002B2CF9AE}" pid="5" name="MFClassifiedBySID">
    <vt:lpwstr>MF\S-1-5-21-1525952054-1005573771-2909822258-5013</vt:lpwstr>
  </property>
  <property fmtid="{D5CDD505-2E9C-101B-9397-08002B2CF9AE}" pid="6" name="MFGRNItemId">
    <vt:lpwstr>GRN-06784442-7202-4549-8035-66e930ffe3f9</vt:lpwstr>
  </property>
  <property fmtid="{D5CDD505-2E9C-101B-9397-08002B2CF9AE}" pid="7" name="MFHash">
    <vt:lpwstr>laVgiFAh4TeQSarxnFljEdbo+0Zf1kJrF5Vf6gIMu/k=</vt:lpwstr>
  </property>
  <property fmtid="{D5CDD505-2E9C-101B-9397-08002B2CF9AE}" pid="8" name="DLPManualFileClassification">
    <vt:lpwstr>{2755b7d9-e53d-4779-a40c-03797dcf43b3}</vt:lpwstr>
  </property>
  <property fmtid="{D5CDD505-2E9C-101B-9397-08002B2CF9AE}" pid="9" name="MFRefresh">
    <vt:lpwstr>False</vt:lpwstr>
  </property>
</Properties>
</file>