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F476E" w14:textId="6FD1C906" w:rsidR="008020A4" w:rsidRPr="001E4730" w:rsidRDefault="001E4730" w:rsidP="008020A4">
      <w:pPr>
        <w:suppressAutoHyphens w:val="0"/>
        <w:spacing w:line="276" w:lineRule="auto"/>
        <w:jc w:val="right"/>
        <w:rPr>
          <w:rFonts w:ascii="Cambria" w:hAnsi="Cambria" w:cs="Calibri"/>
          <w:b/>
          <w:bCs/>
          <w:sz w:val="18"/>
          <w:szCs w:val="18"/>
        </w:rPr>
      </w:pPr>
      <w:bookmarkStart w:id="0" w:name="_Hlk47478150"/>
      <w:r w:rsidRPr="001E4730">
        <w:rPr>
          <w:rFonts w:ascii="Cambria" w:hAnsi="Cambria" w:cs="Calibri"/>
          <w:b/>
          <w:bCs/>
          <w:sz w:val="18"/>
          <w:szCs w:val="18"/>
        </w:rPr>
        <w:t>Załącznik nr 3.2 do SWZ</w:t>
      </w:r>
      <w:r w:rsidR="008020A4" w:rsidRPr="001E4730">
        <w:rPr>
          <w:rFonts w:ascii="Cambria" w:hAnsi="Cambria" w:cs="Calibri"/>
          <w:b/>
          <w:bCs/>
          <w:sz w:val="18"/>
          <w:szCs w:val="18"/>
        </w:rPr>
        <w:t xml:space="preserve"> </w:t>
      </w:r>
    </w:p>
    <w:p w14:paraId="4FBA3BF0" w14:textId="77777777" w:rsidR="008020A4" w:rsidRDefault="008020A4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EC625BC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B4BC7B6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43FD4AE1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7A90B7E5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A1ED245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175306E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C67D2AB" w14:textId="77777777" w:rsidR="001E4730" w:rsidRDefault="001E4730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8EF9ACF" w14:textId="17CFDD41" w:rsidR="005E64B5" w:rsidRPr="001E4730" w:rsidRDefault="005E64B5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1E4730">
        <w:rPr>
          <w:rFonts w:ascii="Cambria" w:hAnsi="Cambria" w:cs="Calibri"/>
          <w:b/>
          <w:bCs/>
          <w:sz w:val="28"/>
          <w:szCs w:val="28"/>
        </w:rPr>
        <w:t>Regionalny Opis standardu technologii wykonawstwa prac leśnych</w:t>
      </w:r>
      <w:bookmarkEnd w:id="0"/>
    </w:p>
    <w:p w14:paraId="0B12C594" w14:textId="77777777" w:rsidR="005E64B5" w:rsidRPr="001E4730" w:rsidRDefault="005E64B5" w:rsidP="008020A4">
      <w:pPr>
        <w:suppressAutoHyphens w:val="0"/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1E4730">
        <w:rPr>
          <w:rFonts w:ascii="Cambria" w:hAnsi="Cambria" w:cs="Calibri"/>
          <w:b/>
          <w:bCs/>
          <w:sz w:val="28"/>
          <w:szCs w:val="28"/>
        </w:rPr>
        <w:t>obowiązujący w Regionalnej Dyrekcji Lasów Państwowych w Poznaniu</w:t>
      </w:r>
    </w:p>
    <w:p w14:paraId="14C4707D" w14:textId="77777777" w:rsidR="000F03FE" w:rsidRDefault="000F03FE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5458A380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7D71630F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43F0D8CC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3B95E803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761736D1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34E4AE76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2C7A6B87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1E32FCB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278079F8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8D6EE81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698FD840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76DDA9A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5E4839D7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EC576B7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56DFE4B0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66B98B94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2EF9194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7F5931AD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257E2BEC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4A866647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4734CA55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577A7A72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938DA71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387785DA" w14:textId="77777777" w:rsidR="001E4730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0A2A2B46" w14:textId="77777777" w:rsidR="001E4730" w:rsidRPr="000F03FE" w:rsidRDefault="001E4730" w:rsidP="000F03FE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</w:p>
    <w:p w14:paraId="4F1C2C13" w14:textId="77563897" w:rsidR="000F03FE" w:rsidRPr="00B5172B" w:rsidRDefault="000F03FE" w:rsidP="00B5172B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B5172B">
        <w:rPr>
          <w:rFonts w:ascii="Cambria" w:eastAsia="Calibri" w:hAnsi="Cambria"/>
          <w:b/>
          <w:sz w:val="22"/>
          <w:szCs w:val="22"/>
          <w:lang w:eastAsia="en-US"/>
        </w:rPr>
        <w:t xml:space="preserve"> Wyjmowanie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0F03FE" w:rsidRPr="000F03FE" w14:paraId="4E9563D0" w14:textId="77777777" w:rsidTr="004A7AE1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6D3A561" w14:textId="77777777" w:rsidR="000F03FE" w:rsidRPr="000F03FE" w:rsidRDefault="000F03FE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F03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7C30DD" w14:textId="77777777" w:rsidR="000F03FE" w:rsidRPr="000F03FE" w:rsidRDefault="000F03FE" w:rsidP="004A7AE1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F03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76B51B9" w14:textId="77777777" w:rsidR="000F03FE" w:rsidRPr="000F03FE" w:rsidRDefault="000F03FE" w:rsidP="004A7AE1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F03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B2AEBF8" w14:textId="77777777" w:rsidR="000F03FE" w:rsidRPr="000F03FE" w:rsidRDefault="000F03FE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F03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8AB4C28" w14:textId="77777777" w:rsidR="000F03FE" w:rsidRPr="000F03FE" w:rsidRDefault="000F03FE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F03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F03FE" w:rsidRPr="000F03FE" w14:paraId="2F69B364" w14:textId="77777777" w:rsidTr="004A7AE1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422EEC3" w14:textId="6D51992D" w:rsidR="000F03FE" w:rsidRPr="000F03FE" w:rsidRDefault="00186E8A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B2EA4A0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WYJ-POJR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76E7CA5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WYJ-POJR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4B09CB5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Wyjmowanie sadzonek z pojemników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678B2A2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  <w:tr w:rsidR="000F03FE" w:rsidRPr="000F03FE" w14:paraId="1597337F" w14:textId="77777777" w:rsidTr="004A7AE1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513C232" w14:textId="12E0BC98" w:rsidR="000F03FE" w:rsidRPr="000F03FE" w:rsidRDefault="00186E8A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20DBAD9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CZY-POJR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C609FF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CZY-POJR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F7A5C72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Czyszczenie pojemników po wyjęciu sadzonek</w:t>
            </w: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</w:t>
            </w:r>
            <w:r w:rsidRPr="005C600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ręczne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4394EF7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TSZT KONT.</w:t>
            </w:r>
          </w:p>
        </w:tc>
      </w:tr>
      <w:tr w:rsidR="000F03FE" w:rsidRPr="000F03FE" w14:paraId="4942F16C" w14:textId="77777777" w:rsidTr="004A7AE1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49F59D7" w14:textId="30911FC1" w:rsidR="000F03FE" w:rsidRPr="000F03FE" w:rsidRDefault="00186E8A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0466A9E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PAK-SADZ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874FD40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PAK-SADZ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244F85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Pakowanie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B0BA843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  <w:tr w:rsidR="000F03FE" w:rsidRPr="000F03FE" w14:paraId="36D4038D" w14:textId="77777777" w:rsidTr="004A7AE1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834A955" w14:textId="07245B32" w:rsidR="000F03FE" w:rsidRPr="000F03FE" w:rsidRDefault="00186E8A" w:rsidP="004A7AE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750E757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WYJ-POJL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5C7B6B1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WYJ-POJL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9B88616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Wyjmowanie sadzonek na linii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6FCAF0A" w14:textId="77777777" w:rsidR="000F03FE" w:rsidRPr="000F03FE" w:rsidRDefault="000F03FE" w:rsidP="004A7AE1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F03FE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</w:tbl>
    <w:p w14:paraId="7E9907CB" w14:textId="77777777" w:rsidR="000F03FE" w:rsidRPr="000F03FE" w:rsidRDefault="000F03FE" w:rsidP="000F03FE">
      <w:pPr>
        <w:suppressAutoHyphens w:val="0"/>
        <w:spacing w:after="160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FCCF334" w14:textId="77777777" w:rsidR="000F03FE" w:rsidRPr="000F03FE" w:rsidRDefault="000F03FE" w:rsidP="000F03FE">
      <w:pPr>
        <w:suppressAutoHyphens w:val="0"/>
        <w:jc w:val="both"/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  <w:t>Standard technologii prac obejmuje:</w:t>
      </w:r>
    </w:p>
    <w:p w14:paraId="049AE07F" w14:textId="77777777" w:rsidR="000F03FE" w:rsidRPr="000F03FE" w:rsidRDefault="000F03FE" w:rsidP="000F03FE">
      <w:pPr>
        <w:suppressAutoHyphens w:val="0"/>
        <w:jc w:val="both"/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</w:pPr>
    </w:p>
    <w:p w14:paraId="44A30A01" w14:textId="77777777" w:rsidR="000F03FE" w:rsidRPr="000F03FE" w:rsidRDefault="000F03FE" w:rsidP="000F03FE">
      <w:pPr>
        <w:suppressAutoHyphens w:val="0"/>
        <w:spacing w:after="140"/>
        <w:ind w:left="340" w:hanging="3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wyjmowanie sadzonek bez wykorzystania linii do wyjmowania, ręczne na kwaterze lub w bloku foliowym </w:t>
      </w:r>
    </w:p>
    <w:p w14:paraId="3DC3A619" w14:textId="77777777" w:rsidR="000F03FE" w:rsidRPr="000F03FE" w:rsidRDefault="000F03FE" w:rsidP="000F03FE">
      <w:pPr>
        <w:suppressAutoHyphens w:val="0"/>
        <w:spacing w:after="140"/>
        <w:ind w:left="170" w:hanging="17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- czyszczenie pojemników ręczne bez wykorzystania modułu myjącego</w:t>
      </w:r>
    </w:p>
    <w:p w14:paraId="15C7EFD7" w14:textId="77777777" w:rsidR="000F03FE" w:rsidRPr="000F03FE" w:rsidRDefault="000F03FE" w:rsidP="000F03FE">
      <w:pPr>
        <w:suppressAutoHyphens w:val="0"/>
        <w:spacing w:after="140"/>
        <w:ind w:left="340" w:hanging="34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pakowanie sadzonek z bryłką do worków </w:t>
      </w:r>
    </w:p>
    <w:p w14:paraId="3248CE05" w14:textId="77777777" w:rsidR="000F03FE" w:rsidRPr="000F03FE" w:rsidRDefault="000F03FE" w:rsidP="000F03FE">
      <w:pPr>
        <w:suppressAutoHyphens w:val="0"/>
        <w:spacing w:after="140"/>
        <w:ind w:left="340" w:hanging="34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wyjmowanie sadzonek z wykorzystaniem linii do wyjmowania sadzonek </w:t>
      </w:r>
    </w:p>
    <w:p w14:paraId="2E145129" w14:textId="77777777" w:rsidR="000F03FE" w:rsidRPr="000F03FE" w:rsidRDefault="000F03FE" w:rsidP="000F03FE">
      <w:pPr>
        <w:suppressAutoHyphens w:val="0"/>
        <w:spacing w:after="1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- uprzątnięcie stanowiska pracy na koniec dnia roboczego</w:t>
      </w:r>
    </w:p>
    <w:p w14:paraId="5EB4E647" w14:textId="68B30925" w:rsidR="000F03FE" w:rsidRPr="0037164F" w:rsidRDefault="000F03FE" w:rsidP="0037164F">
      <w:pPr>
        <w:suppressAutoHyphens w:val="0"/>
        <w:spacing w:after="1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Urządzenia i materiały niezbędne do wyjęcia i pakowania zapewnia Zamawiający.</w:t>
      </w:r>
    </w:p>
    <w:p w14:paraId="5CF3275B" w14:textId="77777777" w:rsidR="000F03FE" w:rsidRPr="000F03FE" w:rsidRDefault="000F03FE" w:rsidP="000F03FE">
      <w:pPr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  <w:t>Procedura odbioru:</w:t>
      </w:r>
    </w:p>
    <w:p w14:paraId="67B8058C" w14:textId="19B9AB78" w:rsidR="0037164F" w:rsidRPr="0037164F" w:rsidRDefault="000F03FE" w:rsidP="000F03FE">
      <w:pPr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 pojemników.</w:t>
      </w:r>
    </w:p>
    <w:p w14:paraId="4C8DDEE3" w14:textId="79AC7936" w:rsidR="0037164F" w:rsidRPr="000F03FE" w:rsidRDefault="000F03FE" w:rsidP="000F03FE">
      <w:pPr>
        <w:suppressAutoHyphens w:val="0"/>
        <w:spacing w:after="16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0F03FE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Odbiór prac nastąpi poprzez sprawdzenie prawidłowości i jakości wykonania prac z opisem czynności i zleceniem oraz poprzez określenie ilości wykonanych jednostek poprzez ich policzenie.</w:t>
      </w:r>
    </w:p>
    <w:p w14:paraId="75CE530B" w14:textId="0ECACCE9" w:rsidR="00AD02AB" w:rsidRPr="00AD02AB" w:rsidRDefault="00AD02AB" w:rsidP="00D24DCA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sz w:val="22"/>
          <w:szCs w:val="22"/>
          <w:lang w:eastAsia="pl-PL"/>
        </w:rPr>
        <w:t>2</w:t>
      </w:r>
      <w:r w:rsidRPr="00AD02AB">
        <w:rPr>
          <w:rFonts w:ascii="Cambria" w:eastAsia="Calibri" w:hAnsi="Cambria" w:cs="Arial"/>
          <w:b/>
          <w:sz w:val="22"/>
          <w:szCs w:val="22"/>
          <w:lang w:eastAsia="pl-PL"/>
        </w:rPr>
        <w:t>. Pełnienie dyżuru ppoż</w:t>
      </w:r>
      <w:r w:rsidR="001E4730">
        <w:rPr>
          <w:rFonts w:ascii="Cambria" w:eastAsia="Calibri" w:hAnsi="Cambria" w:cs="Arial"/>
          <w:b/>
          <w:sz w:val="22"/>
          <w:szCs w:val="22"/>
          <w:lang w:eastAsia="pl-PL"/>
        </w:rPr>
        <w:t>.</w:t>
      </w:r>
    </w:p>
    <w:tbl>
      <w:tblPr>
        <w:tblStyle w:val="Tabela-Siatk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91"/>
        <w:gridCol w:w="1769"/>
        <w:gridCol w:w="2179"/>
        <w:gridCol w:w="2782"/>
        <w:gridCol w:w="1589"/>
      </w:tblGrid>
      <w:tr w:rsidR="00AD02AB" w:rsidRPr="00AD02AB" w14:paraId="74AAE735" w14:textId="77777777" w:rsidTr="00AD02AB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CB1B" w14:textId="77777777" w:rsidR="00AD02AB" w:rsidRPr="00AD02AB" w:rsidRDefault="00AD02AB" w:rsidP="00AD02AB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72E5" w14:textId="77777777" w:rsidR="00AD02AB" w:rsidRPr="00AD02AB" w:rsidRDefault="00AD02AB" w:rsidP="00AD02A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9BD9" w14:textId="77777777" w:rsidR="00AD02AB" w:rsidRPr="00AD02AB" w:rsidRDefault="00AD02AB" w:rsidP="00AD02AB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B9CF" w14:textId="77777777" w:rsidR="00AD02AB" w:rsidRPr="00AD02AB" w:rsidRDefault="00AD02AB" w:rsidP="00AD02A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1C35" w14:textId="77777777" w:rsidR="00AD02AB" w:rsidRPr="00AD02AB" w:rsidRDefault="00AD02AB" w:rsidP="00AD02A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D02AB" w:rsidRPr="00AD02AB" w14:paraId="18D33796" w14:textId="77777777" w:rsidTr="00AD02AB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C0CE" w14:textId="12CA45B6" w:rsidR="00AD02AB" w:rsidRPr="00AD02AB" w:rsidRDefault="00AD02AB" w:rsidP="00AD02AB">
            <w:pPr>
              <w:spacing w:before="240" w:after="240"/>
              <w:ind w:right="140"/>
              <w:jc w:val="center"/>
              <w:rPr>
                <w:rFonts w:ascii="Cambria" w:eastAsia="Cambria" w:hAnsi="Cambria" w:cs="Arial"/>
                <w:sz w:val="22"/>
                <w:szCs w:val="22"/>
              </w:rPr>
            </w:pPr>
            <w:r>
              <w:rPr>
                <w:rFonts w:ascii="Cambria" w:eastAsia="Cambria" w:hAnsi="Cambria" w:cs="Arial"/>
                <w:sz w:val="22"/>
                <w:szCs w:val="22"/>
              </w:rPr>
              <w:t>409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5960C" w14:textId="77777777" w:rsidR="00AD02AB" w:rsidRPr="00AD02AB" w:rsidRDefault="00AD02AB" w:rsidP="00AD02A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AD02AB">
              <w:rPr>
                <w:rFonts w:ascii="Cambria" w:eastAsia="Cambria" w:hAnsi="Cambria" w:cs="Arial"/>
                <w:sz w:val="22"/>
                <w:szCs w:val="22"/>
              </w:rPr>
              <w:t>P-DOST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23D3" w14:textId="77777777" w:rsidR="00AD02AB" w:rsidRPr="00AD02AB" w:rsidRDefault="00AD02AB" w:rsidP="00AD02A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AD02AB">
              <w:rPr>
                <w:rFonts w:ascii="Cambria" w:eastAsia="Cambria" w:hAnsi="Cambria" w:cs="Arial"/>
                <w:sz w:val="22"/>
                <w:szCs w:val="22"/>
              </w:rPr>
              <w:t>P-DOST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2AD9" w14:textId="77777777" w:rsidR="00AD02AB" w:rsidRPr="00AD02AB" w:rsidRDefault="00AD02AB" w:rsidP="00AD02AB">
            <w:pPr>
              <w:spacing w:before="240" w:after="240"/>
              <w:ind w:right="140"/>
              <w:rPr>
                <w:rFonts w:ascii="Cambria" w:eastAsia="Cambria" w:hAnsi="Cambria" w:cs="Arial"/>
                <w:sz w:val="22"/>
                <w:szCs w:val="22"/>
              </w:rPr>
            </w:pPr>
            <w:r w:rsidRPr="00AD02AB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Pełnienie dyżuru p.poż.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8E78" w14:textId="77777777" w:rsidR="00AD02AB" w:rsidRPr="00AD02AB" w:rsidRDefault="00AD02AB" w:rsidP="00AD02A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AD02AB">
              <w:rPr>
                <w:rFonts w:ascii="Cambria" w:eastAsia="Cambria" w:hAnsi="Cambria" w:cs="Arial"/>
                <w:sz w:val="22"/>
                <w:szCs w:val="22"/>
              </w:rPr>
              <w:t>H</w:t>
            </w:r>
          </w:p>
        </w:tc>
      </w:tr>
    </w:tbl>
    <w:p w14:paraId="4FB9D067" w14:textId="77777777" w:rsidR="0065160B" w:rsidRDefault="0065160B" w:rsidP="00AD02AB">
      <w:pPr>
        <w:spacing w:before="240" w:after="240"/>
        <w:ind w:right="14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082C7D" w14:textId="4BB0910F" w:rsidR="00AD02AB" w:rsidRPr="00AD02AB" w:rsidRDefault="00AD02AB" w:rsidP="00AD02AB">
      <w:pPr>
        <w:spacing w:before="240" w:after="240"/>
        <w:ind w:right="14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AD02AB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69F9DB0" w14:textId="77777777" w:rsidR="00AD02AB" w:rsidRPr="00AD02AB" w:rsidRDefault="00AD02AB" w:rsidP="00AD02AB">
      <w:pPr>
        <w:numPr>
          <w:ilvl w:val="0"/>
          <w:numId w:val="3"/>
        </w:numPr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AD02AB">
        <w:rPr>
          <w:rFonts w:ascii="Cambria" w:hAnsi="Cambria" w:cs="Arial"/>
          <w:sz w:val="22"/>
          <w:szCs w:val="22"/>
          <w:lang w:eastAsia="pl-PL"/>
        </w:rPr>
        <w:t>pełnienie dyżurów na dostrzegalni przeciwpożarowej oraz w Punkcie Alarmowo Dyspozycyjnym Nadleśnictwa zlokalizowanym przy siedzibie Nadleśnictwa.</w:t>
      </w:r>
    </w:p>
    <w:p w14:paraId="54714087" w14:textId="77777777" w:rsidR="00AD02AB" w:rsidRPr="00AD02AB" w:rsidRDefault="00AD02AB" w:rsidP="00AD02AB">
      <w:pPr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7C561D9" w14:textId="77777777" w:rsidR="00AD02AB" w:rsidRPr="00AD02AB" w:rsidRDefault="00AD02AB" w:rsidP="00AD02AB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D02AB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0A477D67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Wykonawca zobowiązany jest do zapewnienia szybkiej i sprawnej obsługi PAD/dostrzegalni.</w:t>
      </w:r>
    </w:p>
    <w:p w14:paraId="73A29B67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lastRenderedPageBreak/>
        <w:t>Wykonawca przez cały okres zagrożenia pożarowego musi być w ciągłej dyspozycji bez względu na warunki atmosferyczne (szczególnie w okresie od dnia 01 marca do dnia 30 października danego roku).</w:t>
      </w:r>
    </w:p>
    <w:p w14:paraId="4030A718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Wykonawca zobowiązany jest do zapoznania się z instrukcja obsługi PAD/dostrzegalni i ścisłe jej przestrzeganie.</w:t>
      </w:r>
    </w:p>
    <w:p w14:paraId="2587141E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Wykonawca zobowiązany będzie do prowadzenia wymaganej dokumentacji obowiązującej przy pełnieniu dyżurów w PAD Nadleśnictwa lub dostrzegalni np. dziennika dyspozytora PAD Nadleśnictwa.</w:t>
      </w:r>
    </w:p>
    <w:p w14:paraId="4A1B98EA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Osoby pełniące dyżur na stanowisku PAD Nadleśnictwa lub dostrzegalni zobowiązane będą do alarmowania właściwych leśniczych/podleśniczych oraz odpowiednich służb o wykrytych pożarach lub otrzymanych informacjach o innych zagrożeniach lub zdarzeniach, które wystąpiły w terenie w trakcie pełnienia przez te osoby dyżuru.</w:t>
      </w:r>
    </w:p>
    <w:p w14:paraId="1FC636EE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Wykonawca współpracować będzie z innymi punktami alarmowo dyspozycyjnymi oraz obserwatorami w zakresie ochrony ppoż.</w:t>
      </w:r>
    </w:p>
    <w:p w14:paraId="12360DD9" w14:textId="77777777" w:rsidR="00AD02AB" w:rsidRPr="00AD02AB" w:rsidRDefault="00AD02AB" w:rsidP="00AD02AB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Wykonawca zobowiązany będzie do obsługi oprogramowania służącego do wykrywania pożarów – po przeszkoleniu przez pracownika Nadleśnictwa.</w:t>
      </w:r>
    </w:p>
    <w:p w14:paraId="3EBDF8F3" w14:textId="77777777" w:rsidR="00AD02AB" w:rsidRPr="00AD02AB" w:rsidRDefault="00AD02AB" w:rsidP="00AD02AB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b/>
          <w:bCs/>
          <w:sz w:val="22"/>
          <w:szCs w:val="22"/>
        </w:rPr>
      </w:pPr>
      <w:r w:rsidRPr="00AD02AB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1904682F" w14:textId="77777777" w:rsidR="00AD02AB" w:rsidRPr="00AD02AB" w:rsidRDefault="00AD02AB" w:rsidP="00AD02AB">
      <w:pPr>
        <w:suppressAutoHyphens w:val="0"/>
        <w:autoSpaceDE w:val="0"/>
        <w:autoSpaceDN w:val="0"/>
        <w:adjustRightInd w:val="0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Odbiór prac nastąpi poprzez sprawdzenie: dziennika dyspozytora PAD Nadleśnictwa</w:t>
      </w:r>
    </w:p>
    <w:p w14:paraId="591D87BF" w14:textId="77777777" w:rsidR="00AD02AB" w:rsidRPr="00AD02AB" w:rsidRDefault="00AD02AB" w:rsidP="00AD02AB">
      <w:pPr>
        <w:suppressAutoHyphens w:val="0"/>
        <w:autoSpaceDE w:val="0"/>
        <w:autoSpaceDN w:val="0"/>
        <w:adjustRightInd w:val="0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i protokołu odbioru robót w oparciu o stawki godzinowe dla tego typu prac.</w:t>
      </w:r>
    </w:p>
    <w:p w14:paraId="5CED9ED3" w14:textId="77777777" w:rsidR="00AD02AB" w:rsidRPr="00AD02AB" w:rsidRDefault="00AD02AB" w:rsidP="00AD02AB">
      <w:pPr>
        <w:spacing w:before="240" w:after="240"/>
        <w:ind w:right="140"/>
        <w:jc w:val="both"/>
        <w:rPr>
          <w:rFonts w:ascii="Cambria" w:hAnsi="Cambria" w:cs="Arial"/>
          <w:sz w:val="22"/>
          <w:szCs w:val="22"/>
        </w:rPr>
      </w:pPr>
      <w:r w:rsidRPr="00AD02AB">
        <w:rPr>
          <w:rFonts w:ascii="Cambria" w:hAnsi="Cambria" w:cs="Arial"/>
          <w:sz w:val="22"/>
          <w:szCs w:val="22"/>
        </w:rPr>
        <w:t>(</w:t>
      </w:r>
      <w:r w:rsidRPr="00AD02AB">
        <w:rPr>
          <w:rFonts w:ascii="Cambria" w:hAnsi="Cambria" w:cs="Arial"/>
          <w:i/>
          <w:sz w:val="22"/>
          <w:szCs w:val="22"/>
        </w:rPr>
        <w:t>rozliczenie z dokładnością do 0,5 godziny</w:t>
      </w:r>
      <w:r w:rsidRPr="00AD02AB">
        <w:rPr>
          <w:rFonts w:ascii="Cambria" w:hAnsi="Cambria" w:cs="Arial"/>
          <w:sz w:val="22"/>
          <w:szCs w:val="22"/>
        </w:rPr>
        <w:t>)</w:t>
      </w:r>
    </w:p>
    <w:p w14:paraId="22F2E8D5" w14:textId="18AD71F9" w:rsidR="00AD02AB" w:rsidRPr="00AD02AB" w:rsidRDefault="00AD02AB" w:rsidP="00AD02AB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3</w:t>
      </w:r>
      <w:r w:rsidRPr="00AD02AB">
        <w:rPr>
          <w:rFonts w:ascii="Cambria" w:eastAsia="Calibri" w:hAnsi="Cambria" w:cs="Arial"/>
          <w:b/>
          <w:bCs/>
          <w:sz w:val="22"/>
          <w:szCs w:val="22"/>
          <w:lang w:eastAsia="en-US"/>
        </w:rPr>
        <w:t>. Utrzymanie gotowości ciągnika z pługiem i kierowcą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619"/>
        <w:gridCol w:w="1669"/>
        <w:gridCol w:w="3790"/>
        <w:gridCol w:w="1194"/>
      </w:tblGrid>
      <w:tr w:rsidR="00AD02AB" w:rsidRPr="00AD02AB" w14:paraId="1F838BA6" w14:textId="77777777" w:rsidTr="00AD02AB">
        <w:trPr>
          <w:trHeight w:val="16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0799" w14:textId="77777777" w:rsidR="00AD02AB" w:rsidRPr="00AD02AB" w:rsidRDefault="00AD02AB" w:rsidP="00AD02A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58B6" w14:textId="77777777" w:rsidR="00AD02AB" w:rsidRPr="00AD02AB" w:rsidRDefault="00AD02AB" w:rsidP="00AD02AB">
            <w:pPr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400B" w14:textId="77777777" w:rsidR="00AD02AB" w:rsidRPr="00AD02AB" w:rsidRDefault="00AD02AB" w:rsidP="00AD02AB">
            <w:pPr>
              <w:spacing w:before="120" w:after="120" w:line="276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BEA3" w14:textId="77777777" w:rsidR="00AD02AB" w:rsidRPr="00AD02AB" w:rsidRDefault="00AD02AB" w:rsidP="00AD02A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487C" w14:textId="77777777" w:rsidR="00AD02AB" w:rsidRPr="00AD02AB" w:rsidRDefault="00AD02AB" w:rsidP="00AD02A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D02AB" w:rsidRPr="00AD02AB" w14:paraId="540B9D3F" w14:textId="77777777" w:rsidTr="00AD02AB">
        <w:trPr>
          <w:trHeight w:val="625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278A" w14:textId="174D9122" w:rsidR="00AD02AB" w:rsidRPr="00AD02AB" w:rsidRDefault="00AD02AB" w:rsidP="00AD02A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410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9082" w14:textId="77777777" w:rsidR="00AD02AB" w:rsidRPr="00AD02AB" w:rsidRDefault="00AD02AB" w:rsidP="00AD02A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DYZ-CIA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879E" w14:textId="77777777" w:rsidR="00AD02AB" w:rsidRPr="00AD02AB" w:rsidRDefault="00AD02AB" w:rsidP="00AD02A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DYZ-CIA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A1AD" w14:textId="77777777" w:rsidR="00AD02AB" w:rsidRPr="00AD02AB" w:rsidRDefault="00AD02AB" w:rsidP="00AD02A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Utrzymanie w gotowości ciągnika z pługiem i kierowcą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2530" w14:textId="77777777" w:rsidR="00AD02AB" w:rsidRPr="00AD02AB" w:rsidRDefault="00AD02AB" w:rsidP="00AD02A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AD02A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MIES</w:t>
            </w:r>
          </w:p>
        </w:tc>
      </w:tr>
    </w:tbl>
    <w:p w14:paraId="5C9C5646" w14:textId="77777777" w:rsidR="00AD02AB" w:rsidRPr="00AD02AB" w:rsidRDefault="00AD02AB" w:rsidP="00AD02AB">
      <w:pPr>
        <w:widowControl w:val="0"/>
        <w:suppressAutoHyphens w:val="0"/>
        <w:spacing w:before="120" w:after="120"/>
        <w:jc w:val="both"/>
        <w:rPr>
          <w:rFonts w:ascii="Cambria" w:eastAsia="Verdana" w:hAnsi="Cambria" w:cs="Arial"/>
          <w:kern w:val="2"/>
          <w:sz w:val="22"/>
          <w:szCs w:val="22"/>
          <w:lang w:eastAsia="zh-CN" w:bidi="hi-IN"/>
        </w:rPr>
      </w:pPr>
      <w:r w:rsidRPr="00AD02AB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74A693D8" w14:textId="77777777" w:rsidR="00AD02AB" w:rsidRPr="00AD02AB" w:rsidRDefault="00AD02AB" w:rsidP="00AD02AB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AD02AB">
        <w:rPr>
          <w:rFonts w:ascii="Cambria" w:eastAsia="Calibri" w:hAnsi="Cambria" w:cs="Arial"/>
          <w:sz w:val="22"/>
          <w:szCs w:val="22"/>
          <w:lang w:eastAsia="pl-PL"/>
        </w:rPr>
        <w:t>utrzymanie w okresie zagrożenia pożarowego w stałej gotowości ciągnika z pługiem i kierowcą do dyspozycji w akcji gaszenia pożaru.</w:t>
      </w:r>
    </w:p>
    <w:p w14:paraId="3582AC32" w14:textId="77777777" w:rsidR="00AD02AB" w:rsidRPr="00AD02AB" w:rsidRDefault="00AD02AB" w:rsidP="00AD02AB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AD02AB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114D533" w14:textId="77777777" w:rsidR="00AD02AB" w:rsidRPr="00AD02AB" w:rsidRDefault="00AD02AB" w:rsidP="00AD02AB">
      <w:pPr>
        <w:tabs>
          <w:tab w:val="left" w:pos="743"/>
        </w:tabs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D02AB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 zleceniem. </w:t>
      </w:r>
    </w:p>
    <w:p w14:paraId="5629226E" w14:textId="37F98724" w:rsidR="00965829" w:rsidRPr="008020A4" w:rsidRDefault="00AD02AB" w:rsidP="008020A4">
      <w:pPr>
        <w:suppressAutoHyphens w:val="0"/>
        <w:spacing w:after="20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D02AB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AD02AB">
        <w:rPr>
          <w:rFonts w:ascii="Cambria" w:eastAsia="Calibri" w:hAnsi="Cambria" w:cs="Arial"/>
          <w:i/>
          <w:sz w:val="22"/>
          <w:szCs w:val="22"/>
          <w:lang w:eastAsia="en-US"/>
        </w:rPr>
        <w:t>ryczałt za 1 miesiąc</w:t>
      </w:r>
      <w:r w:rsidRPr="00AD02AB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sectPr w:rsidR="00965829" w:rsidRPr="00802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erif CJK SC"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23F1C"/>
    <w:multiLevelType w:val="multilevel"/>
    <w:tmpl w:val="8BA6DA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C5645F"/>
    <w:multiLevelType w:val="hybridMultilevel"/>
    <w:tmpl w:val="32100AA8"/>
    <w:lvl w:ilvl="0" w:tplc="A4A0253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981664">
    <w:abstractNumId w:val="1"/>
  </w:num>
  <w:num w:numId="2" w16cid:durableId="1370690833">
    <w:abstractNumId w:val="2"/>
  </w:num>
  <w:num w:numId="3" w16cid:durableId="735012911">
    <w:abstractNumId w:val="0"/>
  </w:num>
  <w:num w:numId="4" w16cid:durableId="1062603016">
    <w:abstractNumId w:val="3"/>
  </w:num>
  <w:num w:numId="5" w16cid:durableId="102093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3FE"/>
    <w:rsid w:val="000F03FE"/>
    <w:rsid w:val="00186E8A"/>
    <w:rsid w:val="001E4730"/>
    <w:rsid w:val="003118CB"/>
    <w:rsid w:val="0037164F"/>
    <w:rsid w:val="00377CC9"/>
    <w:rsid w:val="005508C6"/>
    <w:rsid w:val="005B41AA"/>
    <w:rsid w:val="005C6002"/>
    <w:rsid w:val="005E64B5"/>
    <w:rsid w:val="0065160B"/>
    <w:rsid w:val="008020A4"/>
    <w:rsid w:val="008C7750"/>
    <w:rsid w:val="00965829"/>
    <w:rsid w:val="00AD02AB"/>
    <w:rsid w:val="00B352EE"/>
    <w:rsid w:val="00B5172B"/>
    <w:rsid w:val="00BD28D0"/>
    <w:rsid w:val="00D05AF4"/>
    <w:rsid w:val="00D24DCA"/>
    <w:rsid w:val="00F6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1E2E"/>
  <w15:chartTrackingRefBased/>
  <w15:docId w15:val="{8B9C80A3-B9B8-444D-87E4-8EEBE8EF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72B"/>
    <w:pPr>
      <w:ind w:left="720"/>
      <w:contextualSpacing/>
    </w:pPr>
  </w:style>
  <w:style w:type="table" w:customStyle="1" w:styleId="Tabela-Siatka8">
    <w:name w:val="Tabela - Siatka8"/>
    <w:basedOn w:val="Standardowy"/>
    <w:uiPriority w:val="59"/>
    <w:rsid w:val="00AD0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Andrzejewska Anna</dc:creator>
  <cp:keywords/>
  <dc:description/>
  <cp:lastModifiedBy>Paterek Łukasz</cp:lastModifiedBy>
  <cp:revision>2</cp:revision>
  <cp:lastPrinted>2023-10-13T06:54:00Z</cp:lastPrinted>
  <dcterms:created xsi:type="dcterms:W3CDTF">2023-10-13T06:55:00Z</dcterms:created>
  <dcterms:modified xsi:type="dcterms:W3CDTF">2023-10-13T06:55:00Z</dcterms:modified>
</cp:coreProperties>
</file>