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29" w:rsidRPr="00F80B36" w:rsidRDefault="008B52D2" w:rsidP="00C45D29">
      <w:pPr>
        <w:keepNext/>
        <w:tabs>
          <w:tab w:val="left" w:pos="-180"/>
          <w:tab w:val="left" w:pos="9000"/>
        </w:tabs>
        <w:spacing w:after="0" w:line="240" w:lineRule="auto"/>
        <w:ind w:right="72"/>
        <w:outlineLvl w:val="1"/>
        <w:rPr>
          <w:rFonts w:ascii="Times New Roman" w:eastAsia="Arial Unicode MS" w:hAnsi="Times New Roman" w:cs="Times New Roman"/>
          <w:b/>
          <w:lang w:eastAsia="pl-PL"/>
        </w:rPr>
      </w:pPr>
      <w:r w:rsidRPr="00F80B36">
        <w:rPr>
          <w:rFonts w:ascii="Times New Roman" w:eastAsia="Arial Unicode MS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-128629</wp:posOffset>
                </wp:positionH>
                <wp:positionV relativeFrom="margin">
                  <wp:posOffset>58227</wp:posOffset>
                </wp:positionV>
                <wp:extent cx="2857500" cy="842838"/>
                <wp:effectExtent l="0" t="0" r="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29" w:rsidRPr="005C626A" w:rsidRDefault="008B52D2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1790914242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5D29" w:rsidRPr="00A72E6F" w:rsidRDefault="008B52D2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C45D29" w:rsidRDefault="008B52D2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C45D29" w:rsidRDefault="008B52D2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5D29" w:rsidRDefault="008B52D2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5D29" w:rsidRDefault="008B52D2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5D29" w:rsidRPr="008978E9" w:rsidRDefault="008B52D2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5D29" w:rsidRPr="007D0B8E" w:rsidRDefault="008B52D2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5D29" w:rsidRPr="007D0B8E" w:rsidRDefault="008B52D2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0.15pt;margin-top:4.6pt;width:225pt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" filled="f" fillcolor="#bbe0e3" stroked="f">
                <v:textbox inset="0,0,0,0">
                  <w:txbxContent>
                    <w:p w:rsidR="00C45D29" w:rsidRPr="005C626A" w:rsidRDefault="008B52D2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1790914242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5D29" w:rsidRPr="00A72E6F" w:rsidRDefault="008B52D2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C45D29" w:rsidRDefault="008B52D2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C45D29" w:rsidRDefault="008B52D2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5D29" w:rsidRDefault="008B52D2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5D29" w:rsidRDefault="008B52D2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5D29" w:rsidRPr="008978E9" w:rsidRDefault="008B52D2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5D29" w:rsidRPr="007D0B8E" w:rsidRDefault="008B52D2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5D29" w:rsidRPr="007D0B8E" w:rsidRDefault="008B52D2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45D29" w:rsidRPr="00F80B36" w:rsidRDefault="008B52D2" w:rsidP="00077ADA">
      <w:pPr>
        <w:spacing w:after="0" w:line="240" w:lineRule="auto"/>
        <w:ind w:right="-428"/>
        <w:jc w:val="right"/>
        <w:rPr>
          <w:rFonts w:ascii="Calibri" w:eastAsia="MS Mincho" w:hAnsi="Calibri" w:cs="Times New Roman"/>
          <w:sz w:val="24"/>
          <w:szCs w:val="24"/>
          <w:lang w:eastAsia="pl-PL"/>
        </w:rPr>
      </w:pP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  <w:t xml:space="preserve"> Warszawa, </w:t>
      </w:r>
      <w:bookmarkStart w:id="0" w:name="ezdDataPodpisu"/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>10 lutego 2021 r.</w:t>
      </w:r>
      <w:bookmarkEnd w:id="0"/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         </w:t>
      </w:r>
    </w:p>
    <w:p w:rsidR="00C45D29" w:rsidRPr="00F80B36" w:rsidRDefault="008B52D2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C45D29" w:rsidRPr="00F80B36" w:rsidRDefault="008B52D2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C45D29" w:rsidRPr="00F80B36" w:rsidRDefault="008B52D2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C45D29" w:rsidRPr="00F80B36" w:rsidRDefault="008B52D2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C45D29" w:rsidRPr="00F80B36" w:rsidRDefault="008B52D2" w:rsidP="00C45D29">
      <w:pPr>
        <w:spacing w:after="0" w:line="240" w:lineRule="auto"/>
        <w:ind w:left="708"/>
        <w:rPr>
          <w:rFonts w:ascii="Calibri" w:eastAsia="MS Mincho" w:hAnsi="Calibri" w:cs="Times New Roman"/>
          <w:sz w:val="24"/>
          <w:szCs w:val="24"/>
          <w:lang w:eastAsia="pl-PL"/>
        </w:rPr>
      </w:pPr>
      <w:bookmarkStart w:id="1" w:name="_GoBack"/>
      <w:r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>WNP-I.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4131.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20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.202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1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.MS</w:t>
      </w:r>
    </w:p>
    <w:bookmarkEnd w:id="1"/>
    <w:p w:rsidR="00C45D29" w:rsidRPr="00F80B36" w:rsidRDefault="008B52D2" w:rsidP="00C45D29">
      <w:pPr>
        <w:widowControl w:val="0"/>
        <w:spacing w:after="0" w:line="338" w:lineRule="exact"/>
        <w:ind w:left="4253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7D195E" w:rsidRDefault="008B52D2" w:rsidP="007D195E">
      <w:pPr>
        <w:autoSpaceDE w:val="0"/>
        <w:autoSpaceDN w:val="0"/>
        <w:adjustRightInd w:val="0"/>
        <w:spacing w:line="240" w:lineRule="auto"/>
        <w:ind w:left="4248" w:firstLine="708"/>
        <w:rPr>
          <w:rFonts w:ascii="Calibri" w:hAnsi="Calibri"/>
          <w:b/>
          <w:i/>
        </w:rPr>
      </w:pPr>
    </w:p>
    <w:p w:rsidR="001A63E6" w:rsidRPr="00A754EC" w:rsidRDefault="008B52D2" w:rsidP="001A63E6">
      <w:pPr>
        <w:autoSpaceDE w:val="0"/>
        <w:autoSpaceDN w:val="0"/>
        <w:adjustRightInd w:val="0"/>
        <w:spacing w:after="0" w:line="240" w:lineRule="auto"/>
        <w:ind w:left="4248" w:firstLine="709"/>
        <w:rPr>
          <w:rFonts w:ascii="Calibri" w:hAnsi="Calibri"/>
          <w:b/>
          <w:sz w:val="28"/>
        </w:rPr>
      </w:pPr>
      <w:r w:rsidRPr="00A754EC">
        <w:rPr>
          <w:rFonts w:ascii="Calibri" w:hAnsi="Calibri"/>
          <w:b/>
          <w:sz w:val="28"/>
        </w:rPr>
        <w:t>Burmistrz Miasta Milanówka</w:t>
      </w:r>
    </w:p>
    <w:p w:rsidR="001A63E6" w:rsidRPr="00A754EC" w:rsidRDefault="008B52D2" w:rsidP="001A63E6">
      <w:pPr>
        <w:autoSpaceDE w:val="0"/>
        <w:autoSpaceDN w:val="0"/>
        <w:adjustRightInd w:val="0"/>
        <w:spacing w:after="0" w:line="240" w:lineRule="auto"/>
        <w:ind w:left="4248" w:firstLine="709"/>
        <w:rPr>
          <w:rFonts w:ascii="Calibri" w:hAnsi="Calibri"/>
          <w:b/>
          <w:sz w:val="28"/>
        </w:rPr>
      </w:pPr>
      <w:r w:rsidRPr="00A754EC">
        <w:rPr>
          <w:rFonts w:ascii="Calibri" w:hAnsi="Calibri"/>
          <w:b/>
          <w:sz w:val="28"/>
        </w:rPr>
        <w:t>ul. Kościuszki 45</w:t>
      </w:r>
    </w:p>
    <w:p w:rsidR="001A63E6" w:rsidRPr="00A754EC" w:rsidRDefault="008B52D2" w:rsidP="001A63E6">
      <w:pPr>
        <w:autoSpaceDE w:val="0"/>
        <w:autoSpaceDN w:val="0"/>
        <w:adjustRightInd w:val="0"/>
        <w:spacing w:after="0" w:line="240" w:lineRule="auto"/>
        <w:ind w:left="4248" w:firstLine="709"/>
        <w:rPr>
          <w:rFonts w:ascii="Calibri" w:hAnsi="Calibri"/>
          <w:b/>
          <w:sz w:val="28"/>
        </w:rPr>
      </w:pPr>
      <w:r w:rsidRPr="00A754EC">
        <w:rPr>
          <w:rFonts w:ascii="Calibri" w:hAnsi="Calibri"/>
          <w:b/>
          <w:sz w:val="28"/>
        </w:rPr>
        <w:t>02-822 Milanówek</w:t>
      </w:r>
    </w:p>
    <w:p w:rsidR="00F5555F" w:rsidRDefault="008B52D2" w:rsidP="001A63E6">
      <w:pPr>
        <w:pStyle w:val="Nagwek1"/>
        <w:ind w:left="2832" w:firstLine="709"/>
        <w:rPr>
          <w:rFonts w:ascii="Calibri" w:hAnsi="Calibri"/>
          <w:sz w:val="25"/>
          <w:szCs w:val="25"/>
        </w:rPr>
      </w:pPr>
    </w:p>
    <w:p w:rsidR="007D195E" w:rsidRDefault="008B52D2" w:rsidP="00F5555F">
      <w:pPr>
        <w:pStyle w:val="Nagwek1"/>
        <w:ind w:left="-426"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7D195E" w:rsidRPr="00CF610A" w:rsidRDefault="008B52D2" w:rsidP="007D195E"/>
    <w:p w:rsidR="007D195E" w:rsidRPr="002B42F1" w:rsidRDefault="008B52D2" w:rsidP="007D195E">
      <w:pPr>
        <w:pStyle w:val="Tekstpodstawowy"/>
        <w:spacing w:line="240" w:lineRule="auto"/>
        <w:ind w:left="-357" w:right="-471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</w:t>
      </w:r>
      <w:r>
        <w:rPr>
          <w:rFonts w:ascii="Calibri" w:hAnsi="Calibri" w:cs="Calibri"/>
          <w:sz w:val="24"/>
        </w:rPr>
        <w:t>,</w:t>
      </w:r>
      <w:r w:rsidRPr="002B42F1">
        <w:rPr>
          <w:rFonts w:ascii="Calibri" w:hAnsi="Calibri" w:cs="Calibri"/>
          <w:sz w:val="24"/>
        </w:rPr>
        <w:t xml:space="preserve">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</w:t>
      </w:r>
      <w:r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 xml:space="preserve"> r. poz. </w:t>
      </w:r>
      <w:r>
        <w:rPr>
          <w:rFonts w:ascii="Calibri" w:hAnsi="Calibri" w:cs="Calibri"/>
          <w:sz w:val="24"/>
        </w:rPr>
        <w:t>713</w:t>
      </w:r>
      <w:r>
        <w:rPr>
          <w:rFonts w:ascii="Calibri" w:hAnsi="Calibri" w:cs="Calibri"/>
          <w:sz w:val="24"/>
        </w:rPr>
        <w:t>, z późn. zm.</w:t>
      </w:r>
      <w:r w:rsidRPr="002B42F1">
        <w:rPr>
          <w:rFonts w:ascii="Calibri" w:hAnsi="Calibri" w:cs="Calibri"/>
          <w:sz w:val="24"/>
        </w:rPr>
        <w:t>)</w:t>
      </w:r>
    </w:p>
    <w:p w:rsidR="007D195E" w:rsidRPr="002B42F1" w:rsidRDefault="008B52D2" w:rsidP="007D195E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</w:p>
    <w:p w:rsidR="007D195E" w:rsidRPr="00F5555F" w:rsidRDefault="008B52D2" w:rsidP="00F5555F">
      <w:pPr>
        <w:spacing w:line="360" w:lineRule="auto"/>
        <w:ind w:left="-426" w:right="-468"/>
        <w:jc w:val="center"/>
        <w:rPr>
          <w:rFonts w:ascii="Calibri" w:hAnsi="Calibri" w:cs="Calibri"/>
          <w:b/>
          <w:bCs/>
          <w:sz w:val="24"/>
          <w:szCs w:val="24"/>
        </w:rPr>
      </w:pPr>
      <w:r w:rsidRPr="00F5555F">
        <w:rPr>
          <w:rFonts w:ascii="Calibri" w:hAnsi="Calibri" w:cs="Calibri"/>
          <w:b/>
          <w:bCs/>
          <w:sz w:val="24"/>
          <w:szCs w:val="24"/>
        </w:rPr>
        <w:t>stwierdzam nieważność</w:t>
      </w:r>
    </w:p>
    <w:p w:rsidR="007D195E" w:rsidRPr="001A63E6" w:rsidRDefault="008B52D2" w:rsidP="00F5555F">
      <w:pPr>
        <w:spacing w:line="240" w:lineRule="auto"/>
        <w:ind w:left="-426" w:right="-468"/>
        <w:jc w:val="both"/>
        <w:rPr>
          <w:rFonts w:ascii="Calibri" w:hAnsi="Calibri" w:cs="Calibri"/>
          <w:bCs/>
          <w:sz w:val="24"/>
          <w:szCs w:val="24"/>
        </w:rPr>
      </w:pPr>
      <w:r w:rsidRPr="001A63E6">
        <w:rPr>
          <w:rFonts w:ascii="Calibri" w:hAnsi="Calibri" w:cs="Calibri"/>
          <w:bCs/>
          <w:sz w:val="24"/>
          <w:szCs w:val="24"/>
        </w:rPr>
        <w:t xml:space="preserve">zarządzenia Nr 189/VIII/2020 Burmistrza Miasta Milanówka z dnia 10 grudnia 2020 r. w sprawie </w:t>
      </w:r>
      <w:r w:rsidRPr="001A63E6">
        <w:rPr>
          <w:rFonts w:ascii="Calibri" w:hAnsi="Calibri" w:cs="Calibri"/>
          <w:bCs/>
          <w:i/>
          <w:sz w:val="24"/>
          <w:szCs w:val="24"/>
        </w:rPr>
        <w:t>przyznania wyróżnienia „Zasłużony dla Milanówka”</w:t>
      </w:r>
      <w:r>
        <w:rPr>
          <w:rFonts w:ascii="Calibri" w:hAnsi="Calibri" w:cs="Calibri"/>
          <w:bCs/>
          <w:i/>
          <w:sz w:val="24"/>
          <w:szCs w:val="24"/>
        </w:rPr>
        <w:t>.</w:t>
      </w:r>
    </w:p>
    <w:p w:rsidR="00C45D29" w:rsidRPr="001A63E6" w:rsidRDefault="008B52D2" w:rsidP="007D195E">
      <w:pPr>
        <w:tabs>
          <w:tab w:val="left" w:pos="5190"/>
        </w:tabs>
        <w:spacing w:after="0" w:line="300" w:lineRule="exact"/>
        <w:jc w:val="both"/>
        <w:rPr>
          <w:rFonts w:eastAsia="MS Mincho" w:cstheme="minorHAnsi"/>
          <w:sz w:val="24"/>
          <w:szCs w:val="24"/>
          <w:lang w:eastAsia="pl-PL"/>
        </w:rPr>
      </w:pPr>
    </w:p>
    <w:p w:rsidR="00F5555F" w:rsidRPr="001A63E6" w:rsidRDefault="008B52D2" w:rsidP="00F5555F">
      <w:pPr>
        <w:spacing w:after="0" w:line="300" w:lineRule="exact"/>
        <w:rPr>
          <w:rFonts w:eastAsia="MS Mincho" w:cstheme="minorHAnsi"/>
          <w:sz w:val="24"/>
          <w:szCs w:val="24"/>
          <w:lang w:eastAsia="pl-PL"/>
        </w:rPr>
      </w:pPr>
    </w:p>
    <w:p w:rsidR="00C45D29" w:rsidRPr="00F5555F" w:rsidRDefault="008B52D2" w:rsidP="00F5555F">
      <w:pPr>
        <w:spacing w:after="0" w:line="300" w:lineRule="exact"/>
        <w:ind w:left="-426" w:right="-569"/>
        <w:jc w:val="center"/>
        <w:rPr>
          <w:rFonts w:eastAsia="MS Mincho" w:cstheme="minorHAnsi"/>
          <w:b/>
          <w:sz w:val="24"/>
          <w:szCs w:val="24"/>
          <w:lang w:eastAsia="pl-PL"/>
        </w:rPr>
      </w:pPr>
      <w:r>
        <w:rPr>
          <w:rFonts w:eastAsia="MS Mincho" w:cstheme="minorHAnsi"/>
          <w:b/>
          <w:sz w:val="24"/>
          <w:szCs w:val="24"/>
          <w:lang w:eastAsia="pl-PL"/>
        </w:rPr>
        <w:t>Uzasadnienie</w:t>
      </w:r>
    </w:p>
    <w:p w:rsidR="00C45D29" w:rsidRPr="0081749E" w:rsidRDefault="008B52D2" w:rsidP="0081749E">
      <w:pPr>
        <w:spacing w:after="0" w:line="300" w:lineRule="exact"/>
        <w:jc w:val="center"/>
        <w:rPr>
          <w:rFonts w:eastAsia="MS Mincho" w:cstheme="minorHAnsi"/>
          <w:b/>
          <w:sz w:val="24"/>
          <w:szCs w:val="24"/>
          <w:lang w:eastAsia="pl-PL"/>
        </w:rPr>
      </w:pPr>
    </w:p>
    <w:p w:rsidR="001A63E6" w:rsidRDefault="008B52D2" w:rsidP="00F5555F">
      <w:pPr>
        <w:spacing w:after="0" w:line="300" w:lineRule="exact"/>
        <w:ind w:left="-426" w:right="-569" w:firstLine="709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29 grudnia 2020 r. wpłynęło do organu nadzoru pismo elektroniczne dotyczące podjęcia czynności nadzorczych w przedmiocie stwierdzenia nieważności zarządzenia Nr 189/VIII/2020 Burmistrza Miasta Milanówka z dnia 10 grudnia 2020 r. w sprawie </w:t>
      </w:r>
      <w:r>
        <w:rPr>
          <w:rFonts w:eastAsia="Calibri" w:cstheme="minorHAnsi"/>
          <w:bCs/>
          <w:i/>
          <w:sz w:val="24"/>
          <w:szCs w:val="24"/>
        </w:rPr>
        <w:t>przyznania wyróżn</w:t>
      </w:r>
      <w:r>
        <w:rPr>
          <w:rFonts w:eastAsia="Calibri" w:cstheme="minorHAnsi"/>
          <w:bCs/>
          <w:i/>
          <w:sz w:val="24"/>
          <w:szCs w:val="24"/>
        </w:rPr>
        <w:t xml:space="preserve">ienia „zasłużony dla Milanówka” </w:t>
      </w:r>
      <w:r>
        <w:rPr>
          <w:rFonts w:eastAsia="Calibri" w:cstheme="minorHAnsi"/>
          <w:bCs/>
          <w:sz w:val="24"/>
          <w:szCs w:val="24"/>
        </w:rPr>
        <w:t>i stwierdzenie jego nieważności.</w:t>
      </w:r>
    </w:p>
    <w:p w:rsidR="001A63E6" w:rsidRDefault="008B52D2" w:rsidP="00F5555F">
      <w:pPr>
        <w:spacing w:after="0" w:line="300" w:lineRule="exact"/>
        <w:ind w:left="-426" w:right="-569" w:firstLine="709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Pismem z 31 </w:t>
      </w:r>
      <w:r>
        <w:rPr>
          <w:rFonts w:eastAsia="Calibri" w:cstheme="minorHAnsi"/>
          <w:bCs/>
          <w:sz w:val="24"/>
          <w:szCs w:val="24"/>
        </w:rPr>
        <w:t>grudnia</w:t>
      </w:r>
      <w:r>
        <w:rPr>
          <w:rFonts w:eastAsia="Calibri" w:cstheme="minorHAnsi"/>
          <w:bCs/>
          <w:sz w:val="24"/>
          <w:szCs w:val="24"/>
        </w:rPr>
        <w:t xml:space="preserve"> 2020 r. znak WNP-I.40.504.2020 organ nadzoru zwrócił się do Burmistrza Miasta Milanówka z prośbą o przesłanie wskazanego zarządzenia wraz ze szczegółowym uzasadnieniem</w:t>
      </w:r>
      <w:r>
        <w:rPr>
          <w:rFonts w:eastAsia="Calibri" w:cstheme="minorHAnsi"/>
          <w:bCs/>
          <w:sz w:val="24"/>
          <w:szCs w:val="24"/>
        </w:rPr>
        <w:t xml:space="preserve"> ora</w:t>
      </w:r>
      <w:r>
        <w:rPr>
          <w:rFonts w:eastAsia="Calibri" w:cstheme="minorHAnsi"/>
          <w:bCs/>
          <w:sz w:val="24"/>
          <w:szCs w:val="24"/>
        </w:rPr>
        <w:t>z wskazaniem okoliczności fatycznych oraz podstawy prawnej jego wydania.</w:t>
      </w:r>
    </w:p>
    <w:p w:rsidR="0065063B" w:rsidRDefault="008B52D2" w:rsidP="00F5555F">
      <w:pPr>
        <w:spacing w:after="0" w:line="300" w:lineRule="exact"/>
        <w:ind w:left="-426" w:right="-569" w:firstLine="709"/>
        <w:jc w:val="both"/>
        <w:rPr>
          <w:rFonts w:eastAsia="Calibri" w:cstheme="minorHAnsi"/>
          <w:bCs/>
          <w:i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W odpowiedzi z 12 stycznia 2021 r. (znak pisma KS.033.4.2020.KS – wpływ do Mazowieckiego Urzędu Wojewódzkiego w Warszawie drogą elektroniczną 14 stycznia 2021 r.) Burmistrz Miasta Mil</w:t>
      </w:r>
      <w:r>
        <w:rPr>
          <w:rFonts w:eastAsia="Calibri" w:cstheme="minorHAnsi"/>
          <w:bCs/>
          <w:sz w:val="24"/>
          <w:szCs w:val="24"/>
        </w:rPr>
        <w:t>anówka przekazał organowi nadzoru przedmiotowe zarządzenie wskazują</w:t>
      </w:r>
      <w:r>
        <w:rPr>
          <w:rFonts w:eastAsia="Calibri" w:cstheme="minorHAnsi"/>
          <w:bCs/>
          <w:sz w:val="24"/>
          <w:szCs w:val="24"/>
        </w:rPr>
        <w:t>c</w:t>
      </w:r>
      <w:r>
        <w:rPr>
          <w:rFonts w:eastAsia="Calibri" w:cstheme="minorHAnsi"/>
          <w:bCs/>
          <w:sz w:val="24"/>
          <w:szCs w:val="24"/>
        </w:rPr>
        <w:t xml:space="preserve"> jednocześnie, iż </w:t>
      </w:r>
      <w:r>
        <w:rPr>
          <w:rFonts w:eastAsia="Calibri" w:cstheme="minorHAnsi"/>
          <w:bCs/>
          <w:i/>
          <w:sz w:val="24"/>
          <w:szCs w:val="24"/>
        </w:rPr>
        <w:t>Powyższe wyróżnienie ma na celu uhonorowanie osób, które w sposób szczególny przyczyniły się do rozwoju miasta Milanówka. Dotychczas jedynym odznaczeniem przyznawanym</w:t>
      </w:r>
      <w:r>
        <w:rPr>
          <w:rFonts w:eastAsia="Calibri" w:cstheme="minorHAnsi"/>
          <w:bCs/>
          <w:i/>
          <w:sz w:val="24"/>
          <w:szCs w:val="24"/>
        </w:rPr>
        <w:t xml:space="preserve"> </w:t>
      </w:r>
      <w:r>
        <w:rPr>
          <w:rFonts w:eastAsia="Calibri" w:cstheme="minorHAnsi"/>
          <w:bCs/>
          <w:i/>
          <w:sz w:val="24"/>
          <w:szCs w:val="24"/>
        </w:rPr>
        <w:t>w m</w:t>
      </w:r>
      <w:r>
        <w:rPr>
          <w:rFonts w:eastAsia="Calibri" w:cstheme="minorHAnsi"/>
          <w:bCs/>
          <w:i/>
          <w:sz w:val="24"/>
          <w:szCs w:val="24"/>
        </w:rPr>
        <w:t>ieście Milanówku, był „Milanowski Liść Dębu”, wyróżnienie to jest jednak zarezerwowane dla mieszkańców Milanówka. Wobec braku możliwości, uhonorowania „Milanowskim Liściem Dębu” szczególnie zasłużonych dla Milanówka osób, niebędących mieszkańcami miasta, p</w:t>
      </w:r>
      <w:r>
        <w:rPr>
          <w:rFonts w:eastAsia="Calibri" w:cstheme="minorHAnsi"/>
          <w:bCs/>
          <w:i/>
          <w:sz w:val="24"/>
          <w:szCs w:val="24"/>
        </w:rPr>
        <w:t>owstała potrzeba stworzenia wyróżnienia, któr</w:t>
      </w:r>
      <w:r>
        <w:rPr>
          <w:rFonts w:eastAsia="Calibri" w:cstheme="minorHAnsi"/>
          <w:bCs/>
          <w:i/>
          <w:sz w:val="24"/>
          <w:szCs w:val="24"/>
        </w:rPr>
        <w:t>e</w:t>
      </w:r>
      <w:r>
        <w:rPr>
          <w:rFonts w:eastAsia="Calibri" w:cstheme="minorHAnsi"/>
          <w:bCs/>
          <w:i/>
          <w:sz w:val="24"/>
          <w:szCs w:val="24"/>
        </w:rPr>
        <w:t xml:space="preserve"> swoim zasięgiem </w:t>
      </w:r>
      <w:r>
        <w:rPr>
          <w:rFonts w:eastAsia="Calibri" w:cstheme="minorHAnsi"/>
          <w:bCs/>
          <w:i/>
          <w:sz w:val="24"/>
          <w:szCs w:val="24"/>
        </w:rPr>
        <w:t>obejmowałoby nie tylko mieszkańców, ale i osoby spoza Milanówka, które swoim działaniem wspierają rozwój miasta. Odznaczenie ma za zadanie również promowanie prospołecznych</w:t>
      </w:r>
      <w:r>
        <w:rPr>
          <w:rFonts w:eastAsia="Calibri" w:cstheme="minorHAnsi"/>
          <w:bCs/>
          <w:i/>
          <w:sz w:val="24"/>
          <w:szCs w:val="24"/>
        </w:rPr>
        <w:t xml:space="preserve"> </w:t>
      </w:r>
      <w:r>
        <w:rPr>
          <w:rFonts w:eastAsia="Calibri" w:cstheme="minorHAnsi"/>
          <w:bCs/>
          <w:i/>
          <w:sz w:val="24"/>
          <w:szCs w:val="24"/>
        </w:rPr>
        <w:t>postaw i docenianie</w:t>
      </w:r>
      <w:r>
        <w:rPr>
          <w:rFonts w:eastAsia="Calibri" w:cstheme="minorHAnsi"/>
          <w:bCs/>
          <w:i/>
          <w:sz w:val="24"/>
          <w:szCs w:val="24"/>
        </w:rPr>
        <w:t xml:space="preserve"> </w:t>
      </w:r>
      <w:r>
        <w:rPr>
          <w:rFonts w:eastAsia="Calibri" w:cstheme="minorHAnsi"/>
          <w:bCs/>
          <w:i/>
          <w:sz w:val="24"/>
          <w:szCs w:val="24"/>
        </w:rPr>
        <w:lastRenderedPageBreak/>
        <w:t>działań, na rzecz lokalnej społeczności. Jest jednym</w:t>
      </w:r>
      <w:r>
        <w:rPr>
          <w:rFonts w:eastAsia="Calibri" w:cstheme="minorHAnsi"/>
          <w:bCs/>
          <w:i/>
          <w:sz w:val="24"/>
          <w:szCs w:val="24"/>
        </w:rPr>
        <w:t xml:space="preserve"> </w:t>
      </w:r>
      <w:r>
        <w:rPr>
          <w:rFonts w:eastAsia="Calibri" w:cstheme="minorHAnsi"/>
          <w:bCs/>
          <w:i/>
          <w:sz w:val="24"/>
          <w:szCs w:val="24"/>
        </w:rPr>
        <w:t>z instrumentów kształtowania pozytywnego wizerunku miasta i w pełni wpisuje się w przyjętą przez miasto strategię promocji i rozwoju.</w:t>
      </w:r>
    </w:p>
    <w:p w:rsidR="0004128E" w:rsidRDefault="008B52D2" w:rsidP="00F5555F">
      <w:pPr>
        <w:spacing w:after="0" w:line="300" w:lineRule="exact"/>
        <w:ind w:left="-426" w:right="-569" w:firstLine="709"/>
        <w:jc w:val="both"/>
        <w:rPr>
          <w:rFonts w:eastAsia="Calibri" w:cstheme="minorHAnsi"/>
          <w:bCs/>
          <w:i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Przedmiotowe zarządzenie zostało wydane na podstawie art. 7 ust. 1 pk</w:t>
      </w:r>
      <w:r>
        <w:rPr>
          <w:rFonts w:eastAsia="Calibri" w:cstheme="minorHAnsi"/>
          <w:bCs/>
          <w:sz w:val="24"/>
          <w:szCs w:val="24"/>
        </w:rPr>
        <w:t xml:space="preserve">t 18 ustawy </w:t>
      </w:r>
      <w:r>
        <w:rPr>
          <w:rFonts w:eastAsia="Calibri" w:cstheme="minorHAnsi"/>
          <w:bCs/>
          <w:sz w:val="24"/>
          <w:szCs w:val="24"/>
        </w:rPr>
        <w:t xml:space="preserve">                               </w:t>
      </w:r>
      <w:r>
        <w:rPr>
          <w:rFonts w:eastAsia="Calibri" w:cstheme="minorHAnsi"/>
          <w:bCs/>
          <w:sz w:val="24"/>
          <w:szCs w:val="24"/>
        </w:rPr>
        <w:t xml:space="preserve">o samorządzie gminnym, zgodnie z którym </w:t>
      </w:r>
      <w:r>
        <w:rPr>
          <w:rFonts w:eastAsia="Calibri" w:cstheme="minorHAnsi"/>
          <w:bCs/>
          <w:i/>
          <w:sz w:val="24"/>
          <w:szCs w:val="24"/>
        </w:rPr>
        <w:t>Zaspokajanie zbiorowych potrzeb wspólnoty należy do zadań własnych gminy. W szczególności zadania obejmują sprawy: (…) promocji gminy; (…).</w:t>
      </w:r>
    </w:p>
    <w:p w:rsidR="00367E77" w:rsidRDefault="008B52D2" w:rsidP="00F5555F">
      <w:pPr>
        <w:spacing w:after="0" w:line="300" w:lineRule="exact"/>
        <w:ind w:left="-426" w:right="-569" w:firstLine="709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W ocenie organu nadzoru, przedłożone przez Burmistrza Miasta </w:t>
      </w:r>
      <w:r>
        <w:rPr>
          <w:rFonts w:eastAsia="Calibri" w:cstheme="minorHAnsi"/>
          <w:bCs/>
          <w:sz w:val="24"/>
          <w:szCs w:val="24"/>
        </w:rPr>
        <w:t>Milanówka</w:t>
      </w:r>
      <w:r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>wyjaśnienia                     w zakresie okoliczności faktycznych oraz podstawy prawnej wydanego zarządzenia nie zasługują na uwzględnienie.</w:t>
      </w:r>
    </w:p>
    <w:p w:rsidR="00FB0283" w:rsidRDefault="008B52D2" w:rsidP="00FB0283">
      <w:pPr>
        <w:spacing w:after="0" w:line="300" w:lineRule="exact"/>
        <w:ind w:left="-426" w:right="-569" w:firstLine="709"/>
        <w:jc w:val="both"/>
        <w:rPr>
          <w:rStyle w:val="info-list-value-uzasadnienie"/>
          <w:rFonts w:cstheme="minorHAnsi"/>
          <w:sz w:val="24"/>
          <w:szCs w:val="24"/>
        </w:rPr>
      </w:pPr>
      <w:r w:rsidRPr="0081749E">
        <w:rPr>
          <w:sz w:val="24"/>
          <w:szCs w:val="24"/>
        </w:rPr>
        <w:t>N</w:t>
      </w:r>
      <w:r w:rsidRPr="0081749E">
        <w:rPr>
          <w:sz w:val="24"/>
          <w:szCs w:val="24"/>
        </w:rPr>
        <w:t>adawanie</w:t>
      </w:r>
      <w:r w:rsidRPr="0081749E">
        <w:rPr>
          <w:sz w:val="24"/>
          <w:szCs w:val="24"/>
        </w:rPr>
        <w:t xml:space="preserve"> honorowego</w:t>
      </w:r>
      <w:r w:rsidRPr="0081749E">
        <w:rPr>
          <w:sz w:val="24"/>
          <w:szCs w:val="24"/>
        </w:rPr>
        <w:t xml:space="preserve"> obywatelstwa gminy</w:t>
      </w:r>
      <w:r>
        <w:rPr>
          <w:sz w:val="24"/>
          <w:szCs w:val="24"/>
        </w:rPr>
        <w:t>, c</w:t>
      </w:r>
      <w:r>
        <w:rPr>
          <w:sz w:val="24"/>
          <w:szCs w:val="24"/>
        </w:rPr>
        <w:t>o jest tożsame z przyznaniem wyróżnienia dla zasłużonego dla gminy,</w:t>
      </w:r>
      <w:r w:rsidRPr="0081749E">
        <w:rPr>
          <w:sz w:val="24"/>
          <w:szCs w:val="24"/>
        </w:rPr>
        <w:t xml:space="preserve"> należy bezspornie do zadań własnych gminy. </w:t>
      </w:r>
      <w:r>
        <w:rPr>
          <w:sz w:val="24"/>
          <w:szCs w:val="24"/>
        </w:rPr>
        <w:t xml:space="preserve">W judykaturze przyjmuje się szerokie rozumienie terminu </w:t>
      </w:r>
      <w:r>
        <w:rPr>
          <w:i/>
          <w:sz w:val="24"/>
          <w:szCs w:val="24"/>
        </w:rPr>
        <w:t xml:space="preserve">honorowe obywatelstwo </w:t>
      </w:r>
      <w:r>
        <w:rPr>
          <w:sz w:val="24"/>
          <w:szCs w:val="24"/>
        </w:rPr>
        <w:t>– tak, aby możliwe było wyróżnienie w tej formie nie tylko osób nie</w:t>
      </w:r>
      <w:r>
        <w:rPr>
          <w:sz w:val="24"/>
          <w:szCs w:val="24"/>
        </w:rPr>
        <w:t xml:space="preserve"> będących mieszkańcami gminy, ale także członków tej wspólnoty. Wobec mieszkańców gminy dopuszcza się możliwość nadania tytułu </w:t>
      </w:r>
      <w:r>
        <w:rPr>
          <w:i/>
          <w:sz w:val="24"/>
          <w:szCs w:val="24"/>
        </w:rPr>
        <w:t xml:space="preserve">zasłużony dla gminy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vide </w:t>
      </w:r>
      <w:r>
        <w:rPr>
          <w:sz w:val="24"/>
          <w:szCs w:val="24"/>
        </w:rPr>
        <w:t>wyrok Naczelnego Sądu Administracyjnego z 27 czerwca 2017 r. sygn. akt II OSK 1862/16).</w:t>
      </w:r>
      <w:r w:rsidRPr="0081749E">
        <w:rPr>
          <w:rStyle w:val="info-list-value-uzasadnienie"/>
          <w:sz w:val="24"/>
          <w:szCs w:val="24"/>
        </w:rPr>
        <w:t xml:space="preserve"> Taka interpreta</w:t>
      </w:r>
      <w:r w:rsidRPr="0081749E">
        <w:rPr>
          <w:rStyle w:val="info-list-value-uzasadnienie"/>
          <w:sz w:val="24"/>
          <w:szCs w:val="24"/>
        </w:rPr>
        <w:t>cja pozwala na przyjęcie, że</w:t>
      </w:r>
      <w:r>
        <w:rPr>
          <w:rStyle w:val="info-list-value-uzasadnienie"/>
          <w:sz w:val="24"/>
          <w:szCs w:val="24"/>
        </w:rPr>
        <w:t xml:space="preserve"> to</w:t>
      </w:r>
      <w:r w:rsidRPr="0081749E">
        <w:rPr>
          <w:rStyle w:val="info-list-value-uzasadnienie"/>
          <w:sz w:val="24"/>
          <w:szCs w:val="24"/>
        </w:rPr>
        <w:t xml:space="preserve"> rada gminy jest</w:t>
      </w:r>
      <w:r>
        <w:rPr>
          <w:rStyle w:val="info-list-value-uzasadnienie"/>
          <w:sz w:val="24"/>
          <w:szCs w:val="24"/>
        </w:rPr>
        <w:t xml:space="preserve"> jedynym organem</w:t>
      </w:r>
      <w:r w:rsidRPr="0081749E">
        <w:rPr>
          <w:rStyle w:val="info-list-value-uzasadnienie"/>
          <w:sz w:val="24"/>
          <w:szCs w:val="24"/>
        </w:rPr>
        <w:t xml:space="preserve"> uprawnion</w:t>
      </w:r>
      <w:r>
        <w:rPr>
          <w:rStyle w:val="info-list-value-uzasadnienie"/>
          <w:sz w:val="24"/>
          <w:szCs w:val="24"/>
        </w:rPr>
        <w:t>ym</w:t>
      </w:r>
      <w:r w:rsidRPr="0081749E">
        <w:rPr>
          <w:rStyle w:val="info-list-value-uzasadnienie"/>
          <w:sz w:val="24"/>
          <w:szCs w:val="24"/>
        </w:rPr>
        <w:t xml:space="preserve"> nie tylko do samego nadawania honorowego obywatelstwa gminy, ale także do określenia</w:t>
      </w:r>
      <w:r w:rsidRPr="0081749E">
        <w:rPr>
          <w:rStyle w:val="info-list-value-uzasadnienie"/>
          <w:sz w:val="24"/>
          <w:szCs w:val="24"/>
        </w:rPr>
        <w:t>, w formie uchwały stanowiącej akt prawa miejscowego,</w:t>
      </w:r>
      <w:r w:rsidRPr="0081749E">
        <w:rPr>
          <w:sz w:val="24"/>
          <w:szCs w:val="24"/>
        </w:rPr>
        <w:t xml:space="preserve"> sposobu i trybu zgłaszania kandydatur</w:t>
      </w:r>
      <w:r>
        <w:rPr>
          <w:sz w:val="24"/>
          <w:szCs w:val="24"/>
        </w:rPr>
        <w:t>.</w:t>
      </w:r>
      <w:r w:rsidRPr="0081749E">
        <w:rPr>
          <w:rStyle w:val="info-list-value-uzasadnienie"/>
          <w:rFonts w:cstheme="minorHAnsi"/>
          <w:sz w:val="24"/>
          <w:szCs w:val="24"/>
        </w:rPr>
        <w:t xml:space="preserve"> </w:t>
      </w:r>
    </w:p>
    <w:p w:rsidR="00393493" w:rsidRPr="00FB0283" w:rsidRDefault="008B52D2" w:rsidP="00FB0283">
      <w:pPr>
        <w:spacing w:after="0" w:line="300" w:lineRule="exact"/>
        <w:ind w:left="-426" w:right="-569" w:firstLine="709"/>
        <w:jc w:val="both"/>
        <w:rPr>
          <w:rFonts w:cstheme="minorHAnsi"/>
          <w:sz w:val="24"/>
          <w:szCs w:val="24"/>
        </w:rPr>
      </w:pPr>
      <w:r w:rsidRPr="0081749E">
        <w:rPr>
          <w:rFonts w:eastAsia="MS Mincho" w:cstheme="minorHAnsi"/>
          <w:sz w:val="24"/>
          <w:szCs w:val="24"/>
          <w:lang w:eastAsia="pl-PL"/>
        </w:rPr>
        <w:t xml:space="preserve">Mając na uwadze treść </w:t>
      </w:r>
      <w:r>
        <w:rPr>
          <w:rFonts w:eastAsia="MS Mincho" w:cstheme="minorHAnsi"/>
          <w:sz w:val="24"/>
          <w:szCs w:val="24"/>
          <w:lang w:eastAsia="pl-PL"/>
        </w:rPr>
        <w:t xml:space="preserve">zarządzenia Nr 189/VIII/2020 należy stwierdzić, iż Burmistrz Miasta Milanówka, wydając przedmiotowe zarządzenie, </w:t>
      </w:r>
      <w:r>
        <w:rPr>
          <w:rFonts w:eastAsia="MS Mincho" w:cstheme="minorHAnsi"/>
          <w:sz w:val="24"/>
          <w:szCs w:val="24"/>
          <w:lang w:eastAsia="pl-PL"/>
        </w:rPr>
        <w:t>wkroczył w</w:t>
      </w:r>
      <w:r>
        <w:rPr>
          <w:rFonts w:eastAsia="MS Mincho" w:cstheme="minorHAnsi"/>
          <w:sz w:val="24"/>
          <w:szCs w:val="24"/>
          <w:lang w:eastAsia="pl-PL"/>
        </w:rPr>
        <w:t xml:space="preserve"> kompetencj</w:t>
      </w:r>
      <w:r>
        <w:rPr>
          <w:rFonts w:eastAsia="MS Mincho" w:cstheme="minorHAnsi"/>
          <w:sz w:val="24"/>
          <w:szCs w:val="24"/>
          <w:lang w:eastAsia="pl-PL"/>
        </w:rPr>
        <w:t>ę</w:t>
      </w:r>
      <w:r>
        <w:rPr>
          <w:rFonts w:eastAsia="MS Mincho" w:cstheme="minorHAnsi"/>
          <w:sz w:val="24"/>
          <w:szCs w:val="24"/>
          <w:lang w:eastAsia="pl-PL"/>
        </w:rPr>
        <w:t xml:space="preserve"> Rady Miasta poprzez dokonanie regulacji z zakresu działalności przewidzianej przez ustawodawcę wył</w:t>
      </w:r>
      <w:r>
        <w:rPr>
          <w:rFonts w:eastAsia="MS Mincho" w:cstheme="minorHAnsi"/>
          <w:sz w:val="24"/>
          <w:szCs w:val="24"/>
          <w:lang w:eastAsia="pl-PL"/>
        </w:rPr>
        <w:t xml:space="preserve">ącznie dla organu stanowiącego gminy. </w:t>
      </w:r>
      <w:r>
        <w:rPr>
          <w:rFonts w:eastAsia="MS Mincho" w:cstheme="minorHAnsi"/>
          <w:sz w:val="24"/>
          <w:szCs w:val="24"/>
          <w:lang w:eastAsia="pl-PL"/>
        </w:rPr>
        <w:t>Oznacza to, iż zarz</w:t>
      </w:r>
      <w:r>
        <w:rPr>
          <w:rFonts w:eastAsia="MS Mincho" w:cstheme="minorHAnsi"/>
          <w:sz w:val="24"/>
          <w:szCs w:val="24"/>
          <w:lang w:eastAsia="pl-PL"/>
        </w:rPr>
        <w:t xml:space="preserve">ądzenie Nr 189/VIII/2020 zostało wydane z </w:t>
      </w:r>
      <w:r>
        <w:rPr>
          <w:rFonts w:eastAsia="MS Mincho" w:cstheme="minorHAnsi"/>
          <w:sz w:val="24"/>
          <w:szCs w:val="24"/>
          <w:lang w:eastAsia="pl-PL"/>
        </w:rPr>
        <w:t xml:space="preserve">istotnym </w:t>
      </w:r>
      <w:r>
        <w:rPr>
          <w:rFonts w:eastAsia="MS Mincho" w:cstheme="minorHAnsi"/>
          <w:sz w:val="24"/>
          <w:szCs w:val="24"/>
          <w:lang w:eastAsia="pl-PL"/>
        </w:rPr>
        <w:t xml:space="preserve">naruszeniem aktów prawnych wyższego rzędu, tj. </w:t>
      </w:r>
      <w:r>
        <w:rPr>
          <w:rFonts w:eastAsia="MS Mincho" w:cstheme="minorHAnsi"/>
          <w:sz w:val="24"/>
          <w:szCs w:val="24"/>
          <w:lang w:eastAsia="pl-PL"/>
        </w:rPr>
        <w:t>ustawy o samorządzie gminnym.</w:t>
      </w:r>
    </w:p>
    <w:p w:rsidR="00535F7A" w:rsidRDefault="008B52D2" w:rsidP="003D34F2">
      <w:pPr>
        <w:ind w:left="-426" w:right="-569" w:firstLine="568"/>
        <w:jc w:val="both"/>
        <w:rPr>
          <w:rFonts w:cstheme="minorHAnsi"/>
          <w:bCs/>
          <w:sz w:val="24"/>
          <w:szCs w:val="24"/>
        </w:rPr>
      </w:pPr>
      <w:r>
        <w:rPr>
          <w:rFonts w:eastAsia="MS Mincho" w:cstheme="minorHAnsi"/>
          <w:sz w:val="24"/>
          <w:szCs w:val="24"/>
          <w:lang w:eastAsia="pl-PL"/>
        </w:rPr>
        <w:t xml:space="preserve">Niezależnie od powyższego nadmieniam, iż </w:t>
      </w:r>
      <w:r w:rsidRPr="00535F7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pismem z 28 lutego 2020 r. znak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535F7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WNP-I.0552.14.2020.MS organ nadzoru zaskarżył do Wojewódzkiego Sądu Administracyjnego uchwałę Nr</w:t>
      </w:r>
      <w:r w:rsidRPr="00535F7A">
        <w:rPr>
          <w:rFonts w:eastAsia="Calibri" w:cstheme="minorHAnsi"/>
          <w:b/>
          <w:bCs/>
          <w:sz w:val="24"/>
          <w:szCs w:val="24"/>
        </w:rPr>
        <w:t xml:space="preserve"> </w:t>
      </w:r>
      <w:r w:rsidRPr="00535F7A">
        <w:rPr>
          <w:rFonts w:eastAsia="Calibri" w:cstheme="minorHAnsi"/>
          <w:bCs/>
          <w:sz w:val="24"/>
          <w:szCs w:val="24"/>
        </w:rPr>
        <w:t xml:space="preserve">126/XI/19 Rady Miasta Milanówka z dnia 17 października 2019 r. w sprawie </w:t>
      </w:r>
      <w:r w:rsidRPr="00535F7A">
        <w:rPr>
          <w:rFonts w:eastAsia="Calibri" w:cstheme="minorHAnsi"/>
          <w:bCs/>
          <w:i/>
          <w:sz w:val="24"/>
          <w:szCs w:val="24"/>
        </w:rPr>
        <w:t xml:space="preserve">nadania </w:t>
      </w:r>
      <w:r w:rsidRPr="00535F7A">
        <w:rPr>
          <w:rFonts w:eastAsia="Calibri" w:cstheme="minorHAnsi"/>
          <w:bCs/>
          <w:i/>
          <w:sz w:val="24"/>
          <w:szCs w:val="24"/>
        </w:rPr>
        <w:t>tytułu honorowego obywatela Gminy Milanówek oraz zasad i trybu jego nadawania</w:t>
      </w:r>
      <w:r w:rsidRPr="00535F7A">
        <w:rPr>
          <w:rFonts w:eastAsia="Calibri" w:cstheme="minorHAnsi"/>
          <w:bCs/>
          <w:sz w:val="24"/>
          <w:szCs w:val="24"/>
        </w:rPr>
        <w:t xml:space="preserve">, w części § 5 ust. 15 </w:t>
      </w:r>
      <w:r w:rsidRPr="00535F7A">
        <w:rPr>
          <w:rFonts w:eastAsia="Times New Roman" w:cstheme="minorHAnsi"/>
          <w:i/>
          <w:sz w:val="24"/>
          <w:szCs w:val="24"/>
          <w:lang w:eastAsia="pl-PL"/>
        </w:rPr>
        <w:t>Regulaminu nadawania tytułu Honorowego Obywatela Gminy Milanówe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k </w:t>
      </w:r>
      <w:r>
        <w:rPr>
          <w:rFonts w:eastAsia="Calibri" w:cstheme="minorHAnsi"/>
          <w:bCs/>
          <w:sz w:val="24"/>
          <w:szCs w:val="24"/>
        </w:rPr>
        <w:t>(sygn. akt II SA/Wa 718/20)</w:t>
      </w:r>
      <w:r w:rsidRPr="00535F7A">
        <w:rPr>
          <w:rFonts w:eastAsia="Calibri" w:cstheme="minorHAnsi"/>
          <w:bCs/>
          <w:i/>
          <w:sz w:val="24"/>
          <w:szCs w:val="24"/>
        </w:rPr>
        <w:t>.</w:t>
      </w:r>
      <w:r>
        <w:rPr>
          <w:rFonts w:eastAsia="Calibri" w:cstheme="minorHAnsi"/>
          <w:bCs/>
          <w:i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>W chwili wydania niniejszego rozstrzygnięcia orzeczenie nie je</w:t>
      </w:r>
      <w:r>
        <w:rPr>
          <w:rFonts w:eastAsia="Calibri" w:cstheme="minorHAnsi"/>
          <w:bCs/>
          <w:sz w:val="24"/>
          <w:szCs w:val="24"/>
        </w:rPr>
        <w:t xml:space="preserve">st prawomocne, jednakże sąd stwierdził nieważność w zakresie wskazanym w petitum skargi. Oznacza to, iż w pozostałej części uchwała jest prawidłowa i pozostaje w obrocie prawnym w takim brzmieniu, w jakim została podjęta. </w:t>
      </w:r>
    </w:p>
    <w:p w:rsidR="00460746" w:rsidRDefault="008B52D2" w:rsidP="00460746">
      <w:pPr>
        <w:ind w:left="-426" w:right="-569" w:firstLine="56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Reasumując powyższe należy stwier</w:t>
      </w:r>
      <w:r>
        <w:rPr>
          <w:rFonts w:cstheme="minorHAnsi"/>
          <w:bCs/>
          <w:sz w:val="24"/>
          <w:szCs w:val="24"/>
        </w:rPr>
        <w:t xml:space="preserve">dzić, iż Burmistrz Miasta Milanówka, wydając zarządzenie          Nr 189/VIII/2020, </w:t>
      </w:r>
      <w:r>
        <w:rPr>
          <w:rFonts w:cstheme="minorHAnsi"/>
          <w:bCs/>
          <w:sz w:val="24"/>
          <w:szCs w:val="24"/>
        </w:rPr>
        <w:t xml:space="preserve">istotnie </w:t>
      </w:r>
      <w:r>
        <w:rPr>
          <w:rFonts w:cstheme="minorHAnsi"/>
          <w:bCs/>
          <w:sz w:val="24"/>
          <w:szCs w:val="24"/>
        </w:rPr>
        <w:t xml:space="preserve">naruszył dyspozycję art. 18 ust. 2 pkt 14 ustawy o samorządzie gminnym, poprzez </w:t>
      </w:r>
      <w:r>
        <w:rPr>
          <w:rFonts w:cstheme="minorHAnsi"/>
          <w:bCs/>
          <w:sz w:val="24"/>
          <w:szCs w:val="24"/>
        </w:rPr>
        <w:t xml:space="preserve">naruszenie zastrzeżonej ustawowo wyłącznie dla rady gminy </w:t>
      </w:r>
      <w:r>
        <w:rPr>
          <w:rFonts w:cstheme="minorHAnsi"/>
          <w:bCs/>
          <w:sz w:val="24"/>
          <w:szCs w:val="24"/>
        </w:rPr>
        <w:t>kompetencji</w:t>
      </w:r>
      <w:r>
        <w:rPr>
          <w:rFonts w:cstheme="minorHAnsi"/>
          <w:bCs/>
          <w:sz w:val="24"/>
          <w:szCs w:val="24"/>
        </w:rPr>
        <w:t xml:space="preserve"> w zakresie </w:t>
      </w:r>
      <w:r>
        <w:rPr>
          <w:rFonts w:cstheme="minorHAnsi"/>
          <w:bCs/>
          <w:sz w:val="24"/>
          <w:szCs w:val="24"/>
        </w:rPr>
        <w:t>pr</w:t>
      </w:r>
      <w:r>
        <w:rPr>
          <w:rFonts w:cstheme="minorHAnsi"/>
          <w:bCs/>
          <w:sz w:val="24"/>
          <w:szCs w:val="24"/>
        </w:rPr>
        <w:t>zyzna</w:t>
      </w:r>
      <w:r>
        <w:rPr>
          <w:rFonts w:cstheme="minorHAnsi"/>
          <w:bCs/>
          <w:sz w:val="24"/>
          <w:szCs w:val="24"/>
        </w:rPr>
        <w:t>wa</w:t>
      </w:r>
      <w:r>
        <w:rPr>
          <w:rFonts w:cstheme="minorHAnsi"/>
          <w:bCs/>
          <w:sz w:val="24"/>
          <w:szCs w:val="24"/>
        </w:rPr>
        <w:t>nia wyróżnienia zasłużony dla gminy.</w:t>
      </w:r>
    </w:p>
    <w:p w:rsidR="00B757DB" w:rsidRPr="00460746" w:rsidRDefault="008B52D2" w:rsidP="00460746">
      <w:pPr>
        <w:ind w:left="-426" w:right="-569" w:firstLine="568"/>
        <w:jc w:val="both"/>
        <w:rPr>
          <w:rFonts w:cstheme="minorHAnsi"/>
          <w:bCs/>
          <w:sz w:val="24"/>
          <w:szCs w:val="24"/>
        </w:rPr>
      </w:pPr>
      <w:r w:rsidRPr="00393493">
        <w:rPr>
          <w:rFonts w:cstheme="minorHAnsi"/>
          <w:sz w:val="24"/>
          <w:szCs w:val="24"/>
        </w:rPr>
        <w:t xml:space="preserve">Na niniejsze rozstrzygnięcie nadzorcze </w:t>
      </w:r>
      <w:r>
        <w:rPr>
          <w:rFonts w:cstheme="minorHAnsi"/>
          <w:sz w:val="24"/>
          <w:szCs w:val="24"/>
        </w:rPr>
        <w:t>Gminie</w:t>
      </w:r>
      <w:r w:rsidRPr="00393493">
        <w:rPr>
          <w:rFonts w:cstheme="minorHAnsi"/>
          <w:sz w:val="24"/>
          <w:szCs w:val="24"/>
        </w:rPr>
        <w:t xml:space="preserve"> przysługuje skarga do Wojewódzkiego Sądu Administracyjnego w Warszawie w terminie 30 dni od daty doręczenia, wnoszona za pośrednictwem organu, który skarżone orzeczen</w:t>
      </w:r>
      <w:r w:rsidRPr="00393493">
        <w:rPr>
          <w:rFonts w:cstheme="minorHAnsi"/>
          <w:sz w:val="24"/>
          <w:szCs w:val="24"/>
        </w:rPr>
        <w:t>ie wydał.</w:t>
      </w:r>
    </w:p>
    <w:p w:rsidR="00535F7A" w:rsidRDefault="008B52D2" w:rsidP="00535F7A">
      <w:pPr>
        <w:ind w:left="-426" w:right="-569" w:firstLine="568"/>
        <w:jc w:val="both"/>
        <w:rPr>
          <w:rFonts w:cstheme="minorHAnsi"/>
          <w:bCs/>
          <w:sz w:val="24"/>
          <w:szCs w:val="24"/>
        </w:rPr>
      </w:pPr>
      <w:r w:rsidRPr="00393493">
        <w:rPr>
          <w:rFonts w:cstheme="minorHAnsi"/>
          <w:sz w:val="24"/>
          <w:szCs w:val="24"/>
        </w:rPr>
        <w:t xml:space="preserve">Informuję, że rozstrzygnięcie nadzorcze wstrzymuje wykonanie </w:t>
      </w:r>
      <w:r>
        <w:rPr>
          <w:rFonts w:cstheme="minorHAnsi"/>
          <w:sz w:val="24"/>
          <w:szCs w:val="24"/>
        </w:rPr>
        <w:t>zarządzenia</w:t>
      </w:r>
      <w:r w:rsidRPr="00393493">
        <w:rPr>
          <w:rFonts w:cstheme="minorHAnsi"/>
          <w:sz w:val="24"/>
          <w:szCs w:val="24"/>
        </w:rPr>
        <w:t xml:space="preserve"> z mocy prawa, </w:t>
      </w:r>
      <w:r w:rsidRPr="00393493">
        <w:rPr>
          <w:rFonts w:cstheme="minorHAnsi"/>
          <w:bCs/>
          <w:sz w:val="24"/>
          <w:szCs w:val="24"/>
        </w:rPr>
        <w:t>z dniem jego doręczenia.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87"/>
      </w:tblGrid>
      <w:tr w:rsidR="00481D74" w:rsidTr="00824C46">
        <w:tc>
          <w:tcPr>
            <w:tcW w:w="4814" w:type="dxa"/>
          </w:tcPr>
          <w:p w:rsidR="00A754EC" w:rsidRDefault="008B52D2" w:rsidP="00824C46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A754EC" w:rsidRDefault="008B52D2" w:rsidP="00824C46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A754EC" w:rsidRDefault="008B52D2" w:rsidP="00824C46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A754EC" w:rsidRDefault="008B52D2" w:rsidP="00824C46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A754EC" w:rsidRPr="00F10D15" w:rsidRDefault="008B52D2" w:rsidP="00824C46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C45D29" w:rsidRPr="004F5A19" w:rsidRDefault="008B52D2" w:rsidP="00A754EC">
      <w:pPr>
        <w:spacing w:line="240" w:lineRule="auto"/>
        <w:ind w:left="-426" w:right="-569" w:firstLine="710"/>
        <w:jc w:val="both"/>
        <w:rPr>
          <w:rFonts w:cstheme="minorHAnsi"/>
          <w:i/>
        </w:rPr>
      </w:pPr>
    </w:p>
    <w:sectPr w:rsidR="00C45D29" w:rsidRPr="004F5A19" w:rsidSect="008062AF">
      <w:foot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2D2" w:rsidRDefault="008B52D2">
      <w:pPr>
        <w:spacing w:after="0" w:line="240" w:lineRule="auto"/>
      </w:pPr>
      <w:r>
        <w:separator/>
      </w:r>
    </w:p>
  </w:endnote>
  <w:endnote w:type="continuationSeparator" w:id="0">
    <w:p w:rsidR="008B52D2" w:rsidRDefault="008B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AF" w:rsidRDefault="008B52D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062AF" w:rsidRDefault="008B5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2D2" w:rsidRDefault="008B52D2">
      <w:pPr>
        <w:spacing w:after="0" w:line="240" w:lineRule="auto"/>
      </w:pPr>
      <w:r>
        <w:separator/>
      </w:r>
    </w:p>
  </w:footnote>
  <w:footnote w:type="continuationSeparator" w:id="0">
    <w:p w:rsidR="008B52D2" w:rsidRDefault="008B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1F8D"/>
    <w:multiLevelType w:val="hybridMultilevel"/>
    <w:tmpl w:val="C7907C18"/>
    <w:lvl w:ilvl="0" w:tplc="6174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1644DC" w:tentative="1">
      <w:start w:val="1"/>
      <w:numFmt w:val="lowerLetter"/>
      <w:lvlText w:val="%2."/>
      <w:lvlJc w:val="left"/>
      <w:pPr>
        <w:ind w:left="1440" w:hanging="360"/>
      </w:pPr>
    </w:lvl>
    <w:lvl w:ilvl="2" w:tplc="4116423A" w:tentative="1">
      <w:start w:val="1"/>
      <w:numFmt w:val="lowerRoman"/>
      <w:lvlText w:val="%3."/>
      <w:lvlJc w:val="right"/>
      <w:pPr>
        <w:ind w:left="2160" w:hanging="180"/>
      </w:pPr>
    </w:lvl>
    <w:lvl w:ilvl="3" w:tplc="0A549F68" w:tentative="1">
      <w:start w:val="1"/>
      <w:numFmt w:val="decimal"/>
      <w:lvlText w:val="%4."/>
      <w:lvlJc w:val="left"/>
      <w:pPr>
        <w:ind w:left="2880" w:hanging="360"/>
      </w:pPr>
    </w:lvl>
    <w:lvl w:ilvl="4" w:tplc="F634F46A" w:tentative="1">
      <w:start w:val="1"/>
      <w:numFmt w:val="lowerLetter"/>
      <w:lvlText w:val="%5."/>
      <w:lvlJc w:val="left"/>
      <w:pPr>
        <w:ind w:left="3600" w:hanging="360"/>
      </w:pPr>
    </w:lvl>
    <w:lvl w:ilvl="5" w:tplc="101C662C" w:tentative="1">
      <w:start w:val="1"/>
      <w:numFmt w:val="lowerRoman"/>
      <w:lvlText w:val="%6."/>
      <w:lvlJc w:val="right"/>
      <w:pPr>
        <w:ind w:left="4320" w:hanging="180"/>
      </w:pPr>
    </w:lvl>
    <w:lvl w:ilvl="6" w:tplc="2090BECA" w:tentative="1">
      <w:start w:val="1"/>
      <w:numFmt w:val="decimal"/>
      <w:lvlText w:val="%7."/>
      <w:lvlJc w:val="left"/>
      <w:pPr>
        <w:ind w:left="5040" w:hanging="360"/>
      </w:pPr>
    </w:lvl>
    <w:lvl w:ilvl="7" w:tplc="E0AA93FA" w:tentative="1">
      <w:start w:val="1"/>
      <w:numFmt w:val="lowerLetter"/>
      <w:lvlText w:val="%8."/>
      <w:lvlJc w:val="left"/>
      <w:pPr>
        <w:ind w:left="5760" w:hanging="360"/>
      </w:pPr>
    </w:lvl>
    <w:lvl w:ilvl="8" w:tplc="844CB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138C"/>
    <w:multiLevelType w:val="hybridMultilevel"/>
    <w:tmpl w:val="1C6C9E4E"/>
    <w:lvl w:ilvl="0" w:tplc="203E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A88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40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F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C3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09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A4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6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A3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486A"/>
    <w:multiLevelType w:val="hybridMultilevel"/>
    <w:tmpl w:val="AA38D2A2"/>
    <w:lvl w:ilvl="0" w:tplc="6A0022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66AA4" w:tentative="1">
      <w:start w:val="1"/>
      <w:numFmt w:val="lowerLetter"/>
      <w:lvlText w:val="%2."/>
      <w:lvlJc w:val="left"/>
      <w:pPr>
        <w:ind w:left="1440" w:hanging="360"/>
      </w:pPr>
    </w:lvl>
    <w:lvl w:ilvl="2" w:tplc="6DCCB2DE" w:tentative="1">
      <w:start w:val="1"/>
      <w:numFmt w:val="lowerRoman"/>
      <w:lvlText w:val="%3."/>
      <w:lvlJc w:val="right"/>
      <w:pPr>
        <w:ind w:left="2160" w:hanging="180"/>
      </w:pPr>
    </w:lvl>
    <w:lvl w:ilvl="3" w:tplc="6B16A370" w:tentative="1">
      <w:start w:val="1"/>
      <w:numFmt w:val="decimal"/>
      <w:lvlText w:val="%4."/>
      <w:lvlJc w:val="left"/>
      <w:pPr>
        <w:ind w:left="2880" w:hanging="360"/>
      </w:pPr>
    </w:lvl>
    <w:lvl w:ilvl="4" w:tplc="9E14173A" w:tentative="1">
      <w:start w:val="1"/>
      <w:numFmt w:val="lowerLetter"/>
      <w:lvlText w:val="%5."/>
      <w:lvlJc w:val="left"/>
      <w:pPr>
        <w:ind w:left="3600" w:hanging="360"/>
      </w:pPr>
    </w:lvl>
    <w:lvl w:ilvl="5" w:tplc="7346BA16" w:tentative="1">
      <w:start w:val="1"/>
      <w:numFmt w:val="lowerRoman"/>
      <w:lvlText w:val="%6."/>
      <w:lvlJc w:val="right"/>
      <w:pPr>
        <w:ind w:left="4320" w:hanging="180"/>
      </w:pPr>
    </w:lvl>
    <w:lvl w:ilvl="6" w:tplc="6E6ED6C2" w:tentative="1">
      <w:start w:val="1"/>
      <w:numFmt w:val="decimal"/>
      <w:lvlText w:val="%7."/>
      <w:lvlJc w:val="left"/>
      <w:pPr>
        <w:ind w:left="5040" w:hanging="360"/>
      </w:pPr>
    </w:lvl>
    <w:lvl w:ilvl="7" w:tplc="79ECAEBC" w:tentative="1">
      <w:start w:val="1"/>
      <w:numFmt w:val="lowerLetter"/>
      <w:lvlText w:val="%8."/>
      <w:lvlJc w:val="left"/>
      <w:pPr>
        <w:ind w:left="5760" w:hanging="360"/>
      </w:pPr>
    </w:lvl>
    <w:lvl w:ilvl="8" w:tplc="0E925F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74"/>
    <w:rsid w:val="00481D74"/>
    <w:rsid w:val="008B52D2"/>
    <w:rsid w:val="00C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F874-DE0A-4E66-81EE-A314266F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D29"/>
  </w:style>
  <w:style w:type="paragraph" w:styleId="Nagwek1">
    <w:name w:val="heading 1"/>
    <w:basedOn w:val="Normalny"/>
    <w:next w:val="Normalny"/>
    <w:link w:val="Nagwek1Znak"/>
    <w:uiPriority w:val="9"/>
    <w:qFormat/>
    <w:rsid w:val="007D19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5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5D29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5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5D29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D29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C45D29"/>
  </w:style>
  <w:style w:type="paragraph" w:customStyle="1" w:styleId="Standard">
    <w:name w:val="Standard"/>
    <w:rsid w:val="00C45D29"/>
    <w:pPr>
      <w:suppressAutoHyphens/>
      <w:autoSpaceDN w:val="0"/>
      <w:spacing w:line="249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highlight">
    <w:name w:val="highlight"/>
    <w:basedOn w:val="Domylnaczcionkaakapitu"/>
    <w:rsid w:val="00C45D29"/>
  </w:style>
  <w:style w:type="paragraph" w:styleId="NormalnyWeb">
    <w:name w:val="Normal (Web)"/>
    <w:basedOn w:val="Normalny"/>
    <w:uiPriority w:val="99"/>
    <w:semiHidden/>
    <w:unhideWhenUsed/>
    <w:rsid w:val="00C4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25A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D1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7D195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19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C36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link w:val="Teksttreci40"/>
    <w:locked/>
    <w:rsid w:val="00A754EC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754EC"/>
    <w:pPr>
      <w:widowControl w:val="0"/>
      <w:shd w:val="clear" w:color="auto" w:fill="FFFFFF"/>
      <w:spacing w:after="0" w:line="338" w:lineRule="exact"/>
      <w:ind w:firstLine="709"/>
      <w:jc w:val="both"/>
    </w:pPr>
    <w:rPr>
      <w:rFonts w:ascii="Calibri" w:hAnsi="Calibri"/>
      <w:b/>
      <w:sz w:val="28"/>
    </w:rPr>
  </w:style>
  <w:style w:type="table" w:styleId="Tabela-Siatka">
    <w:name w:val="Table Grid"/>
    <w:basedOn w:val="Standardowy"/>
    <w:uiPriority w:val="39"/>
    <w:rsid w:val="00A7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Jadczyk-Sternicka</dc:creator>
  <cp:lastModifiedBy>Beata Darnowska</cp:lastModifiedBy>
  <cp:revision>2</cp:revision>
  <cp:lastPrinted>2020-02-27T11:17:00Z</cp:lastPrinted>
  <dcterms:created xsi:type="dcterms:W3CDTF">2021-02-11T09:47:00Z</dcterms:created>
  <dcterms:modified xsi:type="dcterms:W3CDTF">2021-02-11T09:47:00Z</dcterms:modified>
</cp:coreProperties>
</file>