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104F" w14:textId="314EEFB5" w:rsidR="00693119" w:rsidRPr="00C2552A" w:rsidRDefault="001B6D23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01E30784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</w:t>
      </w:r>
      <w:r w:rsidR="005028D5">
        <w:rPr>
          <w:rFonts w:ascii="Open Sans Light" w:hAnsi="Open Sans Light" w:cs="Open Sans Light"/>
          <w:sz w:val="22"/>
          <w:szCs w:val="22"/>
        </w:rPr>
        <w:t>4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5028D5" w:rsidRPr="005028D5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5F5FC18E" w14:textId="7940CEED" w:rsidR="0076363B" w:rsidRDefault="00021A0C" w:rsidP="00A32E0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F4758D" w:rsidRPr="00F4758D">
        <w:rPr>
          <w:rFonts w:ascii="Open Sans Light" w:hAnsi="Open Sans Light" w:cs="Open Sans Light"/>
          <w:sz w:val="22"/>
          <w:szCs w:val="22"/>
        </w:rPr>
        <w:t>Optymalizacja gospodarki surowcami i odpadami w przedsiębiorstwach w celu realizacji założeń GOZ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77777777" w:rsidR="005407B9" w:rsidRPr="00C2552A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68C6B6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9C2063" w14:textId="77777777" w:rsidR="002174DE" w:rsidRPr="00D44DC8" w:rsidRDefault="002174DE" w:rsidP="002621FC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C0AB9EA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228B1AC1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D8E224C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60C6A2B0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3F5C150D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AA068C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06E0074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246485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246485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umieszczone we wniosku o dofinansowanie, w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5F1D98C2" w:rsidR="006114C6" w:rsidRPr="00D44DC8" w:rsidRDefault="00D836AC" w:rsidP="00D836AC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F7BB2BF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17851332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852428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F8FFDF3" w14:textId="19C25D80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5028D5" w:rsidRPr="005028D5">
        <w:rPr>
          <w:rFonts w:ascii="Open Sans Light" w:hAnsi="Open Sans Light" w:cs="Open Sans Light"/>
          <w:b/>
          <w:sz w:val="20"/>
          <w:szCs w:val="20"/>
        </w:rPr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0B324143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555E3D7F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Weryfikacji w ramach kryterium podlega:</w:t>
            </w:r>
          </w:p>
          <w:p w14:paraId="1B6A0476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1) zgodność z miejscowym planem zagospodarowania przestrzennego (mpzp), a w przypadku braku mpzp – z ostateczną decyzją o warunkach zabudowy i zagospodarowania terenu (decyzja o warunkach zabudowy lub ostateczną decyzja o lokalizacji inwestycji celu publicznego)</w:t>
            </w:r>
          </w:p>
          <w:p w14:paraId="2301447D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2) w przypadku objętych projektem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 oraz sporządzono dokumentację wymaganą w związku z postępowaniem w sprawie udzielenia zamówienia (SIWZ i ogłoszenie) dla kontraktów na roboty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w stosunku do całkowitej wartości zadań planowanych do realizacji (wymagających pozwolenia na budowę albo zgłoszenia budowy lub robót budowlanych) wg. warunków kontraktowych „Czerwonej Książki FIDIC” (lub równoważnej) – min. 40 %</w:t>
            </w:r>
          </w:p>
          <w:p w14:paraId="02AD4582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3) w przypadku objętych projektem zadań realizowanych zgodnie z „Warunkami Kontraktowymi dla Urządzeń oraz Projektowania i Budowy - dla urządzeń elektrycznych i mechanicznych oraz robót inżynieryjnych i budowlanych 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projektowanych przez wykonawcę” tzw. Żółta Książka FIDIC (lub równoważnymi) – posiadanie dokumentacji wymaganej w związku z postępowaniem w sprawie udzielenia zamówienia (SIWZ i ogłoszenie) dla wszystkich zadań realizowanych wg Żółtej Książki FIDIC (lub równoważnej)</w:t>
            </w:r>
          </w:p>
          <w:p w14:paraId="4C503463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4) w przypadku zadań realizowanych w ramach partnerstwa publiczno-prywatnego – posiadanie dokumentacji niezbędnej do rozpoczęcia postępowania mającego na celu wybór partnera prywatnego.</w:t>
            </w:r>
          </w:p>
          <w:p w14:paraId="3D8BB05E" w14:textId="77777777" w:rsid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3BF6A198" w14:textId="084E43CC" w:rsidR="005028D5" w:rsidRPr="005028D5" w:rsidRDefault="005028D5" w:rsidP="005028D5">
            <w:pPr>
              <w:ind w:left="360" w:hanging="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Ocena „Tak” przysługuje, gdy łącznie spełnione są warunki z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punktora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pierwszego i każdego spośród pozostałych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, których zapisy mają zastosowanie do danego wniosku.</w:t>
            </w:r>
          </w:p>
          <w:p w14:paraId="35946FC9" w14:textId="77777777" w:rsid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0A31E439" w14:textId="32F9D606" w:rsidR="00A32E09" w:rsidRPr="00D44DC8" w:rsidRDefault="005028D5" w:rsidP="005028D5">
            <w:pPr>
              <w:ind w:left="360" w:hanging="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Pozytywna ocena, obok spełnienia wymogów określonych w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punktorze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pierwszym, wymaga również spełnienia wymogów z co najmniej jednego spośród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drugiego i trzeciego.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94BF07E" w14:textId="77777777" w:rsidR="004D13A2" w:rsidRPr="00D44DC8" w:rsidRDefault="004D13A2" w:rsidP="004D13A2">
      <w:pPr>
        <w:rPr>
          <w:rFonts w:ascii="Open Sans Light" w:hAnsi="Open Sans Light" w:cs="Open Sans Light"/>
          <w:b/>
        </w:rPr>
      </w:pPr>
    </w:p>
    <w:p w14:paraId="1010A764" w14:textId="77777777" w:rsidR="00700C27" w:rsidRPr="00D44DC8" w:rsidRDefault="00700C27" w:rsidP="004D13A2">
      <w:pPr>
        <w:rPr>
          <w:rFonts w:ascii="Open Sans Light" w:hAnsi="Open Sans Light" w:cs="Open Sans Light"/>
          <w:b/>
        </w:rPr>
      </w:pPr>
      <w:bookmarkStart w:id="5" w:name="_GoBack"/>
      <w:bookmarkEnd w:id="5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F404" w14:textId="78024AA9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F4758D" w:rsidRPr="00F4758D">
      <w:rPr>
        <w:rFonts w:ascii="Calibri Light" w:hAnsi="Calibri Light"/>
        <w:noProof/>
        <w:sz w:val="28"/>
        <w:szCs w:val="28"/>
      </w:rPr>
      <w:t>6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B59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8692F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B3B18"/>
    <w:multiLevelType w:val="hybridMultilevel"/>
    <w:tmpl w:val="2312C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594B"/>
    <w:multiLevelType w:val="hybridMultilevel"/>
    <w:tmpl w:val="784A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51DE3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12"/>
  </w:num>
  <w:num w:numId="10">
    <w:abstractNumId w:val="10"/>
  </w:num>
  <w:num w:numId="11">
    <w:abstractNumId w:val="3"/>
  </w:num>
  <w:num w:numId="12">
    <w:abstractNumId w:val="11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8D5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6F34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0C27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3BA9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23E1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046CD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B15B2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4758D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5D9CF-D47B-4CBC-9189-6EF083C3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1106</Words>
  <Characters>7825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10</cp:revision>
  <cp:lastPrinted>2019-11-26T12:24:00Z</cp:lastPrinted>
  <dcterms:created xsi:type="dcterms:W3CDTF">2023-10-27T13:52:00Z</dcterms:created>
  <dcterms:modified xsi:type="dcterms:W3CDTF">2024-09-03T08:48:00Z</dcterms:modified>
</cp:coreProperties>
</file>