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BB9A8" w14:textId="57AB5A0F" w:rsidR="00D008AE" w:rsidRPr="009744F4" w:rsidRDefault="002814B8" w:rsidP="00D008AE">
      <w:pPr>
        <w:tabs>
          <w:tab w:val="num" w:pos="720"/>
        </w:tabs>
        <w:spacing w:before="240" w:line="276" w:lineRule="auto"/>
        <w:jc w:val="center"/>
        <w:rPr>
          <w:rFonts w:ascii="Open Sans Light" w:hAnsi="Open Sans Light" w:cs="Open Sans Light"/>
          <w:b/>
          <w:bCs/>
        </w:rPr>
      </w:pPr>
      <w:bookmarkStart w:id="0" w:name="_GoBack"/>
      <w:bookmarkEnd w:id="0"/>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D008AE">
      <w:pPr>
        <w:spacing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(FEnIKS)</w:t>
      </w:r>
    </w:p>
    <w:p w14:paraId="7DD43DB3" w14:textId="77777777" w:rsidR="00C220EB" w:rsidRPr="009744F4" w:rsidRDefault="00C220EB" w:rsidP="00C220EB">
      <w:pPr>
        <w:tabs>
          <w:tab w:val="num" w:pos="720"/>
        </w:tabs>
        <w:spacing w:line="276" w:lineRule="auto"/>
        <w:jc w:val="both"/>
        <w:rPr>
          <w:rFonts w:ascii="Open Sans Light" w:hAnsi="Open Sans Light" w:cs="Open Sans Light"/>
          <w:b/>
          <w:bCs/>
        </w:rPr>
      </w:pP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C220EB">
      <w:pPr>
        <w:spacing w:line="276" w:lineRule="auto"/>
        <w:rPr>
          <w:rFonts w:ascii="Open Sans Light" w:hAnsi="Open Sans Light" w:cs="Open Sans Light"/>
          <w:b/>
        </w:rPr>
      </w:pPr>
    </w:p>
    <w:p w14:paraId="76008A33" w14:textId="77777777" w:rsidR="00D008AE" w:rsidRPr="009744F4" w:rsidRDefault="00D008AE" w:rsidP="00C220EB">
      <w:pPr>
        <w:spacing w:line="276" w:lineRule="auto"/>
        <w:rPr>
          <w:rFonts w:ascii="Open Sans Light" w:hAnsi="Open Sans Light" w:cs="Open Sans Light"/>
          <w:b/>
        </w:rPr>
      </w:pPr>
    </w:p>
    <w:p w14:paraId="0DC2AD1C"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5D5BF17E" w14:textId="77777777" w:rsidR="008D3486" w:rsidRPr="008D3486" w:rsidRDefault="008D3486" w:rsidP="008D3486">
      <w:pPr>
        <w:tabs>
          <w:tab w:val="num" w:pos="720"/>
        </w:tabs>
        <w:spacing w:line="276" w:lineRule="auto"/>
        <w:jc w:val="both"/>
        <w:rPr>
          <w:rFonts w:ascii="Open Sans Light" w:hAnsi="Open Sans Light" w:cs="Open Sans Light"/>
          <w:b/>
          <w:bCs/>
          <w:sz w:val="22"/>
          <w:szCs w:val="22"/>
        </w:rPr>
      </w:pPr>
      <w:r w:rsidRPr="008D3486">
        <w:rPr>
          <w:rFonts w:ascii="Open Sans Light" w:hAnsi="Open Sans Light" w:cs="Open Sans Light"/>
          <w:bCs/>
          <w:sz w:val="22"/>
          <w:szCs w:val="22"/>
        </w:rPr>
        <w:t xml:space="preserve">Działanie: </w:t>
      </w:r>
      <w:r w:rsidRPr="008D3486">
        <w:rPr>
          <w:rFonts w:ascii="Open Sans Light" w:hAnsi="Open Sans Light" w:cs="Open Sans Light"/>
          <w:b/>
          <w:bCs/>
          <w:sz w:val="22"/>
          <w:szCs w:val="22"/>
        </w:rPr>
        <w:t xml:space="preserve"> FENX.01.04 Gospodarka odpadami oraz gospodarka o obiegu zamkniętym</w:t>
      </w:r>
    </w:p>
    <w:p w14:paraId="5CB179CC" w14:textId="4628FD3B" w:rsidR="00474064" w:rsidRPr="009744F4" w:rsidRDefault="008D3486" w:rsidP="0046776A">
      <w:pPr>
        <w:spacing w:line="276" w:lineRule="auto"/>
        <w:jc w:val="both"/>
        <w:rPr>
          <w:rFonts w:ascii="Open Sans Light" w:hAnsi="Open Sans Light" w:cs="Open Sans Light"/>
          <w:b/>
        </w:rPr>
      </w:pPr>
      <w:r w:rsidRPr="008D3486">
        <w:rPr>
          <w:rFonts w:ascii="Open Sans Light" w:hAnsi="Open Sans Light" w:cs="Open Sans Light"/>
          <w:sz w:val="22"/>
          <w:szCs w:val="22"/>
        </w:rPr>
        <w:t xml:space="preserve">Typ projektu:  </w:t>
      </w:r>
      <w:r w:rsidR="0046776A" w:rsidRPr="0046776A">
        <w:rPr>
          <w:rFonts w:ascii="Open Sans Light" w:hAnsi="Open Sans Light" w:cs="Open Sans Light"/>
          <w:sz w:val="22"/>
          <w:szCs w:val="22"/>
        </w:rPr>
        <w:t>Optymalizacja gospodarki surowcami i odpadami w przedsiębiorstwach w celu realizacji założeń GOZ</w:t>
      </w:r>
    </w:p>
    <w:p w14:paraId="7324F3C3" w14:textId="77777777" w:rsidR="0046776A" w:rsidRDefault="0046776A" w:rsidP="00C220EB">
      <w:pPr>
        <w:spacing w:line="276" w:lineRule="auto"/>
        <w:rPr>
          <w:rFonts w:ascii="Open Sans Light" w:hAnsi="Open Sans Light" w:cs="Open Sans Light"/>
          <w:b/>
        </w:rPr>
      </w:pPr>
    </w:p>
    <w:p w14:paraId="1CBF5B29" w14:textId="77777777" w:rsidR="0046776A" w:rsidRDefault="0046776A" w:rsidP="00C220EB">
      <w:pPr>
        <w:spacing w:line="276" w:lineRule="auto"/>
        <w:rPr>
          <w:rFonts w:ascii="Open Sans Light" w:hAnsi="Open Sans Light" w:cs="Open Sans Light"/>
          <w:b/>
        </w:rPr>
      </w:pPr>
    </w:p>
    <w:p w14:paraId="1F9A6DE0" w14:textId="14A86F3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75F59B" w14:textId="77777777" w:rsidR="00474064" w:rsidRPr="009744F4" w:rsidRDefault="00474064" w:rsidP="00C220EB">
      <w:pPr>
        <w:spacing w:line="276" w:lineRule="auto"/>
        <w:rPr>
          <w:rFonts w:ascii="Open Sans Light" w:hAnsi="Open Sans Light" w:cs="Open Sans Light"/>
          <w:b/>
        </w:rPr>
      </w:pP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E00CE62" w14:textId="77777777" w:rsidR="00474064" w:rsidRPr="009744F4" w:rsidRDefault="00474064" w:rsidP="00CB4E99">
      <w:pPr>
        <w:spacing w:line="276" w:lineRule="auto"/>
        <w:rPr>
          <w:rFonts w:ascii="Open Sans Light" w:hAnsi="Open Sans Light" w:cs="Open Sans Light"/>
          <w:b/>
        </w:rPr>
      </w:pP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p w14:paraId="5FAE1DEF" w14:textId="77777777" w:rsidR="00C220EB" w:rsidRPr="00E55F86" w:rsidRDefault="00C220EB" w:rsidP="00C220EB">
      <w:pPr>
        <w:spacing w:line="276" w:lineRule="auto"/>
        <w:rPr>
          <w:rFonts w:ascii="Open Sans Light" w:hAnsi="Open Sans Light" w:cs="Open Sans Light"/>
          <w:sz w:val="20"/>
          <w:szCs w:val="20"/>
        </w:rPr>
      </w:pPr>
    </w:p>
    <w:p w14:paraId="4054B0B2" w14:textId="77777777" w:rsidR="0089168C" w:rsidRPr="00E55F86" w:rsidRDefault="0089168C" w:rsidP="00C220EB">
      <w:pPr>
        <w:spacing w:line="276" w:lineRule="auto"/>
        <w:rPr>
          <w:rFonts w:ascii="Open Sans Light" w:hAnsi="Open Sans Light" w:cs="Open Sans Light"/>
          <w:sz w:val="20"/>
          <w:szCs w:val="20"/>
        </w:rPr>
      </w:pPr>
    </w:p>
    <w:p w14:paraId="0C0B7828" w14:textId="77777777" w:rsidR="0089168C" w:rsidRPr="00E55F86" w:rsidRDefault="0089168C" w:rsidP="00C220EB">
      <w:pPr>
        <w:spacing w:line="276" w:lineRule="auto"/>
        <w:rPr>
          <w:rFonts w:ascii="Open Sans Light" w:hAnsi="Open Sans Light" w:cs="Open Sans Light"/>
          <w:sz w:val="20"/>
          <w:szCs w:val="20"/>
        </w:rPr>
      </w:pPr>
    </w:p>
    <w:p w14:paraId="2F0D41B1" w14:textId="77777777" w:rsidR="00E65B5B" w:rsidRPr="00E55F86" w:rsidRDefault="00E65B5B" w:rsidP="00C220EB">
      <w:pPr>
        <w:spacing w:line="276" w:lineRule="auto"/>
        <w:rPr>
          <w:rFonts w:ascii="Open Sans Light" w:hAnsi="Open Sans Light" w:cs="Open Sans Light"/>
          <w:sz w:val="20"/>
          <w:szCs w:val="20"/>
        </w:rPr>
      </w:pPr>
    </w:p>
    <w:p w14:paraId="2A9DEEC1" w14:textId="18C5A2AC" w:rsidR="00E65B5B" w:rsidRDefault="00E65B5B" w:rsidP="00C220EB">
      <w:pPr>
        <w:spacing w:line="276" w:lineRule="auto"/>
        <w:rPr>
          <w:rFonts w:ascii="Open Sans Light" w:hAnsi="Open Sans Light" w:cs="Open Sans Light"/>
          <w:sz w:val="20"/>
          <w:szCs w:val="20"/>
        </w:rPr>
      </w:pPr>
    </w:p>
    <w:p w14:paraId="70FE53F5" w14:textId="2FBFC9DE" w:rsidR="00387806" w:rsidRDefault="00387806" w:rsidP="00C220EB">
      <w:pPr>
        <w:spacing w:line="276" w:lineRule="auto"/>
        <w:rPr>
          <w:rFonts w:ascii="Open Sans Light" w:hAnsi="Open Sans Light" w:cs="Open Sans Light"/>
          <w:sz w:val="20"/>
          <w:szCs w:val="20"/>
        </w:rPr>
      </w:pPr>
    </w:p>
    <w:p w14:paraId="6BB00896" w14:textId="122EC4C3" w:rsidR="00387806" w:rsidRDefault="00387806" w:rsidP="00C220EB">
      <w:pPr>
        <w:spacing w:line="276" w:lineRule="auto"/>
        <w:rPr>
          <w:rFonts w:ascii="Open Sans Light" w:hAnsi="Open Sans Light" w:cs="Open Sans Light"/>
          <w:sz w:val="20"/>
          <w:szCs w:val="20"/>
        </w:rPr>
      </w:pPr>
    </w:p>
    <w:p w14:paraId="273F2B2F" w14:textId="77777777" w:rsidR="00387806" w:rsidRPr="00E55F86" w:rsidRDefault="00387806" w:rsidP="00C220EB">
      <w:pPr>
        <w:spacing w:line="276" w:lineRule="auto"/>
        <w:rPr>
          <w:rFonts w:ascii="Open Sans Light" w:hAnsi="Open Sans Light" w:cs="Open Sans Light"/>
          <w:sz w:val="20"/>
          <w:szCs w:val="20"/>
        </w:rPr>
      </w:pPr>
    </w:p>
    <w:p w14:paraId="07DD3896" w14:textId="77777777" w:rsidR="00E65B5B" w:rsidRPr="00E55F86" w:rsidRDefault="00E65B5B" w:rsidP="00C220EB">
      <w:pPr>
        <w:spacing w:line="276" w:lineRule="auto"/>
        <w:rPr>
          <w:rFonts w:ascii="Open Sans Light" w:hAnsi="Open Sans Light" w:cs="Open Sans Light"/>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88258A" w:rsidRPr="00E55F86" w14:paraId="488F8596" w14:textId="77777777" w:rsidTr="00A76A7D">
        <w:trPr>
          <w:trHeight w:val="1545"/>
        </w:trPr>
        <w:tc>
          <w:tcPr>
            <w:tcW w:w="497" w:type="dxa"/>
            <w:tcBorders>
              <w:top w:val="single" w:sz="4" w:space="0" w:color="000000"/>
              <w:left w:val="single" w:sz="4" w:space="0" w:color="000000"/>
              <w:bottom w:val="single" w:sz="4" w:space="0" w:color="000000"/>
            </w:tcBorders>
          </w:tcPr>
          <w:p w14:paraId="323798CB"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1</w:t>
            </w:r>
          </w:p>
        </w:tc>
        <w:tc>
          <w:tcPr>
            <w:tcW w:w="2337" w:type="dxa"/>
          </w:tcPr>
          <w:p w14:paraId="19ED7B44" w14:textId="136472A7" w:rsidR="0088258A" w:rsidRPr="008D3486" w:rsidRDefault="00C22399" w:rsidP="0065340A">
            <w:pPr>
              <w:tabs>
                <w:tab w:val="left" w:pos="0"/>
              </w:tabs>
              <w:snapToGrid w:val="0"/>
              <w:spacing w:before="120" w:after="120"/>
              <w:rPr>
                <w:rFonts w:ascii="Open Sans" w:hAnsi="Open Sans" w:cs="Open Sans"/>
                <w:sz w:val="20"/>
                <w:szCs w:val="20"/>
                <w:highlight w:val="red"/>
                <w:lang w:eastAsia="ar-SA"/>
              </w:rPr>
            </w:pPr>
            <w:r w:rsidRPr="00C22399">
              <w:rPr>
                <w:rFonts w:ascii="Open Sans" w:hAnsi="Open Sans" w:cs="Open Sans"/>
                <w:sz w:val="20"/>
                <w:szCs w:val="20"/>
                <w:lang w:eastAsia="ar-SA"/>
              </w:rPr>
              <w:t>Efektywność kosztowa projektu w</w:t>
            </w:r>
            <w:r w:rsidR="0065340A">
              <w:rPr>
                <w:rFonts w:ascii="Open Sans" w:hAnsi="Open Sans" w:cs="Open Sans"/>
                <w:sz w:val="20"/>
                <w:szCs w:val="20"/>
                <w:lang w:eastAsia="ar-SA"/>
              </w:rPr>
              <w:t xml:space="preserve"> </w:t>
            </w:r>
            <w:r w:rsidRPr="00C22399">
              <w:rPr>
                <w:rFonts w:ascii="Open Sans" w:hAnsi="Open Sans" w:cs="Open Sans"/>
                <w:sz w:val="20"/>
                <w:szCs w:val="20"/>
                <w:lang w:eastAsia="ar-SA"/>
              </w:rPr>
              <w:t xml:space="preserve">zakresie ograniczenia </w:t>
            </w:r>
            <w:r w:rsidR="0065340A">
              <w:rPr>
                <w:rFonts w:ascii="Open Sans" w:hAnsi="Open Sans" w:cs="Open Sans"/>
                <w:sz w:val="20"/>
                <w:szCs w:val="20"/>
                <w:lang w:eastAsia="ar-SA"/>
              </w:rPr>
              <w:t>s</w:t>
            </w:r>
            <w:r w:rsidRPr="00C22399">
              <w:rPr>
                <w:rFonts w:ascii="Open Sans" w:hAnsi="Open Sans" w:cs="Open Sans"/>
                <w:sz w:val="20"/>
                <w:szCs w:val="20"/>
                <w:lang w:eastAsia="ar-SA"/>
              </w:rPr>
              <w:t>kładowania</w:t>
            </w:r>
            <w:r w:rsidR="0065340A">
              <w:rPr>
                <w:rFonts w:ascii="Open Sans" w:hAnsi="Open Sans" w:cs="Open Sans"/>
                <w:sz w:val="20"/>
                <w:szCs w:val="20"/>
                <w:lang w:eastAsia="ar-SA"/>
              </w:rPr>
              <w:t xml:space="preserve"> </w:t>
            </w:r>
            <w:r w:rsidRPr="00C22399">
              <w:rPr>
                <w:rFonts w:ascii="Open Sans" w:hAnsi="Open Sans" w:cs="Open Sans"/>
                <w:sz w:val="20"/>
                <w:szCs w:val="20"/>
                <w:lang w:eastAsia="ar-SA"/>
              </w:rPr>
              <w:t>odpadów</w:t>
            </w:r>
          </w:p>
        </w:tc>
        <w:tc>
          <w:tcPr>
            <w:tcW w:w="3926" w:type="dxa"/>
          </w:tcPr>
          <w:p w14:paraId="041A445B" w14:textId="616161C1" w:rsidR="00C22399" w:rsidRPr="00C22399" w:rsidRDefault="00C22399" w:rsidP="00C22399">
            <w:pPr>
              <w:tabs>
                <w:tab w:val="left" w:pos="-148"/>
              </w:tabs>
              <w:snapToGrid w:val="0"/>
              <w:spacing w:before="120" w:after="120"/>
              <w:jc w:val="both"/>
              <w:rPr>
                <w:rFonts w:ascii="Open Sans" w:hAnsi="Open Sans" w:cs="Open Sans"/>
                <w:sz w:val="20"/>
                <w:szCs w:val="20"/>
                <w:lang w:eastAsia="ar-SA"/>
              </w:rPr>
            </w:pPr>
            <w:r w:rsidRPr="00C22399">
              <w:rPr>
                <w:rFonts w:ascii="Open Sans" w:hAnsi="Open Sans" w:cs="Open Sans"/>
                <w:sz w:val="20"/>
                <w:szCs w:val="20"/>
                <w:lang w:eastAsia="ar-SA"/>
              </w:rPr>
              <w:t>Ocenie podlega efektywność kosztowa projektu w zakresie</w:t>
            </w:r>
            <w:r>
              <w:rPr>
                <w:rFonts w:ascii="Open Sans" w:hAnsi="Open Sans" w:cs="Open Sans"/>
                <w:sz w:val="20"/>
                <w:szCs w:val="20"/>
                <w:lang w:eastAsia="ar-SA"/>
              </w:rPr>
              <w:t xml:space="preserve"> </w:t>
            </w:r>
            <w:r w:rsidRPr="00C22399">
              <w:rPr>
                <w:rFonts w:ascii="Open Sans" w:hAnsi="Open Sans" w:cs="Open Sans"/>
                <w:sz w:val="20"/>
                <w:szCs w:val="20"/>
                <w:lang w:eastAsia="ar-SA"/>
              </w:rPr>
              <w:t>ograniczenia składowania odpadów rozumiana jako</w:t>
            </w:r>
            <w:r>
              <w:rPr>
                <w:rFonts w:ascii="Open Sans" w:hAnsi="Open Sans" w:cs="Open Sans"/>
                <w:sz w:val="20"/>
                <w:szCs w:val="20"/>
                <w:lang w:eastAsia="ar-SA"/>
              </w:rPr>
              <w:t xml:space="preserve"> </w:t>
            </w:r>
            <w:r w:rsidRPr="00C22399">
              <w:rPr>
                <w:rFonts w:ascii="Open Sans" w:hAnsi="Open Sans" w:cs="Open Sans"/>
                <w:sz w:val="20"/>
                <w:szCs w:val="20"/>
                <w:lang w:eastAsia="ar-SA"/>
              </w:rPr>
              <w:t>wysokość unikniętej opłaty za umieszczenie odpadów na</w:t>
            </w:r>
            <w:r>
              <w:rPr>
                <w:rFonts w:ascii="Open Sans" w:hAnsi="Open Sans" w:cs="Open Sans"/>
                <w:sz w:val="20"/>
                <w:szCs w:val="20"/>
                <w:lang w:eastAsia="ar-SA"/>
              </w:rPr>
              <w:t xml:space="preserve"> </w:t>
            </w:r>
            <w:r w:rsidRPr="00C22399">
              <w:rPr>
                <w:rFonts w:ascii="Open Sans" w:hAnsi="Open Sans" w:cs="Open Sans"/>
                <w:sz w:val="20"/>
                <w:szCs w:val="20"/>
                <w:lang w:eastAsia="ar-SA"/>
              </w:rPr>
              <w:t>składowisku (tzw. opłaty „marszałkowskiej”)</w:t>
            </w:r>
            <w:r>
              <w:rPr>
                <w:rFonts w:ascii="Open Sans" w:hAnsi="Open Sans" w:cs="Open Sans"/>
                <w:sz w:val="20"/>
                <w:szCs w:val="20"/>
                <w:lang w:eastAsia="ar-SA"/>
              </w:rPr>
              <w:t xml:space="preserve"> </w:t>
            </w:r>
            <w:r w:rsidRPr="00C22399">
              <w:rPr>
                <w:rFonts w:ascii="Open Sans" w:hAnsi="Open Sans" w:cs="Open Sans"/>
                <w:sz w:val="20"/>
                <w:szCs w:val="20"/>
                <w:lang w:eastAsia="ar-SA"/>
              </w:rPr>
              <w:t>wygenerowanej dzięki realizacji projektu. Kryterium mierzy</w:t>
            </w:r>
            <w:r>
              <w:rPr>
                <w:rFonts w:ascii="Open Sans" w:hAnsi="Open Sans" w:cs="Open Sans"/>
                <w:sz w:val="20"/>
                <w:szCs w:val="20"/>
                <w:lang w:eastAsia="ar-SA"/>
              </w:rPr>
              <w:t xml:space="preserve"> </w:t>
            </w:r>
            <w:r w:rsidRPr="00C22399">
              <w:rPr>
                <w:rFonts w:ascii="Open Sans" w:hAnsi="Open Sans" w:cs="Open Sans"/>
                <w:sz w:val="20"/>
                <w:szCs w:val="20"/>
                <w:lang w:eastAsia="ar-SA"/>
              </w:rPr>
              <w:t>teoretyczną wysokość unikniętej opłaty w scenariuszu</w:t>
            </w:r>
            <w:r>
              <w:rPr>
                <w:rFonts w:ascii="Open Sans" w:hAnsi="Open Sans" w:cs="Open Sans"/>
                <w:sz w:val="20"/>
                <w:szCs w:val="20"/>
                <w:lang w:eastAsia="ar-SA"/>
              </w:rPr>
              <w:t xml:space="preserve"> </w:t>
            </w:r>
            <w:r w:rsidRPr="00C22399">
              <w:rPr>
                <w:rFonts w:ascii="Open Sans" w:hAnsi="Open Sans" w:cs="Open Sans"/>
                <w:sz w:val="20"/>
                <w:szCs w:val="20"/>
                <w:lang w:eastAsia="ar-SA"/>
              </w:rPr>
              <w:t>realizacji projektu względem sytuacji braku jego realizacji.</w:t>
            </w:r>
          </w:p>
          <w:p w14:paraId="474203FE" w14:textId="0274AA24" w:rsidR="00C22399" w:rsidRPr="00C22399" w:rsidRDefault="00C22399" w:rsidP="00C22399">
            <w:pPr>
              <w:tabs>
                <w:tab w:val="left" w:pos="-148"/>
              </w:tabs>
              <w:snapToGrid w:val="0"/>
              <w:spacing w:before="120" w:after="120"/>
              <w:jc w:val="both"/>
              <w:rPr>
                <w:rFonts w:ascii="Open Sans" w:hAnsi="Open Sans" w:cs="Open Sans"/>
                <w:sz w:val="20"/>
                <w:szCs w:val="20"/>
                <w:lang w:eastAsia="ar-SA"/>
              </w:rPr>
            </w:pPr>
            <w:r w:rsidRPr="00C22399">
              <w:rPr>
                <w:rFonts w:ascii="Open Sans" w:hAnsi="Open Sans" w:cs="Open Sans"/>
                <w:sz w:val="20"/>
                <w:szCs w:val="20"/>
                <w:lang w:eastAsia="ar-SA"/>
              </w:rPr>
              <w:t>Wartość unikniętej opłaty „marszałkowskiej” kalkulowana</w:t>
            </w:r>
            <w:r>
              <w:rPr>
                <w:rFonts w:ascii="Open Sans" w:hAnsi="Open Sans" w:cs="Open Sans"/>
                <w:sz w:val="20"/>
                <w:szCs w:val="20"/>
                <w:lang w:eastAsia="ar-SA"/>
              </w:rPr>
              <w:t xml:space="preserve"> </w:t>
            </w:r>
            <w:r w:rsidRPr="00C22399">
              <w:rPr>
                <w:rFonts w:ascii="Open Sans" w:hAnsi="Open Sans" w:cs="Open Sans"/>
                <w:sz w:val="20"/>
                <w:szCs w:val="20"/>
                <w:lang w:eastAsia="ar-SA"/>
              </w:rPr>
              <w:t>jest poprzez przemnożenie jednostkowej stawki opłaty</w:t>
            </w:r>
            <w:r>
              <w:rPr>
                <w:rFonts w:ascii="Open Sans" w:hAnsi="Open Sans" w:cs="Open Sans"/>
                <w:sz w:val="20"/>
                <w:szCs w:val="20"/>
                <w:lang w:eastAsia="ar-SA"/>
              </w:rPr>
              <w:t xml:space="preserve"> </w:t>
            </w:r>
            <w:r w:rsidRPr="00C22399">
              <w:rPr>
                <w:rFonts w:ascii="Open Sans" w:hAnsi="Open Sans" w:cs="Open Sans"/>
                <w:sz w:val="20"/>
                <w:szCs w:val="20"/>
                <w:lang w:eastAsia="ar-SA"/>
              </w:rPr>
              <w:t>„marszałkowskiej” dla danego kodu odpadów</w:t>
            </w:r>
            <w:r w:rsidR="0065340A">
              <w:rPr>
                <w:rStyle w:val="Odwoanieprzypisudolnego"/>
                <w:rFonts w:ascii="Open Sans" w:hAnsi="Open Sans"/>
                <w:sz w:val="20"/>
                <w:szCs w:val="20"/>
                <w:lang w:eastAsia="ar-SA"/>
              </w:rPr>
              <w:footnoteReference w:id="2"/>
            </w:r>
            <w:r w:rsidR="0065340A">
              <w:rPr>
                <w:rFonts w:ascii="Open Sans" w:hAnsi="Open Sans" w:cs="Open Sans"/>
                <w:sz w:val="20"/>
                <w:szCs w:val="20"/>
                <w:lang w:eastAsia="ar-SA"/>
              </w:rPr>
              <w:t xml:space="preserve"> </w:t>
            </w:r>
            <w:r w:rsidRPr="00C22399">
              <w:rPr>
                <w:rFonts w:ascii="Open Sans" w:hAnsi="Open Sans" w:cs="Open Sans"/>
                <w:sz w:val="20"/>
                <w:szCs w:val="20"/>
                <w:lang w:eastAsia="ar-SA"/>
              </w:rPr>
              <w:t>przez moc</w:t>
            </w:r>
            <w:r>
              <w:rPr>
                <w:rFonts w:ascii="Open Sans" w:hAnsi="Open Sans" w:cs="Open Sans"/>
                <w:sz w:val="20"/>
                <w:szCs w:val="20"/>
                <w:lang w:eastAsia="ar-SA"/>
              </w:rPr>
              <w:t xml:space="preserve"> </w:t>
            </w:r>
            <w:r w:rsidRPr="00C22399">
              <w:rPr>
                <w:rFonts w:ascii="Open Sans" w:hAnsi="Open Sans" w:cs="Open Sans"/>
                <w:sz w:val="20"/>
                <w:szCs w:val="20"/>
                <w:lang w:eastAsia="ar-SA"/>
              </w:rPr>
              <w:t>przerobową instalacji/zakładu dla danego kodu odpadów,</w:t>
            </w:r>
            <w:r>
              <w:t xml:space="preserve"> </w:t>
            </w:r>
            <w:r w:rsidRPr="00C22399">
              <w:rPr>
                <w:rFonts w:ascii="Open Sans" w:hAnsi="Open Sans" w:cs="Open Sans"/>
                <w:sz w:val="20"/>
                <w:szCs w:val="20"/>
                <w:lang w:eastAsia="ar-SA"/>
              </w:rPr>
              <w:t>jaka będzie wykorzystywana w związku z realizacją danego</w:t>
            </w:r>
            <w:r>
              <w:rPr>
                <w:rFonts w:ascii="Open Sans" w:hAnsi="Open Sans" w:cs="Open Sans"/>
                <w:sz w:val="20"/>
                <w:szCs w:val="20"/>
                <w:lang w:eastAsia="ar-SA"/>
              </w:rPr>
              <w:t xml:space="preserve"> </w:t>
            </w:r>
            <w:r w:rsidRPr="00C22399">
              <w:rPr>
                <w:rFonts w:ascii="Open Sans" w:hAnsi="Open Sans" w:cs="Open Sans"/>
                <w:sz w:val="20"/>
                <w:szCs w:val="20"/>
                <w:lang w:eastAsia="ar-SA"/>
              </w:rPr>
              <w:t>projektu.</w:t>
            </w:r>
          </w:p>
          <w:p w14:paraId="2ECC442A" w14:textId="0B30F91F" w:rsidR="00C22399" w:rsidRPr="00C22399" w:rsidRDefault="00C22399" w:rsidP="00C22399">
            <w:pPr>
              <w:tabs>
                <w:tab w:val="left" w:pos="-148"/>
              </w:tabs>
              <w:snapToGrid w:val="0"/>
              <w:spacing w:before="120" w:after="120"/>
              <w:jc w:val="both"/>
              <w:rPr>
                <w:rFonts w:ascii="Open Sans" w:hAnsi="Open Sans" w:cs="Open Sans"/>
                <w:sz w:val="20"/>
                <w:szCs w:val="20"/>
                <w:lang w:eastAsia="ar-SA"/>
              </w:rPr>
            </w:pPr>
            <w:r w:rsidRPr="00C22399">
              <w:rPr>
                <w:rFonts w:ascii="Open Sans" w:hAnsi="Open Sans" w:cs="Open Sans"/>
                <w:sz w:val="20"/>
                <w:szCs w:val="20"/>
                <w:lang w:eastAsia="ar-SA"/>
              </w:rPr>
              <w:t>W przypadku wystąpienia takiej konieczności, w toku</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kalkulacji unikniętej opłaty uwzględnić należy następujące</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aspekty:</w:t>
            </w:r>
          </w:p>
          <w:p w14:paraId="21828DF6" w14:textId="6A45104A" w:rsidR="00C22399" w:rsidRPr="00C22399" w:rsidRDefault="00C22399" w:rsidP="00C22399">
            <w:pPr>
              <w:tabs>
                <w:tab w:val="left" w:pos="-148"/>
              </w:tabs>
              <w:snapToGrid w:val="0"/>
              <w:spacing w:before="120" w:after="120"/>
              <w:jc w:val="both"/>
              <w:rPr>
                <w:rFonts w:ascii="Open Sans" w:hAnsi="Open Sans" w:cs="Open Sans"/>
                <w:sz w:val="20"/>
                <w:szCs w:val="20"/>
                <w:lang w:eastAsia="ar-SA"/>
              </w:rPr>
            </w:pPr>
            <w:r w:rsidRPr="00C22399">
              <w:rPr>
                <w:rFonts w:ascii="Open Sans" w:hAnsi="Open Sans" w:cs="Open Sans"/>
                <w:sz w:val="20"/>
                <w:szCs w:val="20"/>
                <w:lang w:eastAsia="ar-SA"/>
              </w:rPr>
              <w:t>- jeżeli instalacja/zakład będzie przetwarzać kilka strumieni</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 xml:space="preserve">odpadów o </w:t>
            </w:r>
            <w:r w:rsidRPr="00C22399">
              <w:rPr>
                <w:rFonts w:ascii="Open Sans" w:hAnsi="Open Sans" w:cs="Open Sans"/>
                <w:sz w:val="20"/>
                <w:szCs w:val="20"/>
                <w:lang w:eastAsia="ar-SA"/>
              </w:rPr>
              <w:lastRenderedPageBreak/>
              <w:t>różnych kodach, to wartość unikniętej opłaty</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powinna być wyliczona oddzielnie dla każdego strumienia</w:t>
            </w:r>
          </w:p>
          <w:p w14:paraId="7885A808" w14:textId="057BB314" w:rsidR="00C22399" w:rsidRPr="00C22399" w:rsidRDefault="00C22399" w:rsidP="00C22399">
            <w:pPr>
              <w:tabs>
                <w:tab w:val="left" w:pos="-148"/>
              </w:tabs>
              <w:snapToGrid w:val="0"/>
              <w:spacing w:before="120" w:after="120"/>
              <w:jc w:val="both"/>
              <w:rPr>
                <w:rFonts w:ascii="Open Sans" w:hAnsi="Open Sans" w:cs="Open Sans"/>
                <w:sz w:val="20"/>
                <w:szCs w:val="20"/>
                <w:lang w:eastAsia="ar-SA"/>
              </w:rPr>
            </w:pPr>
            <w:r w:rsidRPr="00C22399">
              <w:rPr>
                <w:rFonts w:ascii="Open Sans" w:hAnsi="Open Sans" w:cs="Open Sans"/>
                <w:sz w:val="20"/>
                <w:szCs w:val="20"/>
                <w:lang w:eastAsia="ar-SA"/>
              </w:rPr>
              <w:t>odpadów – z uwzględnieniem mocy przerobowej</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wykorzystywanej na potrzeby projektu objętego</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wsparciem, a później na tej podstawie zostaje wyliczona</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średnia ważona, gdzie za wagę przyjąć należy wielkość</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unikniętej opłaty dla odpadów o poszczególnych kodach;</w:t>
            </w:r>
          </w:p>
          <w:p w14:paraId="0652293F" w14:textId="62494971" w:rsidR="008D3486" w:rsidRPr="008D3486" w:rsidRDefault="00C22399" w:rsidP="00AA0D27">
            <w:pPr>
              <w:tabs>
                <w:tab w:val="left" w:pos="-148"/>
              </w:tabs>
              <w:snapToGrid w:val="0"/>
              <w:spacing w:before="120" w:after="120"/>
              <w:jc w:val="both"/>
              <w:rPr>
                <w:rFonts w:ascii="Open Sans" w:hAnsi="Open Sans" w:cs="Open Sans"/>
                <w:sz w:val="20"/>
                <w:szCs w:val="20"/>
                <w:highlight w:val="red"/>
                <w:lang w:eastAsia="ar-SA"/>
              </w:rPr>
            </w:pPr>
            <w:r w:rsidRPr="00C22399">
              <w:rPr>
                <w:rFonts w:ascii="Open Sans" w:hAnsi="Open Sans" w:cs="Open Sans"/>
                <w:sz w:val="20"/>
                <w:szCs w:val="20"/>
                <w:lang w:eastAsia="ar-SA"/>
              </w:rPr>
              <w:t>- jeżeli wnioskodawca nie będzie w stanie podać konkretnej</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wielkości unikniętej opłaty dla odpadów w podziale na</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poszczególne kody odpadów, wielkość unikniętej opłaty</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powinna być wyliczona w oparciu o średnią arytmetyczną</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opłaty dla poszczególnych kodów przetwarzanych</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odpadów oraz wykorzystywanej mocy przerobowej</w:t>
            </w:r>
            <w:r w:rsidR="00AA0D27">
              <w:rPr>
                <w:rFonts w:ascii="Open Sans" w:hAnsi="Open Sans" w:cs="Open Sans"/>
                <w:sz w:val="20"/>
                <w:szCs w:val="20"/>
                <w:lang w:eastAsia="ar-SA"/>
              </w:rPr>
              <w:t xml:space="preserve"> </w:t>
            </w:r>
            <w:r w:rsidRPr="00C22399">
              <w:rPr>
                <w:rFonts w:ascii="Open Sans" w:hAnsi="Open Sans" w:cs="Open Sans"/>
                <w:sz w:val="20"/>
                <w:szCs w:val="20"/>
                <w:lang w:eastAsia="ar-SA"/>
              </w:rPr>
              <w:t>instalacji/zakładu w ramach wspieranego projektu.</w:t>
            </w:r>
          </w:p>
        </w:tc>
        <w:tc>
          <w:tcPr>
            <w:tcW w:w="4462" w:type="dxa"/>
          </w:tcPr>
          <w:p w14:paraId="2AC4816C" w14:textId="77777777"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lastRenderedPageBreak/>
              <w:t>W kryterium możliwe jest uzyskanie</w:t>
            </w:r>
          </w:p>
          <w:p w14:paraId="664C830E" w14:textId="77777777" w:rsid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maksymalnie 30 punktów.</w:t>
            </w:r>
          </w:p>
          <w:p w14:paraId="0B20DCF4" w14:textId="33C0F685"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30 pkt –</w:t>
            </w:r>
            <w:r>
              <w:rPr>
                <w:rFonts w:ascii="Open Sans" w:hAnsi="Open Sans" w:cs="Open Sans"/>
                <w:sz w:val="20"/>
                <w:szCs w:val="20"/>
                <w:lang w:eastAsia="ar-SA"/>
              </w:rPr>
              <w:t xml:space="preserve"> </w:t>
            </w:r>
            <w:r w:rsidRPr="00AA0D27">
              <w:rPr>
                <w:rFonts w:ascii="Open Sans" w:hAnsi="Open Sans" w:cs="Open Sans"/>
                <w:sz w:val="20"/>
                <w:szCs w:val="20"/>
                <w:lang w:eastAsia="ar-SA"/>
              </w:rPr>
              <w:t>wartość unikniętej opłaty powyżej 5 mln</w:t>
            </w:r>
            <w:r>
              <w:rPr>
                <w:rFonts w:ascii="Open Sans" w:hAnsi="Open Sans" w:cs="Open Sans"/>
                <w:sz w:val="20"/>
                <w:szCs w:val="20"/>
                <w:lang w:eastAsia="ar-SA"/>
              </w:rPr>
              <w:t xml:space="preserve"> </w:t>
            </w:r>
            <w:r w:rsidRPr="00AA0D27">
              <w:rPr>
                <w:rFonts w:ascii="Open Sans" w:hAnsi="Open Sans" w:cs="Open Sans"/>
                <w:sz w:val="20"/>
                <w:szCs w:val="20"/>
                <w:lang w:eastAsia="ar-SA"/>
              </w:rPr>
              <w:t>zł,</w:t>
            </w:r>
          </w:p>
          <w:p w14:paraId="70F12D6D" w14:textId="763D9907"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26 pkt – wartość unikniętej opłaty</w:t>
            </w:r>
            <w:r>
              <w:rPr>
                <w:rFonts w:ascii="Open Sans" w:hAnsi="Open Sans" w:cs="Open Sans"/>
                <w:sz w:val="20"/>
                <w:szCs w:val="20"/>
                <w:lang w:eastAsia="ar-SA"/>
              </w:rPr>
              <w:t xml:space="preserve"> </w:t>
            </w:r>
            <w:r w:rsidRPr="00AA0D27">
              <w:rPr>
                <w:rFonts w:ascii="Open Sans" w:hAnsi="Open Sans" w:cs="Open Sans"/>
                <w:sz w:val="20"/>
                <w:szCs w:val="20"/>
                <w:lang w:eastAsia="ar-SA"/>
              </w:rPr>
              <w:t>powyżej 2 mln zł do 5 mln zł,</w:t>
            </w:r>
          </w:p>
          <w:p w14:paraId="4B1BA663" w14:textId="7A97C290" w:rsidR="008D3486"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22 pkt – wartość unikniętej opłaty</w:t>
            </w:r>
            <w:r>
              <w:rPr>
                <w:rFonts w:ascii="Open Sans" w:hAnsi="Open Sans" w:cs="Open Sans"/>
                <w:sz w:val="20"/>
                <w:szCs w:val="20"/>
                <w:lang w:eastAsia="ar-SA"/>
              </w:rPr>
              <w:t xml:space="preserve"> </w:t>
            </w:r>
            <w:r w:rsidRPr="00AA0D27">
              <w:rPr>
                <w:rFonts w:ascii="Open Sans" w:hAnsi="Open Sans" w:cs="Open Sans"/>
                <w:sz w:val="20"/>
                <w:szCs w:val="20"/>
                <w:lang w:eastAsia="ar-SA"/>
              </w:rPr>
              <w:t>powyżej 1 mln zł do 2 mln zł,</w:t>
            </w:r>
          </w:p>
          <w:p w14:paraId="4B35DF6B" w14:textId="22DB8630"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18 pkt – wartość unikniętej opłaty</w:t>
            </w:r>
            <w:r>
              <w:rPr>
                <w:rFonts w:ascii="Open Sans" w:hAnsi="Open Sans" w:cs="Open Sans"/>
                <w:sz w:val="20"/>
                <w:szCs w:val="20"/>
                <w:lang w:eastAsia="ar-SA"/>
              </w:rPr>
              <w:t xml:space="preserve"> </w:t>
            </w:r>
            <w:r w:rsidRPr="00AA0D27">
              <w:rPr>
                <w:rFonts w:ascii="Open Sans" w:hAnsi="Open Sans" w:cs="Open Sans"/>
                <w:sz w:val="20"/>
                <w:szCs w:val="20"/>
                <w:lang w:eastAsia="ar-SA"/>
              </w:rPr>
              <w:t>powyżej 500 tys. zł do 1 mln zł,</w:t>
            </w:r>
          </w:p>
          <w:p w14:paraId="725AC633" w14:textId="506382FB"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15 pkt – wartość unikniętej opłaty</w:t>
            </w:r>
            <w:r>
              <w:rPr>
                <w:rFonts w:ascii="Open Sans" w:hAnsi="Open Sans" w:cs="Open Sans"/>
                <w:sz w:val="20"/>
                <w:szCs w:val="20"/>
                <w:lang w:eastAsia="ar-SA"/>
              </w:rPr>
              <w:t xml:space="preserve"> </w:t>
            </w:r>
            <w:r w:rsidRPr="00AA0D27">
              <w:rPr>
                <w:rFonts w:ascii="Open Sans" w:hAnsi="Open Sans" w:cs="Open Sans"/>
                <w:sz w:val="20"/>
                <w:szCs w:val="20"/>
                <w:lang w:eastAsia="ar-SA"/>
              </w:rPr>
              <w:t>powyżej 200 tys. zł do 500 tys. zł,</w:t>
            </w:r>
          </w:p>
          <w:p w14:paraId="088DEC08" w14:textId="0CC36962"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12 pkt – wartość unikniętej opłaty</w:t>
            </w:r>
            <w:r>
              <w:rPr>
                <w:rFonts w:ascii="Open Sans" w:hAnsi="Open Sans" w:cs="Open Sans"/>
                <w:sz w:val="20"/>
                <w:szCs w:val="20"/>
                <w:lang w:eastAsia="ar-SA"/>
              </w:rPr>
              <w:t xml:space="preserve"> </w:t>
            </w:r>
            <w:r w:rsidRPr="00AA0D27">
              <w:rPr>
                <w:rFonts w:ascii="Open Sans" w:hAnsi="Open Sans" w:cs="Open Sans"/>
                <w:sz w:val="20"/>
                <w:szCs w:val="20"/>
                <w:lang w:eastAsia="ar-SA"/>
              </w:rPr>
              <w:t>powyżej 100 tys. zł do 200 tys. zł,</w:t>
            </w:r>
          </w:p>
          <w:p w14:paraId="109A8AED" w14:textId="2434699F" w:rsidR="00AA0D27" w:rsidRPr="00AA0D27" w:rsidRDefault="00AA0D27" w:rsidP="00AA0D27">
            <w:pPr>
              <w:tabs>
                <w:tab w:val="left" w:pos="0"/>
              </w:tabs>
              <w:snapToGrid w:val="0"/>
              <w:spacing w:before="120" w:after="120"/>
              <w:rPr>
                <w:rFonts w:ascii="Open Sans" w:hAnsi="Open Sans" w:cs="Open Sans"/>
                <w:sz w:val="20"/>
                <w:szCs w:val="20"/>
                <w:lang w:eastAsia="ar-SA"/>
              </w:rPr>
            </w:pPr>
            <w:r w:rsidRPr="00AA0D27">
              <w:rPr>
                <w:rFonts w:ascii="Open Sans" w:hAnsi="Open Sans" w:cs="Open Sans"/>
                <w:sz w:val="20"/>
                <w:szCs w:val="20"/>
                <w:lang w:eastAsia="ar-SA"/>
              </w:rPr>
              <w:t>6 pkt – wartość unikniętej opłaty równa</w:t>
            </w:r>
            <w:r>
              <w:rPr>
                <w:rFonts w:ascii="Open Sans" w:hAnsi="Open Sans" w:cs="Open Sans"/>
                <w:sz w:val="20"/>
                <w:szCs w:val="20"/>
                <w:lang w:eastAsia="ar-SA"/>
              </w:rPr>
              <w:t xml:space="preserve"> </w:t>
            </w:r>
            <w:r w:rsidRPr="00AA0D27">
              <w:rPr>
                <w:rFonts w:ascii="Open Sans" w:hAnsi="Open Sans" w:cs="Open Sans"/>
                <w:sz w:val="20"/>
                <w:szCs w:val="20"/>
                <w:lang w:eastAsia="ar-SA"/>
              </w:rPr>
              <w:t>lub poniżej 100 tys. zł.</w:t>
            </w:r>
          </w:p>
          <w:p w14:paraId="7E493BC4" w14:textId="13D0590D" w:rsidR="00AA0D27" w:rsidRPr="008D3486" w:rsidRDefault="00AA0D27" w:rsidP="00AA0D27">
            <w:pPr>
              <w:tabs>
                <w:tab w:val="left" w:pos="0"/>
              </w:tabs>
              <w:snapToGrid w:val="0"/>
              <w:spacing w:before="120" w:after="120"/>
              <w:rPr>
                <w:rFonts w:ascii="Open Sans" w:hAnsi="Open Sans" w:cs="Open Sans"/>
                <w:sz w:val="20"/>
                <w:szCs w:val="20"/>
                <w:highlight w:val="red"/>
                <w:lang w:eastAsia="ar-SA"/>
              </w:rPr>
            </w:pPr>
            <w:r w:rsidRPr="00AA0D27">
              <w:rPr>
                <w:rFonts w:ascii="Open Sans" w:hAnsi="Open Sans" w:cs="Open Sans"/>
                <w:sz w:val="20"/>
                <w:szCs w:val="20"/>
                <w:lang w:eastAsia="ar-SA"/>
              </w:rPr>
              <w:t>Punkty nie sumują się.</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28A1EFB" w14:textId="77777777" w:rsidTr="005F5A27">
        <w:trPr>
          <w:trHeight w:val="313"/>
        </w:trPr>
        <w:tc>
          <w:tcPr>
            <w:tcW w:w="497" w:type="dxa"/>
            <w:tcBorders>
              <w:top w:val="single" w:sz="4" w:space="0" w:color="000000"/>
              <w:left w:val="single" w:sz="4" w:space="0" w:color="000000"/>
              <w:bottom w:val="single" w:sz="4" w:space="0" w:color="000000"/>
            </w:tcBorders>
          </w:tcPr>
          <w:p w14:paraId="45049CA4"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2</w:t>
            </w:r>
          </w:p>
        </w:tc>
        <w:tc>
          <w:tcPr>
            <w:tcW w:w="2337" w:type="dxa"/>
          </w:tcPr>
          <w:p w14:paraId="5CFA0E8D" w14:textId="6898796C" w:rsidR="0088258A" w:rsidRPr="0088258A" w:rsidRDefault="0046776A" w:rsidP="0088258A">
            <w:pPr>
              <w:tabs>
                <w:tab w:val="left" w:pos="0"/>
              </w:tabs>
              <w:snapToGrid w:val="0"/>
              <w:spacing w:before="120" w:after="120"/>
              <w:rPr>
                <w:rFonts w:ascii="Open Sans" w:hAnsi="Open Sans" w:cs="Open Sans"/>
                <w:sz w:val="20"/>
                <w:szCs w:val="20"/>
                <w:lang w:eastAsia="ar-SA"/>
              </w:rPr>
            </w:pPr>
            <w:r w:rsidRPr="0046776A">
              <w:rPr>
                <w:rFonts w:ascii="Open Sans" w:hAnsi="Open Sans" w:cs="Open Sans"/>
                <w:sz w:val="20"/>
                <w:szCs w:val="20"/>
                <w:lang w:eastAsia="ar-SA"/>
              </w:rPr>
              <w:t>Ograniczenie strumienia generowanych lub zwiększenie ilości wykorzystanych odpadów w procesach gospodarczych</w:t>
            </w:r>
          </w:p>
        </w:tc>
        <w:tc>
          <w:tcPr>
            <w:tcW w:w="3926" w:type="dxa"/>
          </w:tcPr>
          <w:p w14:paraId="12E986BE" w14:textId="0EA16223" w:rsidR="009F03D5" w:rsidRPr="0088258A" w:rsidRDefault="0046776A" w:rsidP="009F03D5">
            <w:pPr>
              <w:tabs>
                <w:tab w:val="left" w:pos="-148"/>
              </w:tabs>
              <w:snapToGrid w:val="0"/>
              <w:spacing w:before="120" w:after="120"/>
              <w:jc w:val="both"/>
              <w:rPr>
                <w:rFonts w:ascii="Open Sans" w:hAnsi="Open Sans" w:cs="Open Sans"/>
                <w:sz w:val="20"/>
                <w:szCs w:val="20"/>
                <w:lang w:eastAsia="ar-SA"/>
              </w:rPr>
            </w:pPr>
            <w:r w:rsidRPr="0046776A">
              <w:rPr>
                <w:rFonts w:ascii="Open Sans" w:hAnsi="Open Sans" w:cs="Open Sans"/>
                <w:sz w:val="20"/>
                <w:szCs w:val="20"/>
                <w:lang w:eastAsia="ar-SA"/>
              </w:rPr>
              <w:t>Na podstawie dokumentacji projektowej urządzeń i instalacji zliczony zostaje strumień odpadów, które nie zostaną wytworzone wskutek realizacji projektu lub zostaną wykorzystane w procesach gospodarczych.</w:t>
            </w:r>
          </w:p>
        </w:tc>
        <w:tc>
          <w:tcPr>
            <w:tcW w:w="4462" w:type="dxa"/>
          </w:tcPr>
          <w:p w14:paraId="74D88A8E" w14:textId="77777777" w:rsidR="0046776A" w:rsidRPr="0046776A" w:rsidRDefault="0046776A" w:rsidP="0046776A">
            <w:pPr>
              <w:tabs>
                <w:tab w:val="left" w:pos="0"/>
              </w:tabs>
              <w:spacing w:before="120" w:after="120"/>
              <w:rPr>
                <w:rFonts w:ascii="Open Sans" w:hAnsi="Open Sans" w:cs="Open Sans"/>
                <w:sz w:val="20"/>
                <w:szCs w:val="20"/>
                <w:lang w:eastAsia="ar-SA"/>
              </w:rPr>
            </w:pPr>
            <w:r w:rsidRPr="0046776A">
              <w:rPr>
                <w:rFonts w:ascii="Open Sans" w:hAnsi="Open Sans" w:cs="Open Sans"/>
                <w:sz w:val="20"/>
                <w:szCs w:val="20"/>
                <w:lang w:eastAsia="ar-SA"/>
              </w:rPr>
              <w:t>30 pkt. – powyżej 5 tys. Mg/rok</w:t>
            </w:r>
          </w:p>
          <w:p w14:paraId="32485DF3" w14:textId="77777777" w:rsidR="0046776A" w:rsidRPr="0046776A" w:rsidRDefault="0046776A" w:rsidP="0046776A">
            <w:pPr>
              <w:tabs>
                <w:tab w:val="left" w:pos="0"/>
              </w:tabs>
              <w:spacing w:before="120" w:after="120"/>
              <w:rPr>
                <w:rFonts w:ascii="Open Sans" w:hAnsi="Open Sans" w:cs="Open Sans"/>
                <w:sz w:val="20"/>
                <w:szCs w:val="20"/>
                <w:lang w:eastAsia="ar-SA"/>
              </w:rPr>
            </w:pPr>
            <w:r w:rsidRPr="0046776A">
              <w:rPr>
                <w:rFonts w:ascii="Open Sans" w:hAnsi="Open Sans" w:cs="Open Sans"/>
                <w:sz w:val="20"/>
                <w:szCs w:val="20"/>
                <w:lang w:eastAsia="ar-SA"/>
              </w:rPr>
              <w:t>20 pkt. – powyżej 2 tys. Mg/rok do 5 tys. Mg/rok (włącznie)</w:t>
            </w:r>
          </w:p>
          <w:p w14:paraId="1D491091" w14:textId="77777777" w:rsidR="0046776A" w:rsidRPr="0046776A" w:rsidRDefault="0046776A" w:rsidP="0046776A">
            <w:pPr>
              <w:tabs>
                <w:tab w:val="left" w:pos="0"/>
              </w:tabs>
              <w:spacing w:before="120" w:after="120"/>
              <w:rPr>
                <w:rFonts w:ascii="Open Sans" w:hAnsi="Open Sans" w:cs="Open Sans"/>
                <w:sz w:val="20"/>
                <w:szCs w:val="20"/>
                <w:lang w:eastAsia="ar-SA"/>
              </w:rPr>
            </w:pPr>
            <w:r w:rsidRPr="0046776A">
              <w:rPr>
                <w:rFonts w:ascii="Open Sans" w:hAnsi="Open Sans" w:cs="Open Sans"/>
                <w:sz w:val="20"/>
                <w:szCs w:val="20"/>
                <w:lang w:eastAsia="ar-SA"/>
              </w:rPr>
              <w:t>10 pkt. – powyżej 1 tys. Mg/rok do 2 tys. Mg/rok (włącznie)</w:t>
            </w:r>
          </w:p>
          <w:p w14:paraId="170D43A0" w14:textId="77777777" w:rsidR="0046776A" w:rsidRPr="0046776A" w:rsidRDefault="0046776A" w:rsidP="0046776A">
            <w:pPr>
              <w:tabs>
                <w:tab w:val="left" w:pos="0"/>
              </w:tabs>
              <w:spacing w:before="120" w:after="120"/>
              <w:rPr>
                <w:rFonts w:ascii="Open Sans" w:hAnsi="Open Sans" w:cs="Open Sans"/>
                <w:sz w:val="20"/>
                <w:szCs w:val="20"/>
                <w:lang w:eastAsia="ar-SA"/>
              </w:rPr>
            </w:pPr>
            <w:r w:rsidRPr="0046776A">
              <w:rPr>
                <w:rFonts w:ascii="Open Sans" w:hAnsi="Open Sans" w:cs="Open Sans"/>
                <w:sz w:val="20"/>
                <w:szCs w:val="20"/>
                <w:lang w:eastAsia="ar-SA"/>
              </w:rPr>
              <w:t>5 pkt. – od 200 do 1 tys. Mg/rok (włącznie)</w:t>
            </w:r>
          </w:p>
          <w:p w14:paraId="72E80665" w14:textId="77777777" w:rsidR="0046776A" w:rsidRPr="0046776A" w:rsidRDefault="0046776A" w:rsidP="0046776A">
            <w:pPr>
              <w:tabs>
                <w:tab w:val="left" w:pos="0"/>
              </w:tabs>
              <w:spacing w:before="120" w:after="120"/>
              <w:rPr>
                <w:rFonts w:ascii="Open Sans" w:hAnsi="Open Sans" w:cs="Open Sans"/>
                <w:sz w:val="20"/>
                <w:szCs w:val="20"/>
                <w:lang w:eastAsia="ar-SA"/>
              </w:rPr>
            </w:pPr>
            <w:r w:rsidRPr="0046776A">
              <w:rPr>
                <w:rFonts w:ascii="Open Sans" w:hAnsi="Open Sans" w:cs="Open Sans"/>
                <w:sz w:val="20"/>
                <w:szCs w:val="20"/>
                <w:lang w:eastAsia="ar-SA"/>
              </w:rPr>
              <w:t>0 pkt. – poniżej 200 Mg/rok.</w:t>
            </w:r>
          </w:p>
          <w:p w14:paraId="0D6A0C0B" w14:textId="4A4A5683" w:rsidR="008D3486" w:rsidRPr="0088258A" w:rsidRDefault="0046776A" w:rsidP="0046776A">
            <w:pPr>
              <w:tabs>
                <w:tab w:val="left" w:pos="0"/>
              </w:tabs>
              <w:spacing w:before="120" w:after="120"/>
              <w:rPr>
                <w:rFonts w:ascii="Open Sans" w:hAnsi="Open Sans" w:cs="Open Sans"/>
                <w:sz w:val="20"/>
                <w:szCs w:val="20"/>
                <w:lang w:eastAsia="ar-SA"/>
              </w:rPr>
            </w:pPr>
            <w:r w:rsidRPr="0046776A">
              <w:rPr>
                <w:rFonts w:ascii="Open Sans" w:hAnsi="Open Sans" w:cs="Open Sans"/>
                <w:sz w:val="20"/>
                <w:szCs w:val="20"/>
                <w:lang w:eastAsia="ar-SA"/>
              </w:rPr>
              <w:t>Punkty nie sumują się</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0847CD5" w14:textId="77777777" w:rsidTr="005D23AC">
        <w:trPr>
          <w:trHeight w:val="313"/>
        </w:trPr>
        <w:tc>
          <w:tcPr>
            <w:tcW w:w="497" w:type="dxa"/>
          </w:tcPr>
          <w:p w14:paraId="47D360D8" w14:textId="77777777" w:rsidR="0088258A" w:rsidRPr="0088258A" w:rsidRDefault="0088258A" w:rsidP="0088258A">
            <w:pPr>
              <w:spacing w:line="276" w:lineRule="auto"/>
              <w:rPr>
                <w:rFonts w:ascii="Open Sans" w:hAnsi="Open Sans" w:cs="Open Sans"/>
                <w:b/>
                <w:sz w:val="20"/>
                <w:szCs w:val="20"/>
              </w:rPr>
            </w:pPr>
            <w:r w:rsidRPr="0088258A">
              <w:rPr>
                <w:rFonts w:ascii="Open Sans" w:hAnsi="Open Sans" w:cs="Open Sans"/>
                <w:b/>
                <w:sz w:val="20"/>
                <w:szCs w:val="20"/>
              </w:rPr>
              <w:t>3</w:t>
            </w:r>
          </w:p>
        </w:tc>
        <w:tc>
          <w:tcPr>
            <w:tcW w:w="2337" w:type="dxa"/>
          </w:tcPr>
          <w:p w14:paraId="13371A42" w14:textId="204BA93F" w:rsidR="0088258A" w:rsidRPr="0088258A" w:rsidRDefault="0046776A" w:rsidP="0088258A">
            <w:pPr>
              <w:pStyle w:val="Tekstpodstawowy"/>
              <w:widowControl w:val="0"/>
              <w:tabs>
                <w:tab w:val="left" w:pos="0"/>
              </w:tabs>
              <w:snapToGrid w:val="0"/>
              <w:spacing w:before="120" w:after="120"/>
              <w:jc w:val="left"/>
              <w:rPr>
                <w:rFonts w:ascii="Open Sans" w:hAnsi="Open Sans" w:cs="Open Sans"/>
                <w:sz w:val="20"/>
                <w:szCs w:val="20"/>
              </w:rPr>
            </w:pPr>
            <w:r w:rsidRPr="0046776A">
              <w:rPr>
                <w:rFonts w:ascii="Open Sans" w:hAnsi="Open Sans" w:cs="Open Sans"/>
                <w:sz w:val="20"/>
                <w:szCs w:val="20"/>
              </w:rPr>
              <w:t xml:space="preserve">Rodzaj odpadów, których dotyczy </w:t>
            </w:r>
            <w:r w:rsidRPr="0046776A">
              <w:rPr>
                <w:rFonts w:ascii="Open Sans" w:hAnsi="Open Sans" w:cs="Open Sans"/>
                <w:sz w:val="20"/>
                <w:szCs w:val="20"/>
              </w:rPr>
              <w:lastRenderedPageBreak/>
              <w:t>ograniczenie wytwarzania lub wykorzystanie w procesach gospodarczych</w:t>
            </w:r>
          </w:p>
        </w:tc>
        <w:tc>
          <w:tcPr>
            <w:tcW w:w="3926" w:type="dxa"/>
          </w:tcPr>
          <w:p w14:paraId="541B926A" w14:textId="252F1EB5" w:rsidR="0088258A" w:rsidRPr="0088258A" w:rsidRDefault="0046776A" w:rsidP="008D3486">
            <w:pPr>
              <w:pStyle w:val="Tekstpodstawowy"/>
              <w:widowControl w:val="0"/>
              <w:tabs>
                <w:tab w:val="left" w:pos="0"/>
              </w:tabs>
              <w:snapToGrid w:val="0"/>
              <w:spacing w:before="120" w:after="120"/>
              <w:rPr>
                <w:rFonts w:ascii="Open Sans" w:hAnsi="Open Sans" w:cs="Open Sans"/>
                <w:sz w:val="20"/>
                <w:szCs w:val="20"/>
              </w:rPr>
            </w:pPr>
            <w:r w:rsidRPr="0046776A">
              <w:rPr>
                <w:rFonts w:ascii="Open Sans" w:hAnsi="Open Sans" w:cs="Open Sans"/>
                <w:sz w:val="20"/>
                <w:szCs w:val="20"/>
              </w:rPr>
              <w:lastRenderedPageBreak/>
              <w:t xml:space="preserve">W ramach kryterium projekt może uzyskać dodatkowe punkty, jeżeli z </w:t>
            </w:r>
            <w:r w:rsidRPr="0046776A">
              <w:rPr>
                <w:rFonts w:ascii="Open Sans" w:hAnsi="Open Sans" w:cs="Open Sans"/>
                <w:sz w:val="20"/>
                <w:szCs w:val="20"/>
              </w:rPr>
              <w:lastRenderedPageBreak/>
              <w:t>wykorzystaniem instalacji będącej przedmiotem projektu ograniczone zostanie wytwarzanie odpadów niebezpiecznych lub zostaną one wykorzystane w procesach gospodarczych.</w:t>
            </w:r>
          </w:p>
        </w:tc>
        <w:tc>
          <w:tcPr>
            <w:tcW w:w="4462" w:type="dxa"/>
          </w:tcPr>
          <w:p w14:paraId="0B237D43"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lastRenderedPageBreak/>
              <w:t xml:space="preserve">6 pkt. – realizowana instalacja będzie powodowała ograniczenie wytwarzania </w:t>
            </w:r>
            <w:r w:rsidRPr="0046776A">
              <w:rPr>
                <w:rFonts w:ascii="Open Sans" w:hAnsi="Open Sans" w:cs="Open Sans"/>
                <w:sz w:val="20"/>
                <w:szCs w:val="20"/>
              </w:rPr>
              <w:lastRenderedPageBreak/>
              <w:t>odpadów niebezpiecznych lub wykorzystanie ich w procesach gospodarczych</w:t>
            </w:r>
          </w:p>
          <w:p w14:paraId="6B89307B"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0 pkt. – realizowana instalacja nie będzie powodowała ograniczenia wytwarzania odpadów niebezpiecznych lub wykorzystania ich w procesach gospodarczych.</w:t>
            </w:r>
          </w:p>
          <w:p w14:paraId="4C47725B" w14:textId="0915C0EB" w:rsidR="009F03D5" w:rsidRPr="0088258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6BFAE087" w14:textId="77777777" w:rsidR="0088258A" w:rsidRPr="00E55F86" w:rsidRDefault="0088258A"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88258A" w:rsidRPr="00E55F86" w:rsidRDefault="0088258A" w:rsidP="0088258A">
            <w:pPr>
              <w:spacing w:line="276" w:lineRule="auto"/>
              <w:rPr>
                <w:rFonts w:ascii="Open Sans Light" w:hAnsi="Open Sans Light" w:cs="Open Sans Light"/>
                <w:sz w:val="20"/>
                <w:szCs w:val="20"/>
              </w:rPr>
            </w:pPr>
          </w:p>
        </w:tc>
      </w:tr>
      <w:tr w:rsidR="009F03D5" w:rsidRPr="00E55F86" w14:paraId="66F1C56D" w14:textId="77777777" w:rsidTr="005D23AC">
        <w:trPr>
          <w:trHeight w:val="313"/>
        </w:trPr>
        <w:tc>
          <w:tcPr>
            <w:tcW w:w="497" w:type="dxa"/>
          </w:tcPr>
          <w:p w14:paraId="0F406E57" w14:textId="2266A76E"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4</w:t>
            </w:r>
          </w:p>
        </w:tc>
        <w:tc>
          <w:tcPr>
            <w:tcW w:w="2337" w:type="dxa"/>
          </w:tcPr>
          <w:p w14:paraId="35D5B8B4" w14:textId="52E120C0" w:rsidR="009F03D5" w:rsidRPr="004C684C" w:rsidRDefault="00AA0D27" w:rsidP="00AA0D27">
            <w:pPr>
              <w:pStyle w:val="Tekstpodstawowy"/>
              <w:widowControl w:val="0"/>
              <w:tabs>
                <w:tab w:val="left" w:pos="0"/>
              </w:tabs>
              <w:snapToGrid w:val="0"/>
              <w:spacing w:before="120" w:after="120"/>
              <w:rPr>
                <w:rFonts w:ascii="Open Sans" w:hAnsi="Open Sans" w:cs="Open Sans"/>
                <w:sz w:val="20"/>
                <w:szCs w:val="20"/>
                <w:highlight w:val="red"/>
              </w:rPr>
            </w:pPr>
            <w:r w:rsidRPr="00AA0D27">
              <w:rPr>
                <w:rFonts w:ascii="Open Sans" w:hAnsi="Open Sans" w:cs="Open Sans"/>
                <w:sz w:val="20"/>
                <w:szCs w:val="20"/>
              </w:rPr>
              <w:t>Uwzględnienie w projekcie działań</w:t>
            </w:r>
            <w:r>
              <w:rPr>
                <w:rFonts w:ascii="Open Sans" w:hAnsi="Open Sans" w:cs="Open Sans"/>
                <w:sz w:val="20"/>
                <w:szCs w:val="20"/>
              </w:rPr>
              <w:t xml:space="preserve"> </w:t>
            </w:r>
            <w:r w:rsidRPr="00AA0D27">
              <w:rPr>
                <w:rFonts w:ascii="Open Sans" w:hAnsi="Open Sans" w:cs="Open Sans"/>
                <w:sz w:val="20"/>
                <w:szCs w:val="20"/>
              </w:rPr>
              <w:t xml:space="preserve">dot. audytu </w:t>
            </w:r>
            <w:r>
              <w:rPr>
                <w:rFonts w:ascii="Open Sans" w:hAnsi="Open Sans" w:cs="Open Sans"/>
                <w:sz w:val="20"/>
                <w:szCs w:val="20"/>
              </w:rPr>
              <w:t>ś</w:t>
            </w:r>
            <w:r w:rsidRPr="00AA0D27">
              <w:rPr>
                <w:rFonts w:ascii="Open Sans" w:hAnsi="Open Sans" w:cs="Open Sans"/>
                <w:sz w:val="20"/>
                <w:szCs w:val="20"/>
              </w:rPr>
              <w:t>rodowiskowego</w:t>
            </w:r>
          </w:p>
        </w:tc>
        <w:tc>
          <w:tcPr>
            <w:tcW w:w="3926" w:type="dxa"/>
          </w:tcPr>
          <w:p w14:paraId="631B9499" w14:textId="7B74AE25" w:rsidR="009F03D5" w:rsidRPr="004C684C" w:rsidRDefault="00AA0D27" w:rsidP="00AA0D27">
            <w:pPr>
              <w:pStyle w:val="Tekstpodstawowy"/>
              <w:widowControl w:val="0"/>
              <w:tabs>
                <w:tab w:val="left" w:pos="0"/>
              </w:tabs>
              <w:snapToGrid w:val="0"/>
              <w:spacing w:before="120" w:after="120"/>
              <w:ind w:hanging="102"/>
              <w:rPr>
                <w:rFonts w:ascii="Open Sans" w:hAnsi="Open Sans" w:cs="Open Sans"/>
                <w:sz w:val="20"/>
                <w:szCs w:val="20"/>
                <w:highlight w:val="red"/>
              </w:rPr>
            </w:pPr>
            <w:r>
              <w:rPr>
                <w:rFonts w:ascii="Open Sans" w:hAnsi="Open Sans" w:cs="Open Sans"/>
                <w:sz w:val="20"/>
                <w:szCs w:val="20"/>
              </w:rPr>
              <w:t xml:space="preserve">  </w:t>
            </w:r>
            <w:r w:rsidRPr="00AA0D27">
              <w:rPr>
                <w:rFonts w:ascii="Open Sans" w:hAnsi="Open Sans" w:cs="Open Sans"/>
                <w:sz w:val="20"/>
                <w:szCs w:val="20"/>
              </w:rPr>
              <w:t>Ocenie podlega czy inwestycje związane z</w:t>
            </w:r>
            <w:r>
              <w:rPr>
                <w:rFonts w:ascii="Open Sans" w:hAnsi="Open Sans" w:cs="Open Sans"/>
                <w:sz w:val="20"/>
                <w:szCs w:val="20"/>
              </w:rPr>
              <w:t xml:space="preserve"> </w:t>
            </w:r>
            <w:r w:rsidRPr="00AA0D27">
              <w:rPr>
                <w:rFonts w:ascii="Open Sans" w:hAnsi="Open Sans" w:cs="Open Sans"/>
                <w:sz w:val="20"/>
                <w:szCs w:val="20"/>
              </w:rPr>
              <w:t>zasobochłonnością</w:t>
            </w:r>
            <w:r>
              <w:rPr>
                <w:rFonts w:ascii="Open Sans" w:hAnsi="Open Sans" w:cs="Open Sans"/>
                <w:sz w:val="20"/>
                <w:szCs w:val="20"/>
              </w:rPr>
              <w:t xml:space="preserve"> </w:t>
            </w:r>
            <w:r w:rsidRPr="00AA0D27">
              <w:rPr>
                <w:rFonts w:ascii="Open Sans" w:hAnsi="Open Sans" w:cs="Open Sans"/>
                <w:sz w:val="20"/>
                <w:szCs w:val="20"/>
              </w:rPr>
              <w:t>produkcji przemysłowej zostały</w:t>
            </w:r>
            <w:r>
              <w:rPr>
                <w:rFonts w:ascii="Open Sans" w:hAnsi="Open Sans" w:cs="Open Sans"/>
                <w:sz w:val="20"/>
                <w:szCs w:val="20"/>
              </w:rPr>
              <w:t xml:space="preserve"> </w:t>
            </w:r>
            <w:r w:rsidRPr="00AA0D27">
              <w:rPr>
                <w:rFonts w:ascii="Open Sans" w:hAnsi="Open Sans" w:cs="Open Sans"/>
                <w:sz w:val="20"/>
                <w:szCs w:val="20"/>
              </w:rPr>
              <w:t>poprzedzone audytem środowiskowym mającym na celu</w:t>
            </w:r>
            <w:r>
              <w:rPr>
                <w:rFonts w:ascii="Open Sans" w:hAnsi="Open Sans" w:cs="Open Sans"/>
                <w:sz w:val="20"/>
                <w:szCs w:val="20"/>
              </w:rPr>
              <w:t xml:space="preserve"> </w:t>
            </w:r>
            <w:r w:rsidRPr="00AA0D27">
              <w:rPr>
                <w:rFonts w:ascii="Open Sans" w:hAnsi="Open Sans" w:cs="Open Sans"/>
                <w:sz w:val="20"/>
                <w:szCs w:val="20"/>
              </w:rPr>
              <w:t>poprawę jakości i wydajności procesów produkcyjnych,</w:t>
            </w:r>
            <w:r>
              <w:rPr>
                <w:rFonts w:ascii="Open Sans" w:hAnsi="Open Sans" w:cs="Open Sans"/>
                <w:sz w:val="20"/>
                <w:szCs w:val="20"/>
              </w:rPr>
              <w:t xml:space="preserve"> </w:t>
            </w:r>
            <w:r w:rsidRPr="00AA0D27">
              <w:rPr>
                <w:rFonts w:ascii="Open Sans" w:hAnsi="Open Sans" w:cs="Open Sans"/>
                <w:sz w:val="20"/>
                <w:szCs w:val="20"/>
              </w:rPr>
              <w:t>które podlegają wsparciu w ramach ocenianego wniosku</w:t>
            </w:r>
            <w:r>
              <w:rPr>
                <w:rFonts w:ascii="Open Sans" w:hAnsi="Open Sans" w:cs="Open Sans"/>
                <w:sz w:val="20"/>
                <w:szCs w:val="20"/>
              </w:rPr>
              <w:t xml:space="preserve"> </w:t>
            </w:r>
            <w:r w:rsidRPr="00AA0D27">
              <w:rPr>
                <w:rFonts w:ascii="Open Sans" w:hAnsi="Open Sans" w:cs="Open Sans"/>
                <w:sz w:val="20"/>
                <w:szCs w:val="20"/>
              </w:rPr>
              <w:t>lub czy przeprowadzenie takiego audytu zostało</w:t>
            </w:r>
            <w:r>
              <w:rPr>
                <w:rFonts w:ascii="Open Sans" w:hAnsi="Open Sans" w:cs="Open Sans"/>
                <w:sz w:val="20"/>
                <w:szCs w:val="20"/>
              </w:rPr>
              <w:t xml:space="preserve"> </w:t>
            </w:r>
            <w:r w:rsidRPr="00AA0D27">
              <w:rPr>
                <w:rFonts w:ascii="Open Sans" w:hAnsi="Open Sans" w:cs="Open Sans"/>
                <w:sz w:val="20"/>
                <w:szCs w:val="20"/>
              </w:rPr>
              <w:t>zaplanowane we wniosku o dofinansowanie.</w:t>
            </w:r>
          </w:p>
        </w:tc>
        <w:tc>
          <w:tcPr>
            <w:tcW w:w="4462" w:type="dxa"/>
          </w:tcPr>
          <w:p w14:paraId="75EF781B" w14:textId="77777777" w:rsidR="00AA0D27" w:rsidRPr="00AA0D27" w:rsidRDefault="00AA0D27" w:rsidP="00AA0D27">
            <w:pPr>
              <w:pStyle w:val="Tekstpodstawowy"/>
              <w:widowControl w:val="0"/>
              <w:tabs>
                <w:tab w:val="left" w:pos="0"/>
              </w:tabs>
              <w:spacing w:before="120" w:after="120"/>
              <w:rPr>
                <w:rFonts w:ascii="Open Sans" w:hAnsi="Open Sans" w:cs="Open Sans"/>
                <w:sz w:val="20"/>
                <w:szCs w:val="20"/>
              </w:rPr>
            </w:pPr>
            <w:r w:rsidRPr="00AA0D27">
              <w:rPr>
                <w:rFonts w:ascii="Open Sans" w:hAnsi="Open Sans" w:cs="Open Sans"/>
                <w:sz w:val="20"/>
                <w:szCs w:val="20"/>
              </w:rPr>
              <w:t>Maksymalna punktacja 5 pkt.</w:t>
            </w:r>
          </w:p>
          <w:p w14:paraId="6376067D" w14:textId="2A7F8D8C" w:rsidR="00AA0D27" w:rsidRPr="00AA0D27" w:rsidRDefault="00AA0D27" w:rsidP="00AA0D27">
            <w:pPr>
              <w:pStyle w:val="Tekstpodstawowy"/>
              <w:widowControl w:val="0"/>
              <w:tabs>
                <w:tab w:val="left" w:pos="0"/>
              </w:tabs>
              <w:spacing w:before="120" w:after="120"/>
              <w:rPr>
                <w:rFonts w:ascii="Open Sans" w:hAnsi="Open Sans" w:cs="Open Sans"/>
                <w:sz w:val="20"/>
                <w:szCs w:val="20"/>
              </w:rPr>
            </w:pPr>
            <w:r w:rsidRPr="00AA0D27">
              <w:rPr>
                <w:rFonts w:ascii="Open Sans" w:hAnsi="Open Sans" w:cs="Open Sans"/>
                <w:sz w:val="20"/>
                <w:szCs w:val="20"/>
              </w:rPr>
              <w:t>5 pkt – dla wspieranego projektu</w:t>
            </w:r>
            <w:r>
              <w:rPr>
                <w:rFonts w:ascii="Open Sans" w:hAnsi="Open Sans" w:cs="Open Sans"/>
                <w:sz w:val="20"/>
                <w:szCs w:val="20"/>
              </w:rPr>
              <w:t xml:space="preserve"> </w:t>
            </w:r>
            <w:r w:rsidRPr="00AA0D27">
              <w:rPr>
                <w:rFonts w:ascii="Open Sans" w:hAnsi="Open Sans" w:cs="Open Sans"/>
                <w:sz w:val="20"/>
                <w:szCs w:val="20"/>
              </w:rPr>
              <w:t>wykonano audyt środowiskowy,</w:t>
            </w:r>
          </w:p>
          <w:p w14:paraId="0EFE6A6F" w14:textId="05DA598F" w:rsidR="00AA0D27" w:rsidRPr="00AA0D27" w:rsidRDefault="00AA0D27" w:rsidP="00AA0D27">
            <w:pPr>
              <w:pStyle w:val="Tekstpodstawowy"/>
              <w:widowControl w:val="0"/>
              <w:tabs>
                <w:tab w:val="left" w:pos="0"/>
              </w:tabs>
              <w:spacing w:before="120" w:after="120"/>
              <w:rPr>
                <w:rFonts w:ascii="Open Sans" w:hAnsi="Open Sans" w:cs="Open Sans"/>
                <w:sz w:val="20"/>
                <w:szCs w:val="20"/>
              </w:rPr>
            </w:pPr>
            <w:r w:rsidRPr="00AA0D27">
              <w:rPr>
                <w:rFonts w:ascii="Open Sans" w:hAnsi="Open Sans" w:cs="Open Sans"/>
                <w:sz w:val="20"/>
                <w:szCs w:val="20"/>
              </w:rPr>
              <w:t>2 pkt – dla wspieranego projektu</w:t>
            </w:r>
            <w:r>
              <w:rPr>
                <w:rFonts w:ascii="Open Sans" w:hAnsi="Open Sans" w:cs="Open Sans"/>
                <w:sz w:val="20"/>
                <w:szCs w:val="20"/>
              </w:rPr>
              <w:t xml:space="preserve"> </w:t>
            </w:r>
            <w:r w:rsidRPr="00AA0D27">
              <w:rPr>
                <w:rFonts w:ascii="Open Sans" w:hAnsi="Open Sans" w:cs="Open Sans"/>
                <w:sz w:val="20"/>
                <w:szCs w:val="20"/>
              </w:rPr>
              <w:t>założono wykonanie audyt</w:t>
            </w:r>
            <w:r>
              <w:rPr>
                <w:rFonts w:ascii="Open Sans" w:hAnsi="Open Sans" w:cs="Open Sans"/>
                <w:sz w:val="20"/>
                <w:szCs w:val="20"/>
              </w:rPr>
              <w:t xml:space="preserve"> </w:t>
            </w:r>
            <w:r w:rsidRPr="00AA0D27">
              <w:rPr>
                <w:rFonts w:ascii="Open Sans" w:hAnsi="Open Sans" w:cs="Open Sans"/>
                <w:sz w:val="20"/>
                <w:szCs w:val="20"/>
              </w:rPr>
              <w:t>środowiskowego w ramach ocenianego</w:t>
            </w:r>
            <w:r>
              <w:rPr>
                <w:rFonts w:ascii="Open Sans" w:hAnsi="Open Sans" w:cs="Open Sans"/>
                <w:sz w:val="20"/>
                <w:szCs w:val="20"/>
              </w:rPr>
              <w:t xml:space="preserve"> </w:t>
            </w:r>
            <w:r w:rsidRPr="00AA0D27">
              <w:rPr>
                <w:rFonts w:ascii="Open Sans" w:hAnsi="Open Sans" w:cs="Open Sans"/>
                <w:sz w:val="20"/>
                <w:szCs w:val="20"/>
              </w:rPr>
              <w:t>wniosku,</w:t>
            </w:r>
          </w:p>
          <w:p w14:paraId="01578F6C" w14:textId="3953436E" w:rsidR="00AA0D27" w:rsidRPr="00AA0D27" w:rsidRDefault="00AA0D27" w:rsidP="00AA0D27">
            <w:pPr>
              <w:pStyle w:val="Tekstpodstawowy"/>
              <w:widowControl w:val="0"/>
              <w:tabs>
                <w:tab w:val="left" w:pos="0"/>
              </w:tabs>
              <w:spacing w:before="120" w:after="120"/>
              <w:rPr>
                <w:rFonts w:ascii="Open Sans" w:hAnsi="Open Sans" w:cs="Open Sans"/>
                <w:sz w:val="20"/>
                <w:szCs w:val="20"/>
              </w:rPr>
            </w:pPr>
            <w:r w:rsidRPr="00AA0D27">
              <w:rPr>
                <w:rFonts w:ascii="Open Sans" w:hAnsi="Open Sans" w:cs="Open Sans"/>
                <w:sz w:val="20"/>
                <w:szCs w:val="20"/>
              </w:rPr>
              <w:t>0 pkt – brak wykonanego audytu</w:t>
            </w:r>
            <w:r>
              <w:rPr>
                <w:rFonts w:ascii="Open Sans" w:hAnsi="Open Sans" w:cs="Open Sans"/>
                <w:sz w:val="20"/>
                <w:szCs w:val="20"/>
              </w:rPr>
              <w:t xml:space="preserve"> </w:t>
            </w:r>
            <w:r w:rsidRPr="00AA0D27">
              <w:rPr>
                <w:rFonts w:ascii="Open Sans" w:hAnsi="Open Sans" w:cs="Open Sans"/>
                <w:sz w:val="20"/>
                <w:szCs w:val="20"/>
              </w:rPr>
              <w:t>środowiskowego.</w:t>
            </w:r>
          </w:p>
          <w:p w14:paraId="3420AF2A" w14:textId="1725D377" w:rsidR="008D3486" w:rsidRPr="004C684C" w:rsidRDefault="00AA0D27" w:rsidP="00AA0D27">
            <w:pPr>
              <w:pStyle w:val="Tekstpodstawowy"/>
              <w:widowControl w:val="0"/>
              <w:tabs>
                <w:tab w:val="left" w:pos="0"/>
              </w:tabs>
              <w:spacing w:before="120" w:after="120"/>
              <w:rPr>
                <w:rFonts w:ascii="Open Sans" w:hAnsi="Open Sans" w:cs="Open Sans"/>
                <w:sz w:val="20"/>
                <w:szCs w:val="20"/>
                <w:highlight w:val="red"/>
              </w:rPr>
            </w:pPr>
            <w:r w:rsidRPr="00AA0D27">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64ECA237"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65180E84" w14:textId="77777777" w:rsidR="009F03D5" w:rsidRPr="00E55F86" w:rsidRDefault="009F03D5" w:rsidP="0088258A">
            <w:pPr>
              <w:spacing w:line="276" w:lineRule="auto"/>
              <w:rPr>
                <w:rFonts w:ascii="Open Sans Light" w:hAnsi="Open Sans Light" w:cs="Open Sans Light"/>
                <w:sz w:val="20"/>
                <w:szCs w:val="20"/>
              </w:rPr>
            </w:pPr>
          </w:p>
        </w:tc>
      </w:tr>
      <w:tr w:rsidR="009F03D5" w:rsidRPr="00E55F86" w14:paraId="793CEC7F" w14:textId="77777777" w:rsidTr="005D23AC">
        <w:trPr>
          <w:trHeight w:val="313"/>
        </w:trPr>
        <w:tc>
          <w:tcPr>
            <w:tcW w:w="497" w:type="dxa"/>
          </w:tcPr>
          <w:p w14:paraId="19787986" w14:textId="06231087"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5</w:t>
            </w:r>
          </w:p>
        </w:tc>
        <w:tc>
          <w:tcPr>
            <w:tcW w:w="2337" w:type="dxa"/>
          </w:tcPr>
          <w:p w14:paraId="3DDACFF6" w14:textId="6F2DC271" w:rsidR="009F03D5" w:rsidRPr="0088258A" w:rsidRDefault="0046776A" w:rsidP="0088258A">
            <w:pPr>
              <w:pStyle w:val="Tekstpodstawowy"/>
              <w:widowControl w:val="0"/>
              <w:tabs>
                <w:tab w:val="left" w:pos="0"/>
              </w:tabs>
              <w:snapToGrid w:val="0"/>
              <w:spacing w:before="120" w:after="120"/>
              <w:jc w:val="left"/>
              <w:rPr>
                <w:rFonts w:ascii="Open Sans" w:hAnsi="Open Sans" w:cs="Open Sans"/>
                <w:sz w:val="20"/>
                <w:szCs w:val="20"/>
              </w:rPr>
            </w:pPr>
            <w:r w:rsidRPr="0046776A">
              <w:rPr>
                <w:rFonts w:ascii="Open Sans" w:hAnsi="Open Sans" w:cs="Open Sans"/>
                <w:sz w:val="20"/>
                <w:szCs w:val="20"/>
              </w:rPr>
              <w:t>Promowanie symbioz gospodarczych</w:t>
            </w:r>
          </w:p>
        </w:tc>
        <w:tc>
          <w:tcPr>
            <w:tcW w:w="3926" w:type="dxa"/>
          </w:tcPr>
          <w:p w14:paraId="176CD7D1" w14:textId="77777777" w:rsidR="0046776A" w:rsidRPr="0046776A" w:rsidRDefault="0046776A" w:rsidP="0046776A">
            <w:pPr>
              <w:pStyle w:val="Tekstpodstawowy"/>
              <w:widowControl w:val="0"/>
              <w:tabs>
                <w:tab w:val="left" w:pos="0"/>
              </w:tabs>
              <w:snapToGrid w:val="0"/>
              <w:spacing w:before="120" w:after="120"/>
              <w:rPr>
                <w:rFonts w:ascii="Open Sans" w:hAnsi="Open Sans" w:cs="Open Sans"/>
                <w:sz w:val="20"/>
                <w:szCs w:val="20"/>
              </w:rPr>
            </w:pPr>
            <w:r w:rsidRPr="0046776A">
              <w:rPr>
                <w:rFonts w:ascii="Open Sans" w:hAnsi="Open Sans" w:cs="Open Sans"/>
                <w:sz w:val="20"/>
                <w:szCs w:val="20"/>
              </w:rPr>
              <w:t>Ocenie podlega czy wnioskodawca posiada nawiązaną lub w wyniku realizacji niniejszego projektu ustanowi współpracę z podmiotami trzecimi, której celem jest prowadzenie szeroko rozumianego gospodarczego</w:t>
            </w:r>
            <w:r>
              <w:rPr>
                <w:rFonts w:ascii="Open Sans" w:hAnsi="Open Sans" w:cs="Open Sans"/>
                <w:sz w:val="20"/>
                <w:szCs w:val="20"/>
              </w:rPr>
              <w:t xml:space="preserve"> </w:t>
            </w:r>
            <w:r w:rsidRPr="0046776A">
              <w:rPr>
                <w:rFonts w:ascii="Open Sans" w:hAnsi="Open Sans" w:cs="Open Sans"/>
                <w:sz w:val="20"/>
                <w:szCs w:val="20"/>
              </w:rPr>
              <w:t>wykorzystania odpadów, odpadów z procesów produkcyjnych/ gospodarczych lub produktów ubocznych.</w:t>
            </w:r>
          </w:p>
          <w:p w14:paraId="45A03B11" w14:textId="77777777" w:rsidR="0046776A" w:rsidRPr="0046776A" w:rsidRDefault="0046776A" w:rsidP="0046776A">
            <w:pPr>
              <w:pStyle w:val="Tekstpodstawowy"/>
              <w:widowControl w:val="0"/>
              <w:tabs>
                <w:tab w:val="left" w:pos="0"/>
              </w:tabs>
              <w:snapToGrid w:val="0"/>
              <w:spacing w:before="120" w:after="120"/>
              <w:rPr>
                <w:rFonts w:ascii="Open Sans" w:hAnsi="Open Sans" w:cs="Open Sans"/>
                <w:sz w:val="20"/>
                <w:szCs w:val="20"/>
              </w:rPr>
            </w:pPr>
            <w:r w:rsidRPr="0046776A">
              <w:rPr>
                <w:rFonts w:ascii="Open Sans" w:hAnsi="Open Sans" w:cs="Open Sans"/>
                <w:sz w:val="20"/>
                <w:szCs w:val="20"/>
              </w:rPr>
              <w:t xml:space="preserve">Kryterium premiuje istnienie lub tworzenie symbioz gospodarczych, dzięki którym uboczne produkty lub odpady jednego procesu (lub łańcucha wartości) staną się wkładem dla innego </w:t>
            </w:r>
            <w:r w:rsidRPr="0046776A">
              <w:rPr>
                <w:rFonts w:ascii="Open Sans" w:hAnsi="Open Sans" w:cs="Open Sans"/>
                <w:sz w:val="20"/>
                <w:szCs w:val="20"/>
              </w:rPr>
              <w:lastRenderedPageBreak/>
              <w:t>procesu (lub łańcucha wartości).</w:t>
            </w:r>
          </w:p>
          <w:p w14:paraId="0E68F8BF" w14:textId="2F06D714" w:rsidR="009F03D5" w:rsidRPr="0088258A" w:rsidRDefault="0046776A" w:rsidP="0046776A">
            <w:pPr>
              <w:pStyle w:val="Tekstpodstawowy"/>
              <w:widowControl w:val="0"/>
              <w:tabs>
                <w:tab w:val="left" w:pos="0"/>
              </w:tabs>
              <w:snapToGrid w:val="0"/>
              <w:spacing w:before="120" w:after="120"/>
              <w:rPr>
                <w:rFonts w:ascii="Open Sans" w:hAnsi="Open Sans" w:cs="Open Sans"/>
                <w:sz w:val="20"/>
                <w:szCs w:val="20"/>
              </w:rPr>
            </w:pPr>
            <w:r w:rsidRPr="0046776A">
              <w:rPr>
                <w:rFonts w:ascii="Open Sans" w:hAnsi="Open Sans" w:cs="Open Sans"/>
                <w:sz w:val="20"/>
                <w:szCs w:val="20"/>
              </w:rPr>
              <w:t>Weryfikacja kryterium następuje na podstawie przedłożenia porozumienia o prowadzonej lub oświadczenia o planowanej do nawiązania współpracy w zakresie symbiozy gospodarczej, które będą podpisane przez wnioskodawcę oraz podmiot trzeci/podmioty trzecie, z którym/i jest lub będzie prowadzona współpraca. Porozumienie lub oświadczenie powinno zawierać co najmniej informacje o współpracujących podmiotach, przedmiocie współpracy i jej wielkości (w ujęciu materiałowym i ilościowym) oraz zakładanym terminie obowiązywania i realizacji porozumienia.</w:t>
            </w:r>
          </w:p>
        </w:tc>
        <w:tc>
          <w:tcPr>
            <w:tcW w:w="4462" w:type="dxa"/>
          </w:tcPr>
          <w:p w14:paraId="6CE51523"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lastRenderedPageBreak/>
              <w:t>maks. 5 pkt.</w:t>
            </w:r>
          </w:p>
          <w:p w14:paraId="1E15118B"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5 pkt. – wnioskodawca projektu posiada nawiązaną współpracę z podmiotami trzecimi, której celem jest prowadzenie</w:t>
            </w:r>
            <w:r>
              <w:rPr>
                <w:rFonts w:ascii="Open Sans" w:hAnsi="Open Sans" w:cs="Open Sans"/>
                <w:sz w:val="20"/>
                <w:szCs w:val="20"/>
              </w:rPr>
              <w:t xml:space="preserve"> </w:t>
            </w:r>
            <w:r w:rsidRPr="0046776A">
              <w:rPr>
                <w:rFonts w:ascii="Open Sans" w:hAnsi="Open Sans" w:cs="Open Sans"/>
                <w:sz w:val="20"/>
                <w:szCs w:val="20"/>
              </w:rPr>
              <w:t>szeroko rozumianego gospodarczego wykorzystania odpadów, odpadów z procesów gospodarczych lub produktów ubocznych przez jeden ze współpracujących podmiotów</w:t>
            </w:r>
          </w:p>
          <w:p w14:paraId="294EB92B"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 xml:space="preserve">2 pkt. – wnioskodawca projektu w wyniku realizacji niniejszego projektu ustanowi współpracę z podmiotami trzecimi, której celem będzie prowadzenie szeroko rozumianego gospodarczego wykorzystania odpadów, odpadów z procesów produkcyjnych/gospodarczych lub produktów </w:t>
            </w:r>
            <w:r w:rsidRPr="0046776A">
              <w:rPr>
                <w:rFonts w:ascii="Open Sans" w:hAnsi="Open Sans" w:cs="Open Sans"/>
                <w:sz w:val="20"/>
                <w:szCs w:val="20"/>
              </w:rPr>
              <w:lastRenderedPageBreak/>
              <w:t>ubocznych przez jeden ze współpracujących podmiotów</w:t>
            </w:r>
          </w:p>
          <w:p w14:paraId="4C227EE3"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0 pkt. – żadne z powyższych.</w:t>
            </w:r>
          </w:p>
          <w:p w14:paraId="6C1B6BD6" w14:textId="626AA341" w:rsidR="009F03D5" w:rsidRPr="0088258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7304D046"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AB6FE0D" w14:textId="77777777" w:rsidR="009F03D5" w:rsidRPr="00E55F86" w:rsidRDefault="009F03D5" w:rsidP="0088258A">
            <w:pPr>
              <w:spacing w:line="276" w:lineRule="auto"/>
              <w:rPr>
                <w:rFonts w:ascii="Open Sans Light" w:hAnsi="Open Sans Light" w:cs="Open Sans Light"/>
                <w:sz w:val="20"/>
                <w:szCs w:val="20"/>
              </w:rPr>
            </w:pPr>
          </w:p>
        </w:tc>
      </w:tr>
      <w:tr w:rsidR="008D3486" w:rsidRPr="00E55F86" w14:paraId="6601C5F9" w14:textId="77777777" w:rsidTr="005D23AC">
        <w:trPr>
          <w:trHeight w:val="313"/>
        </w:trPr>
        <w:tc>
          <w:tcPr>
            <w:tcW w:w="497" w:type="dxa"/>
          </w:tcPr>
          <w:p w14:paraId="2471B532" w14:textId="0FE9E276" w:rsidR="008D3486" w:rsidRDefault="008D3486" w:rsidP="0088258A">
            <w:pPr>
              <w:spacing w:line="276" w:lineRule="auto"/>
              <w:rPr>
                <w:rFonts w:ascii="Open Sans" w:hAnsi="Open Sans" w:cs="Open Sans"/>
                <w:b/>
                <w:sz w:val="20"/>
                <w:szCs w:val="20"/>
              </w:rPr>
            </w:pPr>
            <w:r>
              <w:rPr>
                <w:rFonts w:ascii="Open Sans" w:hAnsi="Open Sans" w:cs="Open Sans"/>
                <w:b/>
                <w:sz w:val="20"/>
                <w:szCs w:val="20"/>
              </w:rPr>
              <w:t>6</w:t>
            </w:r>
          </w:p>
        </w:tc>
        <w:tc>
          <w:tcPr>
            <w:tcW w:w="2337" w:type="dxa"/>
          </w:tcPr>
          <w:p w14:paraId="3941073F" w14:textId="4620AD28" w:rsidR="008D3486" w:rsidRPr="0088258A" w:rsidRDefault="0046776A" w:rsidP="0088258A">
            <w:pPr>
              <w:pStyle w:val="Tekstpodstawowy"/>
              <w:widowControl w:val="0"/>
              <w:tabs>
                <w:tab w:val="left" w:pos="0"/>
              </w:tabs>
              <w:snapToGrid w:val="0"/>
              <w:spacing w:before="120" w:after="120"/>
              <w:jc w:val="left"/>
              <w:rPr>
                <w:rFonts w:ascii="Open Sans" w:hAnsi="Open Sans" w:cs="Open Sans"/>
                <w:sz w:val="20"/>
                <w:szCs w:val="20"/>
              </w:rPr>
            </w:pPr>
            <w:r w:rsidRPr="0046776A">
              <w:rPr>
                <w:rFonts w:ascii="Open Sans" w:hAnsi="Open Sans" w:cs="Open Sans"/>
                <w:sz w:val="20"/>
                <w:szCs w:val="20"/>
              </w:rPr>
              <w:t>Działania związane z oszczędnością wody w procesach technologicznych</w:t>
            </w:r>
          </w:p>
        </w:tc>
        <w:tc>
          <w:tcPr>
            <w:tcW w:w="3926" w:type="dxa"/>
          </w:tcPr>
          <w:p w14:paraId="0EBFCBB0" w14:textId="1C9CF814" w:rsidR="008D3486" w:rsidRPr="0088258A" w:rsidRDefault="0046776A" w:rsidP="008D3486">
            <w:pPr>
              <w:pStyle w:val="Tekstpodstawowy"/>
              <w:widowControl w:val="0"/>
              <w:tabs>
                <w:tab w:val="left" w:pos="0"/>
              </w:tabs>
              <w:snapToGrid w:val="0"/>
              <w:spacing w:before="120" w:after="120"/>
              <w:ind w:firstLine="38"/>
              <w:rPr>
                <w:rFonts w:ascii="Open Sans" w:hAnsi="Open Sans" w:cs="Open Sans"/>
                <w:sz w:val="20"/>
                <w:szCs w:val="20"/>
              </w:rPr>
            </w:pPr>
            <w:r w:rsidRPr="0046776A">
              <w:rPr>
                <w:rFonts w:ascii="Open Sans" w:hAnsi="Open Sans" w:cs="Open Sans"/>
                <w:sz w:val="20"/>
                <w:szCs w:val="20"/>
              </w:rPr>
              <w:t>Ocenie podlega wsparcie działań związanych z GOZ w zakresie ograniczenia zużycia wody w procesach technologicznych oraz zamknięciem jej w obieg. Działania w zakresie ograniczenia wykorzystania wody będą mogły być realizowane jedynie jako uzupełniający element składowy przedsięwzięć, których głównym celem będzie efektywność materiałowa procesów gospodarczych.</w:t>
            </w:r>
          </w:p>
        </w:tc>
        <w:tc>
          <w:tcPr>
            <w:tcW w:w="4462" w:type="dxa"/>
          </w:tcPr>
          <w:p w14:paraId="3616B7C6"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maks. 7 pkt.</w:t>
            </w:r>
          </w:p>
          <w:p w14:paraId="7E1E9BE1"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7 pkt. - projekt uwzględnia działania związane z oszczędnością wody w procesach technologicznych, w tym w szczególności stworzenie albo istnienie zamkniętego obiegu wody w ramach wspieranego przedsięwzięcia. Wniosek uzyska maksymalną punktację, jeśli dla</w:t>
            </w:r>
            <w:r>
              <w:rPr>
                <w:rFonts w:ascii="Open Sans" w:hAnsi="Open Sans" w:cs="Open Sans"/>
                <w:sz w:val="20"/>
                <w:szCs w:val="20"/>
              </w:rPr>
              <w:t xml:space="preserve"> </w:t>
            </w:r>
            <w:r w:rsidRPr="0046776A">
              <w:rPr>
                <w:rFonts w:ascii="Open Sans" w:hAnsi="Open Sans" w:cs="Open Sans"/>
                <w:sz w:val="20"/>
                <w:szCs w:val="20"/>
              </w:rPr>
              <w:t>danego przedsięwzięcia już istnieje albo zostanie stworzony zamknięty obieg wody, w tym także niezależnie od działań zakładanych bezpośrednio w ramach wspieranego wniosku o dofinansowanie (zamknięty obieg musi zostać stworzony i rozpocząć funkcjonowanie maksymalnie w terminie zakończenia realizacji projektu ujętego w ocenianym wniosku o dofinansowanie)</w:t>
            </w:r>
          </w:p>
          <w:p w14:paraId="774F06DD"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 xml:space="preserve">3 pkt. – projekt uwzględnia działania związane </w:t>
            </w:r>
            <w:r w:rsidRPr="0046776A">
              <w:rPr>
                <w:rFonts w:ascii="Open Sans" w:hAnsi="Open Sans" w:cs="Open Sans"/>
                <w:sz w:val="20"/>
                <w:szCs w:val="20"/>
              </w:rPr>
              <w:lastRenderedPageBreak/>
              <w:t>z oszczędnością wody w procesach technologicznych, jednak nie dotyczą one stworzenia zamkniętego obiegu wody.</w:t>
            </w:r>
          </w:p>
          <w:p w14:paraId="2DC73D81" w14:textId="77777777" w:rsidR="0046776A" w:rsidRPr="0046776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0 pkt. – projekt nie uwzględnia działań związanych z oszczędnością wody w procesach technologicznych.</w:t>
            </w:r>
          </w:p>
          <w:p w14:paraId="6EF5E392" w14:textId="4F8F4305" w:rsidR="008D3486" w:rsidRPr="0088258A" w:rsidRDefault="0046776A" w:rsidP="0046776A">
            <w:pPr>
              <w:pStyle w:val="Tekstpodstawowy"/>
              <w:widowControl w:val="0"/>
              <w:tabs>
                <w:tab w:val="left" w:pos="0"/>
              </w:tabs>
              <w:spacing w:before="120" w:after="120"/>
              <w:rPr>
                <w:rFonts w:ascii="Open Sans" w:hAnsi="Open Sans" w:cs="Open Sans"/>
                <w:sz w:val="20"/>
                <w:szCs w:val="20"/>
              </w:rPr>
            </w:pPr>
            <w:r w:rsidRPr="0046776A">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6A284090" w14:textId="77777777" w:rsidR="008D3486" w:rsidRPr="00E55F86" w:rsidRDefault="008D3486"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2541BD24" w14:textId="77777777" w:rsidR="008D3486" w:rsidRPr="00E55F86" w:rsidRDefault="008D3486" w:rsidP="0088258A">
            <w:pPr>
              <w:spacing w:line="276" w:lineRule="auto"/>
              <w:rPr>
                <w:rFonts w:ascii="Open Sans Light" w:hAnsi="Open Sans Light" w:cs="Open Sans Light"/>
                <w:sz w:val="20"/>
                <w:szCs w:val="20"/>
              </w:rPr>
            </w:pPr>
          </w:p>
        </w:tc>
      </w:tr>
      <w:tr w:rsidR="0088258A" w:rsidRPr="00E55F86" w14:paraId="6F474DCC" w14:textId="77777777" w:rsidTr="00A426FC">
        <w:trPr>
          <w:trHeight w:val="313"/>
        </w:trPr>
        <w:tc>
          <w:tcPr>
            <w:tcW w:w="497" w:type="dxa"/>
          </w:tcPr>
          <w:p w14:paraId="227E1215" w14:textId="23035766" w:rsidR="0088258A" w:rsidRPr="0088258A" w:rsidRDefault="0046776A" w:rsidP="0088258A">
            <w:pPr>
              <w:spacing w:line="276" w:lineRule="auto"/>
              <w:rPr>
                <w:rFonts w:ascii="Open Sans" w:hAnsi="Open Sans" w:cs="Open Sans"/>
                <w:b/>
                <w:sz w:val="20"/>
                <w:szCs w:val="20"/>
              </w:rPr>
            </w:pPr>
            <w:r>
              <w:rPr>
                <w:rFonts w:ascii="Open Sans" w:hAnsi="Open Sans" w:cs="Open Sans"/>
                <w:b/>
                <w:sz w:val="20"/>
                <w:szCs w:val="20"/>
              </w:rPr>
              <w:t>7</w:t>
            </w:r>
          </w:p>
        </w:tc>
        <w:tc>
          <w:tcPr>
            <w:tcW w:w="2337" w:type="dxa"/>
          </w:tcPr>
          <w:p w14:paraId="598876A9" w14:textId="5AFE687A" w:rsidR="0088258A" w:rsidRPr="0088258A" w:rsidRDefault="0088258A" w:rsidP="0088258A">
            <w:pPr>
              <w:pStyle w:val="Standardowy2"/>
              <w:widowControl w:val="0"/>
              <w:tabs>
                <w:tab w:val="left" w:pos="0"/>
                <w:tab w:val="left" w:pos="3094"/>
              </w:tabs>
              <w:snapToGrid w:val="0"/>
              <w:spacing w:before="120"/>
              <w:rPr>
                <w:rFonts w:ascii="Open Sans" w:hAnsi="Open Sans" w:cs="Open Sans"/>
                <w:sz w:val="20"/>
                <w:lang w:val="pl-PL"/>
              </w:rPr>
            </w:pPr>
            <w:r w:rsidRPr="0088258A">
              <w:rPr>
                <w:rFonts w:ascii="Open Sans" w:hAnsi="Open Sans" w:cs="Open Sans"/>
                <w:sz w:val="20"/>
              </w:rPr>
              <w:t xml:space="preserve">Gotowość do realizacji inwestycji </w:t>
            </w:r>
          </w:p>
        </w:tc>
        <w:tc>
          <w:tcPr>
            <w:tcW w:w="3926" w:type="dxa"/>
          </w:tcPr>
          <w:p w14:paraId="6CFB031C" w14:textId="77777777" w:rsidR="0088258A" w:rsidRPr="0088258A" w:rsidRDefault="0088258A" w:rsidP="004C684C">
            <w:pPr>
              <w:pStyle w:val="Default"/>
              <w:jc w:val="both"/>
              <w:rPr>
                <w:rFonts w:ascii="Open Sans" w:hAnsi="Open Sans" w:cs="Open Sans"/>
                <w:sz w:val="20"/>
                <w:szCs w:val="20"/>
              </w:rPr>
            </w:pPr>
            <w:r w:rsidRPr="0088258A">
              <w:rPr>
                <w:rFonts w:ascii="Open Sans" w:hAnsi="Open Sans" w:cs="Open Sans"/>
                <w:sz w:val="20"/>
                <w:szCs w:val="20"/>
              </w:rPr>
              <w:t xml:space="preserve">Ocenie podlega: </w:t>
            </w:r>
          </w:p>
          <w:p w14:paraId="6B6E6397" w14:textId="77777777" w:rsidR="009F03D5" w:rsidRDefault="009F03D5" w:rsidP="004C684C">
            <w:pPr>
              <w:pStyle w:val="Default"/>
              <w:jc w:val="both"/>
              <w:rPr>
                <w:rFonts w:ascii="Open Sans" w:hAnsi="Open Sans" w:cs="Open Sans"/>
                <w:sz w:val="20"/>
                <w:szCs w:val="20"/>
              </w:rPr>
            </w:pPr>
          </w:p>
          <w:p w14:paraId="74C93EB7" w14:textId="77777777" w:rsidR="009F03D5" w:rsidRDefault="009F03D5" w:rsidP="004C684C">
            <w:pPr>
              <w:pStyle w:val="Default"/>
              <w:jc w:val="both"/>
              <w:rPr>
                <w:rFonts w:ascii="Open Sans" w:hAnsi="Open Sans" w:cs="Open Sans"/>
                <w:sz w:val="20"/>
                <w:szCs w:val="20"/>
              </w:rPr>
            </w:pPr>
          </w:p>
          <w:p w14:paraId="7F3B9A2D" w14:textId="77777777" w:rsidR="009F03D5" w:rsidRDefault="009F03D5" w:rsidP="004C684C">
            <w:pPr>
              <w:pStyle w:val="Default"/>
              <w:jc w:val="both"/>
              <w:rPr>
                <w:rFonts w:ascii="Open Sans" w:hAnsi="Open Sans" w:cs="Open Sans"/>
                <w:sz w:val="20"/>
                <w:szCs w:val="20"/>
              </w:rPr>
            </w:pPr>
          </w:p>
          <w:p w14:paraId="0BA05D6C" w14:textId="795B7777" w:rsidR="004C684C" w:rsidRDefault="004C684C" w:rsidP="0046776A">
            <w:pPr>
              <w:pStyle w:val="Default"/>
              <w:numPr>
                <w:ilvl w:val="0"/>
                <w:numId w:val="2"/>
              </w:numPr>
              <w:ind w:left="322" w:hanging="322"/>
              <w:jc w:val="both"/>
              <w:rPr>
                <w:rFonts w:ascii="Open Sans" w:hAnsi="Open Sans" w:cs="Open Sans"/>
                <w:sz w:val="20"/>
                <w:szCs w:val="20"/>
              </w:rPr>
            </w:pPr>
            <w:r w:rsidRPr="004C684C">
              <w:rPr>
                <w:rFonts w:ascii="Open Sans" w:hAnsi="Open Sans" w:cs="Open Sans"/>
                <w:sz w:val="20"/>
                <w:szCs w:val="20"/>
              </w:rPr>
              <w:t>własność gruntów;</w:t>
            </w:r>
          </w:p>
          <w:p w14:paraId="3AD430A8" w14:textId="77777777" w:rsidR="004C684C" w:rsidRPr="004C684C" w:rsidRDefault="004C684C" w:rsidP="004C684C">
            <w:pPr>
              <w:pStyle w:val="Default"/>
              <w:ind w:left="720"/>
              <w:jc w:val="both"/>
              <w:rPr>
                <w:rFonts w:ascii="Open Sans" w:hAnsi="Open Sans" w:cs="Open Sans"/>
                <w:sz w:val="20"/>
                <w:szCs w:val="20"/>
              </w:rPr>
            </w:pPr>
          </w:p>
          <w:p w14:paraId="222CA472" w14:textId="77777777" w:rsidR="004C684C" w:rsidRDefault="004C684C" w:rsidP="004C684C">
            <w:pPr>
              <w:pStyle w:val="Default"/>
              <w:jc w:val="both"/>
              <w:rPr>
                <w:rFonts w:ascii="Open Sans" w:hAnsi="Open Sans" w:cs="Open Sans"/>
                <w:sz w:val="20"/>
                <w:szCs w:val="20"/>
              </w:rPr>
            </w:pPr>
            <w:r w:rsidRPr="004C684C">
              <w:rPr>
                <w:rFonts w:ascii="Open Sans" w:hAnsi="Open Sans" w:cs="Open Sans"/>
                <w:sz w:val="20"/>
                <w:szCs w:val="20"/>
              </w:rPr>
              <w:t>b) przygotowanie instytucjonalne do wdrażania</w:t>
            </w:r>
          </w:p>
          <w:p w14:paraId="0983DBD1" w14:textId="77777777" w:rsidR="004C684C" w:rsidRPr="004C684C" w:rsidRDefault="004C684C" w:rsidP="004C684C">
            <w:pPr>
              <w:pStyle w:val="Default"/>
              <w:jc w:val="both"/>
              <w:rPr>
                <w:rFonts w:ascii="Open Sans" w:hAnsi="Open Sans" w:cs="Open Sans"/>
                <w:sz w:val="20"/>
                <w:szCs w:val="20"/>
              </w:rPr>
            </w:pPr>
          </w:p>
          <w:p w14:paraId="3846F193" w14:textId="77777777" w:rsidR="004C684C" w:rsidRDefault="004C684C" w:rsidP="004C684C">
            <w:pPr>
              <w:pStyle w:val="Default"/>
              <w:jc w:val="both"/>
              <w:rPr>
                <w:rFonts w:ascii="Open Sans" w:hAnsi="Open Sans" w:cs="Open Sans"/>
                <w:sz w:val="20"/>
                <w:szCs w:val="20"/>
              </w:rPr>
            </w:pPr>
            <w:r w:rsidRPr="004C684C">
              <w:rPr>
                <w:rFonts w:ascii="Open Sans" w:hAnsi="Open Sans" w:cs="Open Sans"/>
                <w:sz w:val="20"/>
                <w:szCs w:val="20"/>
              </w:rPr>
              <w:t>c) wartość zadań inwestycyjnych posiadających ostateczną decyzję w/s pozwolenia na budowę albo zgłoszenie budowy lub</w:t>
            </w:r>
            <w:r>
              <w:t xml:space="preserve"> </w:t>
            </w:r>
            <w:r w:rsidRPr="004C684C">
              <w:rPr>
                <w:rFonts w:ascii="Open Sans" w:hAnsi="Open Sans" w:cs="Open Sans"/>
                <w:sz w:val="20"/>
                <w:szCs w:val="20"/>
              </w:rPr>
              <w:t>robót budowlanych wobec którego organ administracji architektoniczno-budowlanej nie wniósł sprzeciwu w stosunku do wartości wszystkich zadań wymagających pozwoleń na budowę albo zgłoszenia budowy lub robót budowlanych planowanych do realizacji</w:t>
            </w:r>
          </w:p>
          <w:p w14:paraId="29809069" w14:textId="21F111DC" w:rsidR="004C684C" w:rsidRPr="004C684C" w:rsidRDefault="004C684C" w:rsidP="004C684C">
            <w:pPr>
              <w:pStyle w:val="Default"/>
              <w:jc w:val="both"/>
              <w:rPr>
                <w:rFonts w:ascii="Open Sans" w:hAnsi="Open Sans" w:cs="Open Sans"/>
                <w:sz w:val="16"/>
                <w:szCs w:val="16"/>
              </w:rPr>
            </w:pPr>
            <w:r w:rsidRPr="004C684C">
              <w:rPr>
                <w:rFonts w:ascii="Open Sans" w:hAnsi="Open Sans" w:cs="Open Sans"/>
                <w:sz w:val="16"/>
                <w:szCs w:val="16"/>
              </w:rPr>
              <w:t>(jeżeli w ramach projektu nie ma potrzeby dokonywania zgłoszeń lub uzyskiwania pozwoleń na budowę projekt uzyskuje maksymalną liczbę punktów) w zakresie pkt c).</w:t>
            </w:r>
          </w:p>
          <w:p w14:paraId="59362B61" w14:textId="4430DF3D" w:rsidR="004C684C" w:rsidRDefault="004C684C" w:rsidP="004C684C">
            <w:pPr>
              <w:pStyle w:val="Default"/>
              <w:jc w:val="both"/>
              <w:rPr>
                <w:rFonts w:ascii="Open Sans" w:hAnsi="Open Sans" w:cs="Open Sans"/>
                <w:sz w:val="20"/>
                <w:szCs w:val="20"/>
              </w:rPr>
            </w:pPr>
          </w:p>
          <w:p w14:paraId="5855F789" w14:textId="77777777" w:rsidR="004C684C" w:rsidRPr="004C684C" w:rsidRDefault="004C684C" w:rsidP="004C684C">
            <w:pPr>
              <w:pStyle w:val="Default"/>
              <w:jc w:val="both"/>
              <w:rPr>
                <w:rFonts w:ascii="Open Sans" w:hAnsi="Open Sans" w:cs="Open Sans"/>
                <w:sz w:val="20"/>
                <w:szCs w:val="20"/>
              </w:rPr>
            </w:pPr>
          </w:p>
          <w:p w14:paraId="0E2AFC76" w14:textId="4C1FA18D" w:rsidR="004C684C" w:rsidRPr="004C684C" w:rsidRDefault="004C684C" w:rsidP="004C684C">
            <w:pPr>
              <w:pStyle w:val="Default"/>
              <w:jc w:val="both"/>
              <w:rPr>
                <w:rFonts w:ascii="Open Sans" w:hAnsi="Open Sans" w:cs="Open Sans"/>
                <w:sz w:val="20"/>
                <w:szCs w:val="20"/>
              </w:rPr>
            </w:pPr>
            <w:r w:rsidRPr="004C684C">
              <w:rPr>
                <w:rFonts w:ascii="Open Sans" w:hAnsi="Open Sans" w:cs="Open Sans"/>
                <w:sz w:val="20"/>
                <w:szCs w:val="20"/>
              </w:rPr>
              <w:t xml:space="preserve">d) wartość </w:t>
            </w:r>
            <w:r w:rsidR="00704369">
              <w:rPr>
                <w:rFonts w:ascii="Open Sans" w:hAnsi="Open Sans" w:cs="Open Sans"/>
                <w:sz w:val="20"/>
                <w:szCs w:val="20"/>
              </w:rPr>
              <w:t>zadań</w:t>
            </w:r>
            <w:r w:rsidR="00704369" w:rsidRPr="004C684C">
              <w:rPr>
                <w:rFonts w:ascii="Open Sans" w:hAnsi="Open Sans" w:cs="Open Sans"/>
                <w:sz w:val="20"/>
                <w:szCs w:val="20"/>
              </w:rPr>
              <w:t xml:space="preserve"> </w:t>
            </w:r>
            <w:r w:rsidRPr="004C684C">
              <w:rPr>
                <w:rFonts w:ascii="Open Sans" w:hAnsi="Open Sans" w:cs="Open Sans"/>
                <w:sz w:val="20"/>
                <w:szCs w:val="20"/>
              </w:rPr>
              <w:t xml:space="preserve">posiadających dokumentację przetargową (SIWZ i </w:t>
            </w:r>
            <w:r w:rsidRPr="004C684C">
              <w:rPr>
                <w:rFonts w:ascii="Open Sans" w:hAnsi="Open Sans" w:cs="Open Sans"/>
                <w:sz w:val="20"/>
                <w:szCs w:val="20"/>
              </w:rPr>
              <w:lastRenderedPageBreak/>
              <w:t>ogłoszenie) w stosunku do całkowitej wartości projektu</w:t>
            </w:r>
          </w:p>
          <w:p w14:paraId="633D12B9" w14:textId="6968A9D3" w:rsidR="0088258A" w:rsidRPr="0088258A" w:rsidRDefault="0088258A" w:rsidP="004C684C">
            <w:pPr>
              <w:pStyle w:val="Default"/>
              <w:rPr>
                <w:rFonts w:ascii="Open Sans" w:hAnsi="Open Sans" w:cs="Open Sans"/>
                <w:bCs/>
                <w:sz w:val="20"/>
                <w:szCs w:val="20"/>
              </w:rPr>
            </w:pPr>
          </w:p>
        </w:tc>
        <w:tc>
          <w:tcPr>
            <w:tcW w:w="4462" w:type="dxa"/>
          </w:tcPr>
          <w:p w14:paraId="7C665EE7" w14:textId="3CBE1FFD"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lastRenderedPageBreak/>
              <w:t>maks. 1</w:t>
            </w:r>
            <w:r w:rsidR="00112027">
              <w:rPr>
                <w:rFonts w:ascii="Open Sans" w:hAnsi="Open Sans" w:cs="Open Sans"/>
                <w:color w:val="000000"/>
                <w:sz w:val="20"/>
                <w:szCs w:val="20"/>
              </w:rPr>
              <w:t>8</w:t>
            </w:r>
            <w:r w:rsidRPr="0046776A">
              <w:rPr>
                <w:rFonts w:ascii="Open Sans" w:hAnsi="Open Sans" w:cs="Open Sans"/>
                <w:color w:val="000000"/>
                <w:sz w:val="20"/>
                <w:szCs w:val="20"/>
              </w:rPr>
              <w:t xml:space="preserve"> pkt.</w:t>
            </w:r>
          </w:p>
          <w:p w14:paraId="42EE6C15" w14:textId="77777777"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t>a) uregulowana własność gruntów oraz Wnioskodawca dysponuje tytułem prawnym do gruntu umożliwiającym realizacje</w:t>
            </w:r>
            <w:r>
              <w:rPr>
                <w:rFonts w:ascii="Open Sans" w:hAnsi="Open Sans" w:cs="Open Sans"/>
                <w:color w:val="000000"/>
                <w:sz w:val="20"/>
                <w:szCs w:val="20"/>
              </w:rPr>
              <w:t xml:space="preserve"> </w:t>
            </w:r>
            <w:r w:rsidRPr="0046776A">
              <w:rPr>
                <w:rFonts w:ascii="Open Sans" w:hAnsi="Open Sans" w:cs="Open Sans"/>
                <w:color w:val="000000"/>
                <w:sz w:val="20"/>
                <w:szCs w:val="20"/>
              </w:rPr>
              <w:t>projektu i zachowanie trwałości projektu:</w:t>
            </w:r>
          </w:p>
          <w:p w14:paraId="4FB531E0" w14:textId="496F8A8B" w:rsidR="0046776A" w:rsidRPr="0046776A"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2</w:t>
            </w:r>
            <w:r w:rsidR="0046776A" w:rsidRPr="0046776A">
              <w:rPr>
                <w:rFonts w:ascii="Open Sans" w:hAnsi="Open Sans" w:cs="Open Sans"/>
                <w:color w:val="000000"/>
                <w:sz w:val="20"/>
                <w:szCs w:val="20"/>
              </w:rPr>
              <w:t xml:space="preserve"> pkt. – tak</w:t>
            </w:r>
          </w:p>
          <w:p w14:paraId="75474CD1" w14:textId="77777777"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t>b) powołanie jednostki realizującej projekt lub powierzenie koordynacji projektu istniejącej komórce organizacyjnej:</w:t>
            </w:r>
          </w:p>
          <w:p w14:paraId="4B5AE416" w14:textId="2728753C" w:rsidR="0046776A" w:rsidRPr="0046776A"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2</w:t>
            </w:r>
            <w:r w:rsidR="0046776A" w:rsidRPr="0046776A">
              <w:rPr>
                <w:rFonts w:ascii="Open Sans" w:hAnsi="Open Sans" w:cs="Open Sans"/>
                <w:color w:val="000000"/>
                <w:sz w:val="20"/>
                <w:szCs w:val="20"/>
              </w:rPr>
              <w:t xml:space="preserve"> pkt. – tak</w:t>
            </w:r>
          </w:p>
          <w:p w14:paraId="78ED0B10" w14:textId="77777777"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t>c) zaokrąglając do pełnego procenta:</w:t>
            </w:r>
          </w:p>
          <w:p w14:paraId="38CE544E" w14:textId="4A70D801" w:rsidR="0046776A" w:rsidRPr="0046776A"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7</w:t>
            </w:r>
            <w:r w:rsidR="0046776A" w:rsidRPr="0046776A">
              <w:rPr>
                <w:rFonts w:ascii="Open Sans" w:hAnsi="Open Sans" w:cs="Open Sans"/>
                <w:color w:val="000000"/>
                <w:sz w:val="20"/>
                <w:szCs w:val="20"/>
              </w:rPr>
              <w:t xml:space="preserve"> pkt. – 86 – 100 % albo</w:t>
            </w:r>
          </w:p>
          <w:p w14:paraId="5E8518F7" w14:textId="20860E48" w:rsidR="0046776A" w:rsidRPr="0046776A"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5</w:t>
            </w:r>
            <w:r w:rsidR="0046776A" w:rsidRPr="0046776A">
              <w:rPr>
                <w:rFonts w:ascii="Open Sans" w:hAnsi="Open Sans" w:cs="Open Sans"/>
                <w:color w:val="000000"/>
                <w:sz w:val="20"/>
                <w:szCs w:val="20"/>
              </w:rPr>
              <w:t xml:space="preserve"> pkt. – 71 % – 85 % albo</w:t>
            </w:r>
          </w:p>
          <w:p w14:paraId="331B9366" w14:textId="3DC02244" w:rsidR="0046776A" w:rsidRPr="0046776A"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3</w:t>
            </w:r>
            <w:r w:rsidR="0046776A" w:rsidRPr="0046776A">
              <w:rPr>
                <w:rFonts w:ascii="Open Sans" w:hAnsi="Open Sans" w:cs="Open Sans"/>
                <w:color w:val="000000"/>
                <w:sz w:val="20"/>
                <w:szCs w:val="20"/>
              </w:rPr>
              <w:t xml:space="preserve"> pkt. – 56 % – 70 % albo</w:t>
            </w:r>
          </w:p>
          <w:p w14:paraId="43F27776" w14:textId="77777777"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t>1 pkt. – 40 % – 55% albo</w:t>
            </w:r>
          </w:p>
          <w:p w14:paraId="47DDC7AD" w14:textId="77777777"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t>0 pkt. – 0 – 39 %</w:t>
            </w:r>
          </w:p>
          <w:p w14:paraId="22422193" w14:textId="77777777" w:rsidR="0046776A" w:rsidRPr="0046776A" w:rsidRDefault="0046776A" w:rsidP="0046776A">
            <w:pPr>
              <w:widowControl w:val="0"/>
              <w:spacing w:before="120" w:after="120"/>
              <w:ind w:left="6"/>
              <w:jc w:val="both"/>
              <w:rPr>
                <w:rFonts w:ascii="Open Sans" w:hAnsi="Open Sans" w:cs="Open Sans"/>
                <w:color w:val="000000"/>
                <w:sz w:val="20"/>
                <w:szCs w:val="20"/>
              </w:rPr>
            </w:pPr>
            <w:r w:rsidRPr="0046776A">
              <w:rPr>
                <w:rFonts w:ascii="Open Sans" w:hAnsi="Open Sans" w:cs="Open Sans"/>
                <w:color w:val="000000"/>
                <w:sz w:val="20"/>
                <w:szCs w:val="20"/>
              </w:rPr>
              <w:t>d) zaokrąglając do pełnego procenta:</w:t>
            </w:r>
          </w:p>
          <w:p w14:paraId="5E0EC331" w14:textId="48845AB3" w:rsidR="0046776A" w:rsidRPr="0046776A"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7</w:t>
            </w:r>
            <w:r w:rsidR="0046776A" w:rsidRPr="0046776A">
              <w:rPr>
                <w:rFonts w:ascii="Open Sans" w:hAnsi="Open Sans" w:cs="Open Sans"/>
                <w:color w:val="000000"/>
                <w:sz w:val="20"/>
                <w:szCs w:val="20"/>
              </w:rPr>
              <w:t xml:space="preserve"> pkt. – 86 % – 100 % albo</w:t>
            </w:r>
          </w:p>
          <w:p w14:paraId="1CE6582B" w14:textId="275A068F" w:rsidR="004C684C" w:rsidRDefault="00112027" w:rsidP="0046776A">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5</w:t>
            </w:r>
            <w:r w:rsidR="0046776A" w:rsidRPr="0046776A">
              <w:rPr>
                <w:rFonts w:ascii="Open Sans" w:hAnsi="Open Sans" w:cs="Open Sans"/>
                <w:color w:val="000000"/>
                <w:sz w:val="20"/>
                <w:szCs w:val="20"/>
              </w:rPr>
              <w:t xml:space="preserve"> pkt. – 71 % – 85 % albo</w:t>
            </w:r>
          </w:p>
          <w:p w14:paraId="78A4BFB7" w14:textId="427B9A83" w:rsidR="0046776A" w:rsidRPr="0046776A" w:rsidRDefault="00112027" w:rsidP="0046776A">
            <w:pPr>
              <w:widowControl w:val="0"/>
              <w:spacing w:before="120" w:after="120"/>
              <w:ind w:left="6"/>
              <w:jc w:val="both"/>
              <w:rPr>
                <w:rFonts w:ascii="Open Sans" w:hAnsi="Open Sans" w:cs="Open Sans"/>
                <w:sz w:val="20"/>
                <w:szCs w:val="20"/>
              </w:rPr>
            </w:pPr>
            <w:r>
              <w:rPr>
                <w:rFonts w:ascii="Open Sans" w:hAnsi="Open Sans" w:cs="Open Sans"/>
                <w:sz w:val="20"/>
                <w:szCs w:val="20"/>
              </w:rPr>
              <w:t>3</w:t>
            </w:r>
            <w:r w:rsidR="0046776A" w:rsidRPr="0046776A">
              <w:rPr>
                <w:rFonts w:ascii="Open Sans" w:hAnsi="Open Sans" w:cs="Open Sans"/>
                <w:sz w:val="20"/>
                <w:szCs w:val="20"/>
              </w:rPr>
              <w:t xml:space="preserve"> pkt. – 56 % – 70 % albo</w:t>
            </w:r>
          </w:p>
          <w:p w14:paraId="635BD2FA" w14:textId="77777777" w:rsidR="0046776A" w:rsidRPr="0046776A" w:rsidRDefault="0046776A" w:rsidP="0046776A">
            <w:pPr>
              <w:widowControl w:val="0"/>
              <w:spacing w:before="120" w:after="120"/>
              <w:ind w:left="6"/>
              <w:jc w:val="both"/>
              <w:rPr>
                <w:rFonts w:ascii="Open Sans" w:hAnsi="Open Sans" w:cs="Open Sans"/>
                <w:sz w:val="20"/>
                <w:szCs w:val="20"/>
              </w:rPr>
            </w:pPr>
            <w:r w:rsidRPr="0046776A">
              <w:rPr>
                <w:rFonts w:ascii="Open Sans" w:hAnsi="Open Sans" w:cs="Open Sans"/>
                <w:sz w:val="20"/>
                <w:szCs w:val="20"/>
              </w:rPr>
              <w:t>1 pkt. – 40 % – 55 % albo</w:t>
            </w:r>
          </w:p>
          <w:p w14:paraId="54B9B8A1" w14:textId="77777777" w:rsidR="0046776A" w:rsidRPr="0046776A" w:rsidRDefault="0046776A" w:rsidP="0046776A">
            <w:pPr>
              <w:widowControl w:val="0"/>
              <w:spacing w:before="120" w:after="120"/>
              <w:ind w:left="6"/>
              <w:jc w:val="both"/>
              <w:rPr>
                <w:rFonts w:ascii="Open Sans" w:hAnsi="Open Sans" w:cs="Open Sans"/>
                <w:sz w:val="20"/>
                <w:szCs w:val="20"/>
              </w:rPr>
            </w:pPr>
            <w:r w:rsidRPr="0046776A">
              <w:rPr>
                <w:rFonts w:ascii="Open Sans" w:hAnsi="Open Sans" w:cs="Open Sans"/>
                <w:sz w:val="20"/>
                <w:szCs w:val="20"/>
              </w:rPr>
              <w:lastRenderedPageBreak/>
              <w:t>0 pkt. – 0 % – 39 %.</w:t>
            </w:r>
          </w:p>
          <w:p w14:paraId="2117914E" w14:textId="77777777" w:rsidR="0046776A" w:rsidRDefault="0046776A" w:rsidP="0046776A">
            <w:pPr>
              <w:widowControl w:val="0"/>
              <w:spacing w:before="120" w:after="120"/>
              <w:ind w:left="6"/>
              <w:jc w:val="both"/>
              <w:rPr>
                <w:rFonts w:ascii="Open Sans" w:hAnsi="Open Sans" w:cs="Open Sans"/>
                <w:sz w:val="20"/>
                <w:szCs w:val="20"/>
              </w:rPr>
            </w:pPr>
            <w:r w:rsidRPr="0046776A">
              <w:rPr>
                <w:rFonts w:ascii="Open Sans" w:hAnsi="Open Sans" w:cs="Open Sans"/>
                <w:sz w:val="20"/>
                <w:szCs w:val="20"/>
              </w:rPr>
              <w:t>Punkty a)-d) sumują się</w:t>
            </w:r>
          </w:p>
          <w:p w14:paraId="608EE961" w14:textId="2EDAF5E1" w:rsidR="0046776A" w:rsidRPr="0088258A" w:rsidRDefault="0046776A" w:rsidP="0046776A">
            <w:pPr>
              <w:widowControl w:val="0"/>
              <w:spacing w:before="120" w:after="120"/>
              <w:ind w:left="6"/>
              <w:jc w:val="both"/>
              <w:rPr>
                <w:rFonts w:ascii="Open Sans" w:hAnsi="Open Sans" w:cs="Open Sans"/>
                <w:sz w:val="20"/>
                <w:szCs w:val="20"/>
              </w:rPr>
            </w:pPr>
          </w:p>
        </w:tc>
        <w:tc>
          <w:tcPr>
            <w:tcW w:w="984" w:type="dxa"/>
            <w:tcBorders>
              <w:top w:val="single" w:sz="4" w:space="0" w:color="000000"/>
              <w:left w:val="single" w:sz="4" w:space="0" w:color="000000"/>
              <w:bottom w:val="single" w:sz="4" w:space="0" w:color="000000"/>
            </w:tcBorders>
            <w:vAlign w:val="center"/>
          </w:tcPr>
          <w:p w14:paraId="659C0CB9" w14:textId="77777777" w:rsidR="0088258A" w:rsidRPr="00E55F86" w:rsidRDefault="0088258A" w:rsidP="0088258A">
            <w:pPr>
              <w:widowControl w:val="0"/>
              <w:spacing w:before="120" w:after="120"/>
              <w:jc w:val="center"/>
              <w:rPr>
                <w:rFonts w:ascii="Open Sans Light" w:hAnsi="Open Sans Light" w:cs="Open Sans Light"/>
                <w:sz w:val="20"/>
                <w:szCs w:val="20"/>
              </w:rPr>
            </w:pPr>
          </w:p>
        </w:tc>
        <w:tc>
          <w:tcPr>
            <w:tcW w:w="2928" w:type="dxa"/>
          </w:tcPr>
          <w:p w14:paraId="2EA0F0E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9D32495" w14:textId="77777777" w:rsidTr="00156550">
        <w:trPr>
          <w:trHeight w:val="313"/>
        </w:trPr>
        <w:tc>
          <w:tcPr>
            <w:tcW w:w="15134" w:type="dxa"/>
            <w:gridSpan w:val="6"/>
          </w:tcPr>
          <w:p w14:paraId="1EBBE87F" w14:textId="77777777" w:rsidR="0088258A" w:rsidRPr="00E55F86" w:rsidRDefault="0088258A" w:rsidP="0088258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88258A" w:rsidRPr="00E55F86" w14:paraId="3772112F" w14:textId="77777777" w:rsidTr="008A58C1">
        <w:trPr>
          <w:trHeight w:val="313"/>
        </w:trPr>
        <w:tc>
          <w:tcPr>
            <w:tcW w:w="497" w:type="dxa"/>
          </w:tcPr>
          <w:p w14:paraId="242F36CE"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Pr="00E55F86">
              <w:rPr>
                <w:rFonts w:ascii="Open Sans Light" w:hAnsi="Open Sans Light" w:cs="Open Sans Light"/>
                <w:sz w:val="20"/>
                <w:szCs w:val="20"/>
              </w:rPr>
              <w:br/>
            </w:r>
          </w:p>
          <w:p w14:paraId="0AA0973C"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w:t>
            </w:r>
            <w:r w:rsidRPr="00E55F86">
              <w:rPr>
                <w:rFonts w:ascii="Open Sans Light" w:hAnsi="Open Sans Light" w:cs="Open Sans Light"/>
                <w:sz w:val="20"/>
                <w:szCs w:val="20"/>
              </w:rPr>
              <w:lastRenderedPageBreak/>
              <w:t xml:space="preserve">zasobach przyrody oraz realizacji dodatkowych nasadzeń drzew </w:t>
            </w:r>
            <w:r w:rsidRPr="00E55F86">
              <w:rPr>
                <w:rFonts w:ascii="Open Sans Light" w:hAnsi="Open Sans Light" w:cs="Open Sans Light"/>
                <w:sz w:val="20"/>
                <w:szCs w:val="20"/>
              </w:rPr>
              <w:br/>
              <w:t>i krzewów.</w:t>
            </w:r>
          </w:p>
        </w:tc>
        <w:tc>
          <w:tcPr>
            <w:tcW w:w="4462" w:type="dxa"/>
            <w:tcBorders>
              <w:top w:val="single" w:sz="4" w:space="0" w:color="000000"/>
              <w:left w:val="single" w:sz="4" w:space="0" w:color="000000"/>
              <w:bottom w:val="single" w:sz="4" w:space="0" w:color="000000"/>
            </w:tcBorders>
          </w:tcPr>
          <w:p w14:paraId="4DD69830"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Pr="00E55F86">
              <w:rPr>
                <w:rFonts w:ascii="Open Sans Light" w:hAnsi="Open Sans Light" w:cs="Open Sans Light"/>
                <w:sz w:val="20"/>
                <w:szCs w:val="20"/>
              </w:rPr>
              <w:br/>
            </w:r>
          </w:p>
          <w:p w14:paraId="3C99368A"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Pr="00E55F86">
              <w:rPr>
                <w:rFonts w:ascii="Open Sans Light" w:hAnsi="Open Sans Light" w:cs="Open Sans Light"/>
                <w:sz w:val="20"/>
                <w:szCs w:val="20"/>
              </w:rPr>
              <w:br/>
            </w:r>
          </w:p>
          <w:p w14:paraId="5CCE2273"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przyrody (w tym zachowanie istniejących drzew i terenów zielonych oraz różnorodności biologicznej); </w:t>
            </w:r>
            <w:r w:rsidRPr="00E55F86">
              <w:rPr>
                <w:rFonts w:ascii="Open Sans Light" w:hAnsi="Open Sans Light" w:cs="Open Sans Light"/>
                <w:sz w:val="20"/>
                <w:szCs w:val="20"/>
              </w:rPr>
              <w:br/>
            </w:r>
          </w:p>
          <w:p w14:paraId="6B0C7934"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r w:rsidRPr="00E55F86">
              <w:rPr>
                <w:rFonts w:ascii="Open Sans Light" w:hAnsi="Open Sans Light" w:cs="Open Sans Light"/>
                <w:sz w:val="20"/>
                <w:szCs w:val="20"/>
              </w:rPr>
              <w:br/>
            </w:r>
          </w:p>
          <w:p w14:paraId="1FAC97A6" w14:textId="77777777" w:rsidR="00047E34"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t>
            </w:r>
            <w:r w:rsidR="00047E34" w:rsidRPr="00047E34">
              <w:rPr>
                <w:rFonts w:ascii="Open Sans Light" w:hAnsi="Open Sans Light" w:cs="Open Sans Light"/>
                <w:sz w:val="20"/>
                <w:szCs w:val="20"/>
              </w:rPr>
              <w:t>w ramach projektu realizowane są dodatkowe nasadzenia drzew lub drzew i krzewów ponad te wynikające z rozstrzygnięć administracyjnych. Trwałość wykonanych na</w:t>
            </w:r>
            <w:r w:rsidR="00047E34">
              <w:rPr>
                <w:rFonts w:ascii="Open Sans Light" w:hAnsi="Open Sans Light" w:cs="Open Sans Light"/>
                <w:sz w:val="20"/>
                <w:szCs w:val="20"/>
              </w:rPr>
              <w:t>sadzeń wynosi co najmniej 5 lat</w:t>
            </w:r>
            <w:r w:rsidRPr="00E55F86">
              <w:rPr>
                <w:rFonts w:ascii="Open Sans Light" w:hAnsi="Open Sans Light" w:cs="Open Sans Light"/>
                <w:sz w:val="20"/>
                <w:szCs w:val="20"/>
              </w:rPr>
              <w:t>;</w:t>
            </w:r>
          </w:p>
          <w:p w14:paraId="631AA367" w14:textId="77777777" w:rsidR="00047E34" w:rsidRDefault="00047E34" w:rsidP="0088258A">
            <w:pPr>
              <w:widowControl w:val="0"/>
              <w:snapToGrid w:val="0"/>
              <w:spacing w:before="120" w:after="120"/>
              <w:jc w:val="both"/>
              <w:rPr>
                <w:rFonts w:ascii="Open Sans Light" w:hAnsi="Open Sans Light" w:cs="Open Sans Light"/>
                <w:sz w:val="20"/>
                <w:szCs w:val="20"/>
              </w:rPr>
            </w:pPr>
          </w:p>
          <w:p w14:paraId="5892C184" w14:textId="13190EA0" w:rsidR="0088258A" w:rsidRPr="00E55F86" w:rsidRDefault="00047E34" w:rsidP="0088258A">
            <w:pPr>
              <w:widowControl w:val="0"/>
              <w:snapToGrid w:val="0"/>
              <w:spacing w:before="120" w:after="120"/>
              <w:jc w:val="both"/>
              <w:rPr>
                <w:rFonts w:ascii="Open Sans Light" w:hAnsi="Open Sans Light" w:cs="Open Sans Light"/>
                <w:sz w:val="20"/>
                <w:szCs w:val="20"/>
              </w:rPr>
            </w:pPr>
            <w:r>
              <w:rPr>
                <w:rFonts w:ascii="Open Sans Light" w:hAnsi="Open Sans Light" w:cs="Open Sans Light"/>
                <w:sz w:val="20"/>
                <w:szCs w:val="20"/>
              </w:rPr>
              <w:t xml:space="preserve">lub 1 pkt - </w:t>
            </w:r>
            <w:r w:rsidRPr="00047E34">
              <w:rPr>
                <w:rFonts w:ascii="Open Sans Light" w:hAnsi="Open Sans Light" w:cs="Open Sans Light"/>
                <w:sz w:val="20"/>
                <w:szCs w:val="20"/>
              </w:rPr>
              <w:t xml:space="preserve">realizacja projektu będzie przebiegać zgodnie ze „Standardem ochrony drzew i innych </w:t>
            </w:r>
            <w:r w:rsidRPr="00047E34">
              <w:rPr>
                <w:rFonts w:ascii="Open Sans Light" w:hAnsi="Open Sans Light" w:cs="Open Sans Light"/>
                <w:sz w:val="20"/>
                <w:szCs w:val="20"/>
              </w:rPr>
              <w:lastRenderedPageBreak/>
              <w:t>form zieleni w procesie inwestycyjnym” (Standard opracowany przez Fundację Ekorozwoju oraz Stowarzyszenie Architektury Krajobrazu Fundacja EkoRozwoju) lub innym standardem stosowanym przez wnioskodawcę chroniącym zieleń w stopniu nie mniejszym niż ww. “Standard (...)”. Spełnienie przedmiotowego kryterium następuje na podstawie oświadczenia wnioskodawcy.</w:t>
            </w:r>
            <w:r w:rsidR="0088258A" w:rsidRPr="00E55F86">
              <w:rPr>
                <w:rFonts w:ascii="Open Sans Light" w:hAnsi="Open Sans Light" w:cs="Open Sans Light"/>
                <w:sz w:val="20"/>
                <w:szCs w:val="20"/>
              </w:rPr>
              <w:t xml:space="preserve"> </w:t>
            </w:r>
            <w:r w:rsidR="0088258A" w:rsidRPr="00E55F86">
              <w:rPr>
                <w:rFonts w:ascii="Open Sans Light" w:hAnsi="Open Sans Light" w:cs="Open Sans Light"/>
                <w:sz w:val="20"/>
                <w:szCs w:val="20"/>
              </w:rPr>
              <w:br/>
            </w:r>
          </w:p>
          <w:p w14:paraId="1116C816"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Pr="00E55F86">
              <w:rPr>
                <w:rFonts w:ascii="Open Sans Light" w:hAnsi="Open Sans Light" w:cs="Open Sans Light"/>
                <w:sz w:val="20"/>
                <w:szCs w:val="20"/>
              </w:rPr>
              <w:br/>
            </w:r>
          </w:p>
          <w:p w14:paraId="3206B362"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88258A" w:rsidRPr="00E55F86" w:rsidRDefault="0088258A" w:rsidP="0088258A">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4EF566B5"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0BC86BF" w14:textId="77777777" w:rsidTr="008A58C1">
        <w:trPr>
          <w:trHeight w:val="313"/>
        </w:trPr>
        <w:tc>
          <w:tcPr>
            <w:tcW w:w="497" w:type="dxa"/>
          </w:tcPr>
          <w:p w14:paraId="2E0A1357"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p>
          <w:p w14:paraId="63F210BF" w14:textId="77777777" w:rsidR="0088258A" w:rsidRPr="00E55F86" w:rsidRDefault="0088258A" w:rsidP="0088258A">
            <w:pPr>
              <w:widowControl w:val="0"/>
              <w:spacing w:before="120" w:after="120"/>
              <w:jc w:val="both"/>
              <w:rPr>
                <w:rFonts w:ascii="Open Sans Light" w:hAnsi="Open Sans Light" w:cs="Open Sans Light"/>
                <w:sz w:val="20"/>
                <w:szCs w:val="20"/>
              </w:rPr>
            </w:pPr>
          </w:p>
          <w:p w14:paraId="587959DC"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D74B124"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595FF17D" w14:textId="77777777" w:rsidTr="008A58C1">
        <w:trPr>
          <w:trHeight w:val="313"/>
        </w:trPr>
        <w:tc>
          <w:tcPr>
            <w:tcW w:w="497" w:type="dxa"/>
          </w:tcPr>
          <w:p w14:paraId="1B8A30F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F855CEF" w14:textId="77777777"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88258A" w:rsidRPr="00E55F86" w:rsidRDefault="0088258A" w:rsidP="0088258A">
            <w:pPr>
              <w:pStyle w:val="Tekstpodstawowy"/>
              <w:widowControl w:val="0"/>
              <w:tabs>
                <w:tab w:val="left" w:pos="0"/>
              </w:tabs>
              <w:snapToGrid w:val="0"/>
              <w:spacing w:before="120" w:after="120"/>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21406781"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 xml:space="preserve">2 pkt. - </w:t>
            </w:r>
            <w:r w:rsidR="00047E34" w:rsidRPr="00047E34">
              <w:rPr>
                <w:rFonts w:ascii="Open Sans Light" w:hAnsi="Open Sans Light" w:cs="Open Sans Light"/>
                <w:sz w:val="20"/>
                <w:szCs w:val="20"/>
              </w:rPr>
              <w:t>projekt realizuje przynajmniej jedno z działań przypisanych do danego obszaru Strategii (Policy area).</w:t>
            </w:r>
            <w:r w:rsidRPr="00E55F86">
              <w:rPr>
                <w:rFonts w:ascii="Open Sans Light" w:hAnsi="Open Sans Light" w:cs="Open Sans Light"/>
                <w:sz w:val="20"/>
                <w:szCs w:val="20"/>
              </w:rPr>
              <w:t>;</w:t>
            </w:r>
            <w:r w:rsidRPr="00E55F86">
              <w:rPr>
                <w:rFonts w:ascii="Open Sans Light" w:hAnsi="Open Sans Light" w:cs="Open Sans Light"/>
                <w:sz w:val="20"/>
                <w:szCs w:val="20"/>
              </w:rPr>
              <w:br/>
            </w:r>
          </w:p>
          <w:p w14:paraId="786AD789" w14:textId="49EF5BE4" w:rsidR="0088258A" w:rsidRPr="00E55F86" w:rsidRDefault="00047E34"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047E34">
              <w:rPr>
                <w:rFonts w:ascii="Open Sans Light" w:hAnsi="Open Sans Light" w:cs="Open Sans Light"/>
                <w:sz w:val="20"/>
                <w:szCs w:val="20"/>
              </w:rPr>
              <w:t>0 pkt. – projekt nie realizuje żadnego z działań przypisanych do danego obszaru Strategii (Policy area)</w:t>
            </w:r>
          </w:p>
        </w:tc>
        <w:tc>
          <w:tcPr>
            <w:tcW w:w="984" w:type="dxa"/>
            <w:tcBorders>
              <w:top w:val="single" w:sz="4" w:space="0" w:color="000000"/>
              <w:left w:val="single" w:sz="4" w:space="0" w:color="000000"/>
              <w:bottom w:val="single" w:sz="4" w:space="0" w:color="000000"/>
            </w:tcBorders>
            <w:vAlign w:val="center"/>
          </w:tcPr>
          <w:p w14:paraId="35DB90FD"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43561B3E"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84992CA" w14:textId="77777777" w:rsidTr="008A58C1">
        <w:trPr>
          <w:trHeight w:val="313"/>
        </w:trPr>
        <w:tc>
          <w:tcPr>
            <w:tcW w:w="497" w:type="dxa"/>
          </w:tcPr>
          <w:p w14:paraId="50C02BB0"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 xml:space="preserve">Projekt przewiduje elementy związane ze współpracą z </w:t>
            </w:r>
            <w:r w:rsidRPr="00E55F86">
              <w:rPr>
                <w:rFonts w:ascii="Open Sans Light" w:hAnsi="Open Sans Light" w:cs="Open Sans Light"/>
                <w:sz w:val="20"/>
                <w:lang w:val="pl-PL"/>
              </w:rPr>
              <w:lastRenderedPageBreak/>
              <w:t>partnerami z innych państw</w:t>
            </w:r>
          </w:p>
        </w:tc>
        <w:tc>
          <w:tcPr>
            <w:tcW w:w="3926" w:type="dxa"/>
            <w:tcBorders>
              <w:top w:val="single" w:sz="4" w:space="0" w:color="000000"/>
              <w:left w:val="single" w:sz="4" w:space="0" w:color="000000"/>
              <w:bottom w:val="single" w:sz="4" w:space="0" w:color="000000"/>
            </w:tcBorders>
          </w:tcPr>
          <w:p w14:paraId="2A60CF5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Projekt zakłada współpracę, w tym wymianę wiedzy i doświadczeń oraz konsultacje, z partnerami z innych Państw </w:t>
            </w:r>
            <w:r w:rsidRPr="00E55F86">
              <w:rPr>
                <w:rFonts w:ascii="Open Sans Light" w:hAnsi="Open Sans Light" w:cs="Open Sans Light"/>
                <w:sz w:val="20"/>
                <w:szCs w:val="20"/>
              </w:rPr>
              <w:lastRenderedPageBreak/>
              <w:t xml:space="preserve">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2 pkt. – projekt zakłada współpracę </w:t>
            </w:r>
            <w:r w:rsidRPr="00E55F86">
              <w:rPr>
                <w:rFonts w:ascii="Open Sans Light" w:hAnsi="Open Sans Light" w:cs="Open Sans Light"/>
                <w:sz w:val="20"/>
                <w:szCs w:val="20"/>
              </w:rPr>
              <w:br/>
              <w:t xml:space="preserve">z partnerami z innych państw, tj. wspólne działania mające bezpośredni związek i wpływ </w:t>
            </w:r>
            <w:r w:rsidRPr="00E55F86">
              <w:rPr>
                <w:rFonts w:ascii="Open Sans Light" w:hAnsi="Open Sans Light" w:cs="Open Sans Light"/>
                <w:sz w:val="20"/>
                <w:szCs w:val="20"/>
              </w:rPr>
              <w:lastRenderedPageBreak/>
              <w:t>na kształt i realizację inwestycji objętej projektem albo</w:t>
            </w:r>
          </w:p>
          <w:p w14:paraId="52826D8A" w14:textId="0FBFBA1D" w:rsidR="00047E34"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jest komplementarny do innych projektów realizowanych poza granicami Polski w UE, krajach </w:t>
            </w:r>
            <w:r w:rsidR="00047E34">
              <w:rPr>
                <w:rFonts w:ascii="Open Sans Light" w:hAnsi="Open Sans Light" w:cs="Open Sans Light"/>
                <w:sz w:val="20"/>
                <w:szCs w:val="20"/>
              </w:rPr>
              <w:t xml:space="preserve">kandydujących i stowarzyszonych. </w:t>
            </w:r>
            <w:r w:rsidR="00047E34" w:rsidRPr="00047E34">
              <w:rPr>
                <w:rFonts w:ascii="Open Sans Light" w:hAnsi="Open Sans Light" w:cs="Open Sans Light"/>
                <w:sz w:val="20"/>
                <w:szCs w:val="20"/>
              </w:rPr>
              <w:t>Udowodniono że przedmiotowe projekty ukierunkowane są na osiągnięcie wspólnego celu i wzajemne wzmacnianie swoich efektów, co jest wynikiem świadomej</w:t>
            </w:r>
          </w:p>
          <w:p w14:paraId="507E025B"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A4871F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1F22503E" w14:textId="77777777" w:rsidTr="008A58C1">
        <w:trPr>
          <w:trHeight w:val="313"/>
        </w:trPr>
        <w:tc>
          <w:tcPr>
            <w:tcW w:w="497" w:type="dxa"/>
          </w:tcPr>
          <w:p w14:paraId="0990F26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88258A" w:rsidRPr="00E55F86" w:rsidRDefault="0088258A" w:rsidP="0088258A">
            <w:pPr>
              <w:pStyle w:val="Standardowy2"/>
              <w:widowControl w:val="0"/>
              <w:tabs>
                <w:tab w:val="left" w:pos="0"/>
                <w:tab w:val="left" w:pos="3094"/>
              </w:tabs>
              <w:suppressAutoHyphens w:val="0"/>
              <w:snapToGrid w:val="0"/>
              <w:spacing w:before="120"/>
              <w:rPr>
                <w:rFonts w:ascii="Open Sans Light" w:hAnsi="Open Sans Light" w:cs="Open Sans Light"/>
                <w:sz w:val="20"/>
                <w:lang w:val="pl-PL"/>
              </w:rPr>
            </w:pPr>
            <w:r w:rsidRPr="00E55F86">
              <w:rPr>
                <w:rFonts w:ascii="Open Sans Light" w:hAnsi="Open Sans Light" w:cs="Open Sans Light"/>
                <w:bCs/>
                <w:sz w:val="20"/>
                <w:lang w:val="pl-PL"/>
              </w:rPr>
              <w:t>Projekt jest operacją o 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88258A" w:rsidRPr="00E55F86" w:rsidRDefault="0088258A" w:rsidP="0088258A">
            <w:pPr>
              <w:pStyle w:val="Tekstpodstawowy"/>
              <w:widowControl w:val="0"/>
              <w:tabs>
                <w:tab w:val="left" w:pos="0"/>
              </w:tabs>
              <w:snapToGrid w:val="0"/>
              <w:spacing w:before="120"/>
              <w:rPr>
                <w:rFonts w:ascii="Open Sans Light" w:hAnsi="Open Sans Light" w:cs="Open Sans Light"/>
                <w:sz w:val="20"/>
                <w:szCs w:val="20"/>
              </w:rPr>
            </w:pPr>
            <w:r w:rsidRPr="00E55F86">
              <w:rPr>
                <w:rFonts w:ascii="Open Sans Light" w:hAnsi="Open Sans Light" w:cs="Open Sans Light"/>
                <w:sz w:val="20"/>
                <w:szCs w:val="20"/>
              </w:rPr>
              <w:t>Projekt jest operacją o strategicznym 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88258A" w:rsidRPr="00E55F86" w:rsidRDefault="0088258A" w:rsidP="0088258A">
            <w:pPr>
              <w:pStyle w:val="Tekstpodstawowy"/>
              <w:widowControl w:val="0"/>
              <w:tabs>
                <w:tab w:val="left" w:pos="313"/>
              </w:tabs>
              <w:spacing w:after="120"/>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3 pkt. – projekt jest operacją o strategicznym znaczeniu w rozumieniu przepisów art. 2 pkt 5 CPR i został ujęty w wykazie takich operacji zawartym w załączniku do programu lub jest częścią wiązki projektów uznanych jako operacja o strategicznym znaczeniu; </w:t>
            </w:r>
          </w:p>
          <w:p w14:paraId="7F251320" w14:textId="77777777" w:rsidR="0088258A" w:rsidRDefault="0088258A" w:rsidP="0088258A">
            <w:pPr>
              <w:pStyle w:val="Tekstpodstawowy"/>
              <w:widowControl w:val="0"/>
              <w:tabs>
                <w:tab w:val="left" w:pos="313"/>
              </w:tabs>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73C5EDE5"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p>
          <w:p w14:paraId="0B44721D"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9CE01A7"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DE91D7A" w14:textId="77777777" w:rsidTr="008A58C1">
        <w:trPr>
          <w:trHeight w:val="313"/>
        </w:trPr>
        <w:tc>
          <w:tcPr>
            <w:tcW w:w="497" w:type="dxa"/>
          </w:tcPr>
          <w:p w14:paraId="026D1592"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w:t>
            </w:r>
            <w:r w:rsidRPr="00E55F86">
              <w:rPr>
                <w:rFonts w:ascii="Open Sans Light" w:hAnsi="Open Sans Light" w:cs="Open Sans Light"/>
                <w:sz w:val="20"/>
                <w:szCs w:val="20"/>
              </w:rPr>
              <w:lastRenderedPageBreak/>
              <w:t>gospodarcze/obszary zagrożone trwałą marginalizacją</w:t>
            </w:r>
          </w:p>
        </w:tc>
        <w:tc>
          <w:tcPr>
            <w:tcW w:w="3926" w:type="dxa"/>
          </w:tcPr>
          <w:p w14:paraId="349251D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Projekt jest realizowany na jednym z dwóch obszarów strategicznej interwencji wskazanych w KSRR, tj. na obszarze miast średnich tracących funkcje społeczno</w:t>
            </w:r>
            <w:r>
              <w:rPr>
                <w:rFonts w:ascii="Open Sans Light" w:hAnsi="Open Sans Light" w:cs="Open Sans Light"/>
                <w:sz w:val="20"/>
                <w:szCs w:val="20"/>
              </w:rPr>
              <w:t>-</w:t>
            </w:r>
            <w:r w:rsidRPr="00E55F86">
              <w:rPr>
                <w:rFonts w:ascii="Open Sans Light" w:hAnsi="Open Sans Light" w:cs="Open Sans Light"/>
                <w:sz w:val="20"/>
                <w:szCs w:val="20"/>
              </w:rPr>
              <w:t xml:space="preserve">gospodarcze lub obszarze zagrożonym trwałą marginalizacją. Aktualizacja delimitacji obszarów strategicznej interwencji jest dostępna pod adresem: </w:t>
            </w:r>
            <w:r w:rsidRPr="00E55F86">
              <w:rPr>
                <w:rFonts w:ascii="Open Sans Light" w:hAnsi="Open Sans Light" w:cs="Open Sans Light"/>
                <w:sz w:val="20"/>
                <w:szCs w:val="20"/>
              </w:rPr>
              <w:lastRenderedPageBreak/>
              <w:t>https://www.gov.pl/web/fundusze-regiony/krajowa-strategia-rozwoju-regionalnego</w:t>
            </w:r>
          </w:p>
        </w:tc>
        <w:tc>
          <w:tcPr>
            <w:tcW w:w="4462" w:type="dxa"/>
          </w:tcPr>
          <w:p w14:paraId="6C5A3D1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realizowany na obszarze wskazanych OSI; </w:t>
            </w:r>
            <w:r w:rsidRPr="00E55F86">
              <w:rPr>
                <w:rFonts w:ascii="Open Sans Light" w:hAnsi="Open Sans Light" w:cs="Open Sans Light"/>
                <w:sz w:val="20"/>
                <w:szCs w:val="20"/>
              </w:rPr>
              <w:br/>
            </w:r>
          </w:p>
          <w:p w14:paraId="5CE62D4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88258A" w:rsidRDefault="0088258A" w:rsidP="0088258A">
            <w:pPr>
              <w:spacing w:line="276" w:lineRule="auto"/>
              <w:rPr>
                <w:rFonts w:ascii="Open Sans Light" w:hAnsi="Open Sans Light" w:cs="Open Sans Light"/>
                <w:sz w:val="20"/>
                <w:szCs w:val="20"/>
              </w:rPr>
            </w:pPr>
          </w:p>
          <w:p w14:paraId="4D9043F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905C87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795148F" w14:textId="77777777" w:rsidTr="008A58C1">
        <w:trPr>
          <w:trHeight w:val="328"/>
        </w:trPr>
        <w:tc>
          <w:tcPr>
            <w:tcW w:w="497" w:type="dxa"/>
          </w:tcPr>
          <w:p w14:paraId="731CC8C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88258A" w:rsidRPr="00E55F86" w:rsidRDefault="0088258A" w:rsidP="0088258A">
            <w:pPr>
              <w:autoSpaceDE w:val="0"/>
              <w:autoSpaceDN w:val="0"/>
              <w:adjustRightInd w:val="0"/>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88258A" w:rsidRPr="00E55F86" w:rsidRDefault="0088258A" w:rsidP="0088258A">
            <w:pPr>
              <w:spacing w:line="276" w:lineRule="auto"/>
              <w:rPr>
                <w:rFonts w:ascii="Open Sans Light" w:hAnsi="Open Sans Light" w:cs="Open Sans Light"/>
                <w:sz w:val="20"/>
                <w:szCs w:val="20"/>
              </w:rPr>
            </w:pPr>
          </w:p>
          <w:p w14:paraId="01CDC10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7A1DC81"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C9EDF5F" w14:textId="77777777" w:rsidTr="008A58C1">
        <w:trPr>
          <w:trHeight w:val="328"/>
        </w:trPr>
        <w:tc>
          <w:tcPr>
            <w:tcW w:w="497" w:type="dxa"/>
          </w:tcPr>
          <w:p w14:paraId="1D4287AB"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3926" w:type="dxa"/>
            <w:shd w:val="clear" w:color="auto" w:fill="auto"/>
          </w:tcPr>
          <w:p w14:paraId="7CDDB07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w:t>
            </w:r>
            <w:r w:rsidRPr="00E55F86">
              <w:rPr>
                <w:rFonts w:ascii="Open Sans Light" w:hAnsi="Open Sans Light" w:cs="Open Sans Light"/>
                <w:sz w:val="20"/>
                <w:szCs w:val="20"/>
              </w:rPr>
              <w:lastRenderedPageBreak/>
              <w:t xml:space="preserve">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Pr="00E55F86">
              <w:rPr>
                <w:rFonts w:ascii="Open Sans Light" w:hAnsi="Open Sans Light" w:cs="Open Sans Light"/>
                <w:sz w:val="20"/>
                <w:szCs w:val="20"/>
              </w:rPr>
              <w:br/>
              <w:t>w tym również inwestycji innych podmiotów itp.).</w:t>
            </w:r>
          </w:p>
        </w:tc>
        <w:tc>
          <w:tcPr>
            <w:tcW w:w="4462" w:type="dxa"/>
            <w:shd w:val="clear" w:color="auto" w:fill="auto"/>
          </w:tcPr>
          <w:p w14:paraId="15A13B92" w14:textId="77777777" w:rsidR="00EF2F92"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42187DC0" w14:textId="77777777" w:rsidR="00EF2F92" w:rsidRDefault="00EF2F92" w:rsidP="0088258A">
            <w:pPr>
              <w:spacing w:line="276" w:lineRule="auto"/>
              <w:rPr>
                <w:rFonts w:ascii="Open Sans Light" w:hAnsi="Open Sans Light" w:cs="Open Sans Light"/>
                <w:sz w:val="20"/>
                <w:szCs w:val="20"/>
              </w:rPr>
            </w:pPr>
          </w:p>
          <w:p w14:paraId="5FC88B64" w14:textId="475279D3" w:rsidR="0088258A" w:rsidRPr="00E55F86" w:rsidRDefault="00EF2F92" w:rsidP="0088258A">
            <w:pPr>
              <w:spacing w:line="276" w:lineRule="auto"/>
              <w:rPr>
                <w:rFonts w:ascii="Open Sans Light" w:hAnsi="Open Sans Light" w:cs="Open Sans Light"/>
                <w:sz w:val="20"/>
                <w:szCs w:val="20"/>
              </w:rPr>
            </w:pPr>
            <w:r>
              <w:rPr>
                <w:rFonts w:ascii="Open Sans Light" w:hAnsi="Open Sans Light" w:cs="Open Sans Light"/>
                <w:sz w:val="20"/>
                <w:szCs w:val="20"/>
              </w:rPr>
              <w:t>albo</w:t>
            </w:r>
            <w:r w:rsidR="0088258A" w:rsidRPr="00E55F86">
              <w:rPr>
                <w:rFonts w:ascii="Open Sans Light" w:hAnsi="Open Sans Light" w:cs="Open Sans Light"/>
                <w:sz w:val="20"/>
                <w:szCs w:val="20"/>
              </w:rPr>
              <w:br/>
            </w:r>
          </w:p>
          <w:p w14:paraId="2B986F6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pkt. - projekt wynika z zapisów strategii terytorialnej (ZIT lub IIT), bądź strategii rozwoju ponadlokalnego albo wynika z dokumentów strategicznych i/lub planistycznych powstałych </w:t>
            </w:r>
            <w:r w:rsidRPr="00E55F86">
              <w:rPr>
                <w:rFonts w:ascii="Open Sans Light" w:hAnsi="Open Sans Light" w:cs="Open Sans Light"/>
                <w:sz w:val="20"/>
                <w:szCs w:val="20"/>
              </w:rPr>
              <w:lastRenderedPageBreak/>
              <w:t>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8258A" w:rsidRPr="00E55F86" w:rsidRDefault="0088258A" w:rsidP="0088258A">
            <w:pPr>
              <w:spacing w:line="276" w:lineRule="auto"/>
              <w:rPr>
                <w:rFonts w:ascii="Open Sans Light" w:hAnsi="Open Sans Light" w:cs="Open Sans Light"/>
                <w:sz w:val="20"/>
                <w:szCs w:val="20"/>
              </w:rPr>
            </w:pPr>
          </w:p>
          <w:p w14:paraId="6B77246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8258A" w:rsidRPr="00E55F86" w:rsidRDefault="0088258A" w:rsidP="0088258A">
            <w:pPr>
              <w:spacing w:line="276" w:lineRule="auto"/>
              <w:rPr>
                <w:rFonts w:ascii="Open Sans Light" w:hAnsi="Open Sans Light" w:cs="Open Sans Light"/>
                <w:b/>
                <w:sz w:val="20"/>
                <w:szCs w:val="20"/>
              </w:rPr>
            </w:pPr>
          </w:p>
        </w:tc>
        <w:tc>
          <w:tcPr>
            <w:tcW w:w="2928" w:type="dxa"/>
          </w:tcPr>
          <w:p w14:paraId="61F7DB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648A4D1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p w14:paraId="03F619FD" w14:textId="024C4A35" w:rsidR="00EF2F92" w:rsidRPr="00EF2F92" w:rsidRDefault="00EF2F92" w:rsidP="0088258A">
            <w:pPr>
              <w:spacing w:line="276" w:lineRule="auto"/>
              <w:rPr>
                <w:rFonts w:ascii="Open Sans Light" w:hAnsi="Open Sans Light" w:cs="Open Sans Light"/>
                <w:sz w:val="16"/>
                <w:szCs w:val="16"/>
              </w:rPr>
            </w:pPr>
            <w:r w:rsidRPr="00EF2F92">
              <w:rPr>
                <w:rFonts w:ascii="Open Sans Light" w:hAnsi="Open Sans Light" w:cs="Open Sans Light"/>
                <w:sz w:val="16"/>
                <w:szCs w:val="16"/>
              </w:rPr>
              <w:t>(Nie dotyczy projektów, dla których wyższy niż minimalny wymagany wkład własny wnioskodawcy wiąże się z zapewnieniem wyższego wkładu ze środków budżetu państwa.)</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34FB862" w14:textId="115361DA"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inwestycje prywatne/publiczne itp.) w wymiarze wyższym niż minimalny wkład własny wnioskodawcy. </w:t>
            </w:r>
            <w:r w:rsidR="00047E34" w:rsidRPr="00047E34">
              <w:rPr>
                <w:rFonts w:ascii="Open Sans Light" w:hAnsi="Open Sans Light" w:cs="Open Sans Light"/>
                <w:sz w:val="20"/>
                <w:szCs w:val="20"/>
              </w:rPr>
              <w:t>Aby kryterium zostało uznane za spełnione, wkład zapewniany przez wnioskodawcę powinien być podwyższony min. o jeden pkt. proc. względem poziomu całkowitych kosztów kwalifikowalnych możliwych do współfinansowania dla danego projektu (z uwzględnieniem analogicznego podejścia dla projektów objętych uwarunkowaniami dot. pomocy publicznej – tam gdzie ma to zastosowanie).</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6292C9B0" w14:textId="77777777" w:rsidR="00047E34" w:rsidRDefault="00047E34" w:rsidP="0088258A">
            <w:pPr>
              <w:spacing w:line="276" w:lineRule="auto"/>
              <w:rPr>
                <w:rFonts w:ascii="Open Sans Light" w:hAnsi="Open Sans Light" w:cs="Open Sans Light"/>
                <w:sz w:val="20"/>
                <w:szCs w:val="20"/>
              </w:rPr>
            </w:pPr>
            <w:r w:rsidRPr="00047E34">
              <w:rPr>
                <w:rFonts w:ascii="Open Sans Light" w:hAnsi="Open Sans Light" w:cs="Open Sans Light"/>
                <w:sz w:val="20"/>
                <w:szCs w:val="20"/>
              </w:rPr>
              <w:t>1 pkt - 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p>
          <w:p w14:paraId="52F8CADB" w14:textId="3091C080"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w:t>
            </w:r>
          </w:p>
          <w:p w14:paraId="2D8B1FD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wpisuje się w realizację wartości </w:t>
            </w:r>
            <w:r w:rsidRPr="00E55F86">
              <w:rPr>
                <w:rFonts w:ascii="Open Sans Light" w:hAnsi="Open Sans Light" w:cs="Open Sans Light"/>
                <w:sz w:val="20"/>
                <w:szCs w:val="20"/>
              </w:rPr>
              <w:lastRenderedPageBreak/>
              <w:t>Nowego Europejskiego Bauhausu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Czy przy opracowywaniu projektu uwzględniono wymiary zrównoważonego rozwoju, dostępności i estetyki. </w:t>
            </w:r>
            <w:r w:rsidRPr="00E55F86">
              <w:rPr>
                <w:rFonts w:ascii="Open Sans Light" w:hAnsi="Open Sans Light" w:cs="Open Sans Light"/>
                <w:sz w:val="20"/>
                <w:szCs w:val="20"/>
              </w:rPr>
              <w:lastRenderedPageBreak/>
              <w:t>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1 pkt – projekt realizuje założenia NEB;</w:t>
            </w:r>
          </w:p>
          <w:p w14:paraId="518713D6" w14:textId="77777777" w:rsidR="0088258A" w:rsidRPr="00E55F86" w:rsidRDefault="0088258A" w:rsidP="0088258A">
            <w:pPr>
              <w:spacing w:line="276" w:lineRule="auto"/>
              <w:rPr>
                <w:rFonts w:ascii="Open Sans Light" w:hAnsi="Open Sans Light" w:cs="Open Sans Light"/>
                <w:sz w:val="20"/>
                <w:szCs w:val="20"/>
              </w:rPr>
            </w:pPr>
          </w:p>
          <w:p w14:paraId="4610EC6E"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88258A" w:rsidRPr="00E55F86" w:rsidRDefault="0088258A" w:rsidP="0088258A">
            <w:pPr>
              <w:spacing w:line="276" w:lineRule="auto"/>
              <w:rPr>
                <w:rFonts w:ascii="Open Sans Light" w:hAnsi="Open Sans Light" w:cs="Open Sans Light"/>
                <w:sz w:val="20"/>
                <w:szCs w:val="20"/>
              </w:rPr>
            </w:pPr>
          </w:p>
          <w:p w14:paraId="5DBB2F7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2C96E7F4"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3A21710D" w14:textId="77777777" w:rsidR="0088258A" w:rsidRPr="00E55F86" w:rsidRDefault="0088258A" w:rsidP="0088258A">
            <w:pPr>
              <w:spacing w:line="276" w:lineRule="auto"/>
              <w:rPr>
                <w:rFonts w:ascii="Open Sans Light" w:hAnsi="Open Sans Light" w:cs="Open Sans Light"/>
                <w:b/>
                <w:sz w:val="20"/>
                <w:szCs w:val="20"/>
              </w:rPr>
            </w:pPr>
          </w:p>
        </w:tc>
        <w:tc>
          <w:tcPr>
            <w:tcW w:w="2337" w:type="dxa"/>
            <w:tcBorders>
              <w:top w:val="single" w:sz="4" w:space="0" w:color="auto"/>
              <w:left w:val="single" w:sz="4" w:space="0" w:color="auto"/>
              <w:bottom w:val="single" w:sz="4" w:space="0" w:color="auto"/>
              <w:right w:val="single" w:sz="4" w:space="0" w:color="auto"/>
            </w:tcBorders>
          </w:tcPr>
          <w:p w14:paraId="2FFAE062" w14:textId="77777777" w:rsidR="0088258A" w:rsidRPr="00E55F86" w:rsidRDefault="0088258A" w:rsidP="0088258A">
            <w:pPr>
              <w:spacing w:line="276" w:lineRule="auto"/>
              <w:rPr>
                <w:rFonts w:ascii="Open Sans Light" w:hAnsi="Open Sans Light" w:cs="Open Sans Light"/>
                <w:sz w:val="20"/>
                <w:szCs w:val="20"/>
              </w:rPr>
            </w:pP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467ECF37" w14:textId="77777777" w:rsidR="0088258A" w:rsidRPr="00E55F86" w:rsidRDefault="0088258A" w:rsidP="0088258A">
            <w:pPr>
              <w:spacing w:line="276" w:lineRule="auto"/>
              <w:rPr>
                <w:rFonts w:ascii="Open Sans Light" w:hAnsi="Open Sans Light" w:cs="Open Sans Light"/>
                <w:sz w:val="20"/>
                <w:szCs w:val="20"/>
              </w:rPr>
            </w:pP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09E052FE" w14:textId="5CBBCC0A" w:rsidR="0088258A" w:rsidRPr="0088258A" w:rsidRDefault="0088258A" w:rsidP="0088258A">
            <w:pPr>
              <w:spacing w:line="276" w:lineRule="auto"/>
              <w:jc w:val="right"/>
              <w:rPr>
                <w:rFonts w:ascii="Open Sans Light" w:hAnsi="Open Sans Light" w:cs="Open Sans Light"/>
                <w:b/>
                <w:sz w:val="20"/>
                <w:szCs w:val="20"/>
              </w:rPr>
            </w:pPr>
            <w:r w:rsidRPr="0088258A">
              <w:rPr>
                <w:rFonts w:ascii="Open Sans Light" w:hAnsi="Open Sans Light" w:cs="Open Sans Light"/>
                <w:b/>
                <w:sz w:val="20"/>
                <w:szCs w:val="20"/>
              </w:rPr>
              <w:t>SUMA:</w:t>
            </w:r>
          </w:p>
        </w:tc>
        <w:tc>
          <w:tcPr>
            <w:tcW w:w="984" w:type="dxa"/>
            <w:tcBorders>
              <w:top w:val="single" w:sz="4" w:space="0" w:color="auto"/>
              <w:left w:val="single" w:sz="4" w:space="0" w:color="auto"/>
              <w:bottom w:val="single" w:sz="4" w:space="0" w:color="auto"/>
              <w:right w:val="single" w:sz="4" w:space="0" w:color="auto"/>
            </w:tcBorders>
          </w:tcPr>
          <w:p w14:paraId="7DDC7DDC" w14:textId="77777777" w:rsidR="0088258A" w:rsidRPr="0088258A" w:rsidRDefault="0088258A" w:rsidP="0088258A">
            <w:pPr>
              <w:spacing w:line="276" w:lineRule="auto"/>
              <w:jc w:val="right"/>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0ED56BD8" w14:textId="77777777" w:rsidR="0088258A" w:rsidRPr="00E55F86" w:rsidRDefault="0088258A" w:rsidP="0088258A">
            <w:pPr>
              <w:spacing w:line="276" w:lineRule="auto"/>
              <w:rPr>
                <w:rFonts w:ascii="Open Sans Light" w:hAnsi="Open Sans Light" w:cs="Open Sans Light"/>
                <w:b/>
                <w:sz w:val="20"/>
                <w:szCs w:val="20"/>
              </w:rPr>
            </w:pPr>
          </w:p>
        </w:tc>
      </w:tr>
    </w:tbl>
    <w:p w14:paraId="650AF94D" w14:textId="77777777" w:rsidR="00C220EB" w:rsidRPr="00E55F86" w:rsidRDefault="00C220EB" w:rsidP="00C220EB">
      <w:pPr>
        <w:spacing w:line="276" w:lineRule="auto"/>
        <w:rPr>
          <w:rFonts w:ascii="Open Sans Light" w:hAnsi="Open Sans Light" w:cs="Open Sans Light"/>
          <w:b/>
          <w:sz w:val="20"/>
          <w:szCs w:val="20"/>
        </w:rPr>
      </w:pPr>
    </w:p>
    <w:p w14:paraId="710AEBFE" w14:textId="75C722B6" w:rsidR="008F7508" w:rsidRPr="00E55F86" w:rsidRDefault="008F7508" w:rsidP="00C220EB">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46776A">
        <w:rPr>
          <w:rFonts w:ascii="Open Sans Light" w:hAnsi="Open Sans Light" w:cs="Open Sans Light"/>
          <w:b/>
          <w:bCs/>
          <w:sz w:val="20"/>
          <w:szCs w:val="20"/>
        </w:rPr>
        <w:t>6</w:t>
      </w:r>
      <w:r w:rsidR="00AA0D27">
        <w:rPr>
          <w:rFonts w:ascii="Open Sans Light" w:hAnsi="Open Sans Light" w:cs="Open Sans Light"/>
          <w:b/>
          <w:bCs/>
          <w:sz w:val="20"/>
          <w:szCs w:val="20"/>
        </w:rPr>
        <w:t>2</w:t>
      </w:r>
      <w:r w:rsidR="00864F18" w:rsidRPr="00E55F86">
        <w:rPr>
          <w:rFonts w:ascii="Open Sans Light" w:hAnsi="Open Sans Light" w:cs="Open Sans Light"/>
          <w:b/>
          <w:bCs/>
          <w:sz w:val="20"/>
          <w:szCs w:val="20"/>
        </w:rPr>
        <w:t>/</w:t>
      </w:r>
      <w:r w:rsidR="0016069A">
        <w:rPr>
          <w:rFonts w:ascii="Open Sans Light" w:hAnsi="Open Sans Light" w:cs="Open Sans Light"/>
          <w:b/>
          <w:bCs/>
          <w:sz w:val="20"/>
          <w:szCs w:val="20"/>
        </w:rPr>
        <w:t>1</w:t>
      </w:r>
      <w:r w:rsidR="00AA0D27">
        <w:rPr>
          <w:rFonts w:ascii="Open Sans Light" w:hAnsi="Open Sans Light" w:cs="Open Sans Light"/>
          <w:b/>
          <w:bCs/>
          <w:sz w:val="20"/>
          <w:szCs w:val="20"/>
        </w:rPr>
        <w:t>24</w:t>
      </w:r>
      <w:r w:rsidR="00864F18" w:rsidRPr="00E55F86">
        <w:rPr>
          <w:rFonts w:ascii="Open Sans Light" w:hAnsi="Open Sans Light" w:cs="Open Sans Light"/>
          <w:b/>
          <w:bCs/>
          <w:sz w:val="20"/>
          <w:szCs w:val="20"/>
        </w:rPr>
        <w:t xml:space="preserve"> </w:t>
      </w:r>
    </w:p>
    <w:p w14:paraId="4B0C5420" w14:textId="77777777" w:rsidR="00247681" w:rsidRPr="00E55F86" w:rsidRDefault="00247681" w:rsidP="00247681">
      <w:pPr>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p w14:paraId="33043C59" w14:textId="77777777" w:rsidR="008F7508" w:rsidRDefault="008F7508" w:rsidP="00C220EB">
      <w:pPr>
        <w:spacing w:line="276" w:lineRule="auto"/>
        <w:rPr>
          <w:rFonts w:ascii="Open Sans Light" w:hAnsi="Open Sans Light" w:cs="Open Sans Light"/>
          <w:b/>
          <w:sz w:val="20"/>
          <w:szCs w:val="20"/>
        </w:rPr>
      </w:pPr>
    </w:p>
    <w:p w14:paraId="48AD8353" w14:textId="77777777" w:rsidR="00C504EB" w:rsidRPr="00E55F86" w:rsidRDefault="00C504EB" w:rsidP="00C220EB">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127FC">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E55F86">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6127FC">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6127FC">
            <w:pPr>
              <w:spacing w:line="276" w:lineRule="auto"/>
              <w:jc w:val="center"/>
              <w:rPr>
                <w:rFonts w:ascii="Open Sans Light" w:hAnsi="Open Sans Light" w:cs="Open Sans Light"/>
                <w:sz w:val="20"/>
                <w:szCs w:val="20"/>
              </w:rPr>
            </w:pPr>
          </w:p>
        </w:tc>
      </w:tr>
    </w:tbl>
    <w:p w14:paraId="3C7F8396" w14:textId="77777777" w:rsidR="006419B5" w:rsidRPr="00E55F86" w:rsidRDefault="006419B5" w:rsidP="006419B5">
      <w:pPr>
        <w:tabs>
          <w:tab w:val="left" w:pos="8820"/>
        </w:tabs>
        <w:spacing w:line="276" w:lineRule="auto"/>
        <w:rPr>
          <w:rFonts w:ascii="Open Sans Light" w:hAnsi="Open Sans Light" w:cs="Open Sans Light"/>
          <w:sz w:val="20"/>
          <w:szCs w:val="20"/>
        </w:rPr>
      </w:pPr>
    </w:p>
    <w:p w14:paraId="02E7ED0F" w14:textId="77777777" w:rsidR="00C220EB" w:rsidRPr="00E55F86" w:rsidRDefault="00C220EB" w:rsidP="00C220EB">
      <w:pPr>
        <w:spacing w:line="276" w:lineRule="auto"/>
        <w:rPr>
          <w:rFonts w:ascii="Open Sans Light" w:hAnsi="Open Sans Light" w:cs="Open Sans Light"/>
          <w:sz w:val="20"/>
          <w:szCs w:val="20"/>
        </w:rPr>
      </w:pPr>
      <w:r w:rsidRPr="00E55F86">
        <w:rPr>
          <w:rFonts w:ascii="Open Sans Light" w:hAnsi="Open Sans Light" w:cs="Open Sans Light"/>
          <w:b/>
          <w:sz w:val="20"/>
          <w:szCs w:val="20"/>
        </w:rPr>
        <w:lastRenderedPageBreak/>
        <w:t>Decyzja</w:t>
      </w:r>
      <w:r w:rsidR="00355237" w:rsidRPr="00E55F86">
        <w:rPr>
          <w:rStyle w:val="Odwoanieprzypisudolnego"/>
          <w:rFonts w:ascii="Open Sans Light" w:hAnsi="Open Sans Light" w:cs="Open Sans Light"/>
          <w:b/>
          <w:sz w:val="20"/>
          <w:szCs w:val="20"/>
        </w:rPr>
        <w:footnoteReference w:id="3"/>
      </w:r>
      <w:r w:rsidRPr="00E55F86">
        <w:rPr>
          <w:rFonts w:ascii="Open Sans Light" w:hAnsi="Open Sans Light" w:cs="Open Sans Light"/>
          <w:sz w:val="20"/>
          <w:szCs w:val="20"/>
        </w:rPr>
        <w:t>………………………………………………………………………………………</w:t>
      </w:r>
    </w:p>
    <w:p w14:paraId="167E0A94" w14:textId="77777777" w:rsidR="00C220EB" w:rsidRPr="00E55F86" w:rsidRDefault="00C220EB" w:rsidP="00C220EB">
      <w:pPr>
        <w:spacing w:line="276" w:lineRule="auto"/>
        <w:rPr>
          <w:rFonts w:ascii="Open Sans Light" w:hAnsi="Open Sans Light" w:cs="Open Sans Light"/>
          <w:sz w:val="20"/>
          <w:szCs w:val="20"/>
        </w:rPr>
      </w:pPr>
    </w:p>
    <w:p w14:paraId="7C689719"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4FFDB9" w14:textId="77777777" w:rsidR="00925D99" w:rsidRPr="00E55F86" w:rsidRDefault="00925D99" w:rsidP="00925D99">
      <w:pPr>
        <w:spacing w:line="276" w:lineRule="auto"/>
        <w:rPr>
          <w:rFonts w:ascii="Open Sans Light" w:hAnsi="Open Sans Light" w:cs="Open Sans Light"/>
          <w:sz w:val="20"/>
          <w:szCs w:val="20"/>
        </w:rPr>
      </w:pPr>
    </w:p>
    <w:p w14:paraId="42C55948" w14:textId="77777777" w:rsidR="00925D99" w:rsidRPr="00E55F86" w:rsidRDefault="00925D99" w:rsidP="00925D99">
      <w:pPr>
        <w:spacing w:line="276" w:lineRule="auto"/>
        <w:rPr>
          <w:rFonts w:ascii="Open Sans Light" w:hAnsi="Open Sans Light" w:cs="Open Sans Light"/>
          <w:sz w:val="20"/>
          <w:szCs w:val="20"/>
        </w:rPr>
      </w:pPr>
    </w:p>
    <w:p w14:paraId="27FEE60A"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D008AE">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1" w:name="_czesc:S_rozdzial:XXX_art:233_par:5_pkt:"/>
      <w:bookmarkEnd w:id="1"/>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002C3" w14:textId="77777777" w:rsidR="00B26DCF" w:rsidRDefault="00B26DCF">
      <w:r>
        <w:separator/>
      </w:r>
    </w:p>
  </w:endnote>
  <w:endnote w:type="continuationSeparator" w:id="0">
    <w:p w14:paraId="0926C092" w14:textId="77777777" w:rsidR="00B26DCF" w:rsidRDefault="00B26DCF">
      <w:r>
        <w:continuationSeparator/>
      </w:r>
    </w:p>
  </w:endnote>
  <w:endnote w:type="continuationNotice" w:id="1">
    <w:p w14:paraId="25986953" w14:textId="77777777" w:rsidR="00B26DCF" w:rsidRDefault="00B26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E7288" w14:textId="19C750EE"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EB775C">
      <w:rPr>
        <w:rFonts w:ascii="Arial" w:hAnsi="Arial" w:cs="Arial"/>
        <w:noProof/>
        <w:sz w:val="20"/>
        <w:szCs w:val="20"/>
      </w:rPr>
      <w:t>7</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F3292" w14:textId="77777777" w:rsidR="00B26DCF" w:rsidRDefault="00B26DCF">
      <w:r>
        <w:separator/>
      </w:r>
    </w:p>
  </w:footnote>
  <w:footnote w:type="continuationSeparator" w:id="0">
    <w:p w14:paraId="22B8238D" w14:textId="77777777" w:rsidR="00B26DCF" w:rsidRDefault="00B26DCF">
      <w:r>
        <w:continuationSeparator/>
      </w:r>
    </w:p>
  </w:footnote>
  <w:footnote w:type="continuationNotice" w:id="1">
    <w:p w14:paraId="4D9640B9" w14:textId="77777777" w:rsidR="00B26DCF" w:rsidRDefault="00B26DCF"/>
  </w:footnote>
  <w:footnote w:id="2">
    <w:p w14:paraId="3971F712" w14:textId="77777777" w:rsidR="0065340A" w:rsidRDefault="0065340A" w:rsidP="0065340A">
      <w:pPr>
        <w:pStyle w:val="Tekstprzypisudolnego"/>
      </w:pPr>
      <w:r>
        <w:rPr>
          <w:rStyle w:val="Odwoanieprzypisudolnego"/>
        </w:rPr>
        <w:footnoteRef/>
      </w:r>
      <w:r>
        <w:t xml:space="preserve"> Zastosowanie mają stawki opłat określone w Obwieszczeniu Ministra Klimatu i Środowiska z dnia 4 sierpnia 2023 r. w sprawie wysokości stawek opłat za korzystanie ze</w:t>
      </w:r>
    </w:p>
    <w:p w14:paraId="64204DE5" w14:textId="77777777" w:rsidR="0065340A" w:rsidRDefault="0065340A" w:rsidP="0065340A">
      <w:pPr>
        <w:pStyle w:val="Tekstprzypisudolnego"/>
      </w:pPr>
      <w:r>
        <w:t>środowiska na rok 2024, M.P. 2023 poz. 914, z późn. zm. W przypadku zmiany lub uchylenia wskazanego dokumentu zastosowanie mają stawki opłat ujęte w dokumencie</w:t>
      </w:r>
    </w:p>
    <w:p w14:paraId="05DFFE27" w14:textId="46593AA9" w:rsidR="0065340A" w:rsidRDefault="0065340A" w:rsidP="0065340A">
      <w:pPr>
        <w:pStyle w:val="Tekstprzypisudolnego"/>
      </w:pPr>
      <w:r>
        <w:t>regulującym wysokość opłat za umieszczenie odpadów na składowisku aktualnym na ostatni dzień przyjmowania wniosków o dofinansowanie w ramach danego naboru</w:t>
      </w:r>
    </w:p>
  </w:footnote>
  <w:footnote w:id="3">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1"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6B2D13"/>
    <w:multiLevelType w:val="hybridMultilevel"/>
    <w:tmpl w:val="28129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47E34"/>
    <w:rsid w:val="00050B26"/>
    <w:rsid w:val="00051B8E"/>
    <w:rsid w:val="00051D2C"/>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488"/>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027"/>
    <w:rsid w:val="0011227D"/>
    <w:rsid w:val="0011301E"/>
    <w:rsid w:val="0011363B"/>
    <w:rsid w:val="0011365E"/>
    <w:rsid w:val="00113EDB"/>
    <w:rsid w:val="00114FCE"/>
    <w:rsid w:val="001154DB"/>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069A"/>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806"/>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6776A"/>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684C"/>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340A"/>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369"/>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37D6"/>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258A"/>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3486"/>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3D5"/>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0D27"/>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26DCF"/>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3E1C"/>
    <w:rsid w:val="00B6438A"/>
    <w:rsid w:val="00B64754"/>
    <w:rsid w:val="00B660E9"/>
    <w:rsid w:val="00B6695D"/>
    <w:rsid w:val="00B73D66"/>
    <w:rsid w:val="00B751EF"/>
    <w:rsid w:val="00B75702"/>
    <w:rsid w:val="00B7593E"/>
    <w:rsid w:val="00B7629A"/>
    <w:rsid w:val="00B76772"/>
    <w:rsid w:val="00B76CE2"/>
    <w:rsid w:val="00B76E18"/>
    <w:rsid w:val="00B77A27"/>
    <w:rsid w:val="00B77F63"/>
    <w:rsid w:val="00B80F9E"/>
    <w:rsid w:val="00B81422"/>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1DF"/>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3E1"/>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2399"/>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46CD"/>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127F"/>
    <w:rsid w:val="00EA38EB"/>
    <w:rsid w:val="00EB1AAF"/>
    <w:rsid w:val="00EB2B2A"/>
    <w:rsid w:val="00EB775C"/>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2F92"/>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1"/>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F0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19B7F-9829-4AC3-A4A4-AA5CCC6A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2736</Words>
  <Characters>18638</Characters>
  <Application>Microsoft Office Word</Application>
  <DocSecurity>0</DocSecurity>
  <Lines>155</Lines>
  <Paragraphs>42</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21332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3</cp:revision>
  <cp:lastPrinted>2019-02-12T11:05:00Z</cp:lastPrinted>
  <dcterms:created xsi:type="dcterms:W3CDTF">2024-10-24T07:20:00Z</dcterms:created>
  <dcterms:modified xsi:type="dcterms:W3CDTF">2024-10-24T07:34:00Z</dcterms:modified>
</cp:coreProperties>
</file>