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31FA" w14:textId="560C0991" w:rsidR="00583A6E" w:rsidRPr="00305C01" w:rsidRDefault="008A0EE3" w:rsidP="00583A6E">
      <w:pPr>
        <w:suppressAutoHyphens/>
        <w:spacing w:before="130" w:after="130" w:line="276" w:lineRule="auto"/>
        <w:jc w:val="right"/>
        <w:rPr>
          <w:rFonts w:ascii="Times New Roman" w:eastAsia="Helvetica" w:hAnsi="Times New Roman" w:cs="Times New Roman"/>
          <w:b/>
          <w:caps/>
          <w:sz w:val="24"/>
          <w:szCs w:val="24"/>
        </w:rPr>
      </w:pPr>
      <w:r w:rsidRPr="00305C01">
        <w:rPr>
          <w:rFonts w:ascii="Times New Roman" w:eastAsia="Helvetica" w:hAnsi="Times New Roman" w:cs="Times New Roman"/>
          <w:b/>
          <w:caps/>
          <w:sz w:val="24"/>
          <w:szCs w:val="24"/>
        </w:rPr>
        <w:t xml:space="preserve">Załącznik </w:t>
      </w:r>
      <w:r w:rsidR="00583A6E" w:rsidRPr="00305C01">
        <w:rPr>
          <w:rFonts w:ascii="Times New Roman" w:eastAsia="Helvetica" w:hAnsi="Times New Roman" w:cs="Times New Roman"/>
          <w:b/>
          <w:caps/>
          <w:sz w:val="24"/>
          <w:szCs w:val="24"/>
        </w:rPr>
        <w:t xml:space="preserve">do Zarządzenia </w:t>
      </w:r>
    </w:p>
    <w:p w14:paraId="625A4042" w14:textId="063AA561" w:rsidR="00EB6589" w:rsidRPr="00305C01" w:rsidRDefault="006F12CC" w:rsidP="004E3A36">
      <w:pPr>
        <w:pStyle w:val="Tytu"/>
      </w:pPr>
      <w:r w:rsidRPr="00305C01">
        <w:rPr>
          <w:rFonts w:eastAsia="Helvetica"/>
        </w:rPr>
        <w:t xml:space="preserve">PROGRAM WSPÓŁPRACY MINISTRA CYFRYZACJI Z ORGANIZACJAMI POZARZĄDOWYMI </w:t>
      </w:r>
      <w:r w:rsidR="00986B34">
        <w:rPr>
          <w:rFonts w:eastAsia="Helvetica"/>
        </w:rPr>
        <w:br/>
      </w:r>
      <w:r w:rsidRPr="00305C01">
        <w:rPr>
          <w:rFonts w:eastAsia="Helvetica"/>
        </w:rPr>
        <w:t xml:space="preserve">ORAZ PODMIOTAMI WYMIENIONYMI W ART. 3 UST. 3 </w:t>
      </w:r>
      <w:r w:rsidR="001C4FE3">
        <w:rPr>
          <w:rFonts w:eastAsia="Helvetica"/>
        </w:rPr>
        <w:br/>
      </w:r>
      <w:r w:rsidRPr="00305C01">
        <w:rPr>
          <w:rFonts w:eastAsia="Helvetica"/>
        </w:rPr>
        <w:t xml:space="preserve">USTAWY O DZIAŁALNOŚCI POŻYTKU PUBLICZNEGO I O WOLONTARIACIE </w:t>
      </w:r>
      <w:r w:rsidR="006A4F5A">
        <w:rPr>
          <w:rFonts w:eastAsia="Helvetica"/>
        </w:rPr>
        <w:br/>
      </w:r>
      <w:r w:rsidRPr="00305C01">
        <w:rPr>
          <w:rFonts w:eastAsia="Helvetica"/>
        </w:rPr>
        <w:t>NA LATA 2025</w:t>
      </w:r>
      <w:r w:rsidR="007A056A">
        <w:rPr>
          <w:rFonts w:eastAsia="Helvetica"/>
        </w:rPr>
        <w:t xml:space="preserve"> </w:t>
      </w:r>
      <w:r w:rsidRPr="00305C01">
        <w:rPr>
          <w:rFonts w:eastAsia="Helvetica"/>
        </w:rPr>
        <w:t>-</w:t>
      </w:r>
      <w:r w:rsidR="007A056A">
        <w:rPr>
          <w:rFonts w:eastAsia="Helvetica"/>
        </w:rPr>
        <w:t xml:space="preserve"> </w:t>
      </w:r>
      <w:r w:rsidRPr="00305C01">
        <w:rPr>
          <w:rFonts w:eastAsia="Helvetica"/>
        </w:rPr>
        <w:t>2027</w:t>
      </w:r>
    </w:p>
    <w:p w14:paraId="3B60041C" w14:textId="4F84EA69" w:rsidR="00EB6589" w:rsidRPr="00305C01" w:rsidRDefault="008A0EE3" w:rsidP="3E6865B3">
      <w:pPr>
        <w:pStyle w:val="Nagwek1"/>
        <w:rPr>
          <w:rFonts w:eastAsia="Helvetica"/>
        </w:rPr>
      </w:pPr>
      <w:r w:rsidRPr="00305C01">
        <w:rPr>
          <w:rFonts w:eastAsia="Helvetica"/>
        </w:rPr>
        <w:t>Wstęp</w:t>
      </w:r>
    </w:p>
    <w:p w14:paraId="459693FB" w14:textId="2D1AC035" w:rsidR="005C48E1" w:rsidRDefault="006F520E" w:rsidP="006F520E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Na podstawie art. 34 ust. 1 ustawy z dnia 8 sierpnia 1996 r. o Radzie Ministrów (Dz. U. z 2022 r. poz. 1188 oraz z 2023 r. poz. 1195, 1234 i</w:t>
      </w:r>
      <w:r w:rsidR="00C425DB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1641) w zw. z art. 5b ust. 1 ustawy z dnia 24 kwietnia 2003 r. o działalności pożytku publicznego i o wolontariacie </w:t>
      </w:r>
      <w:r w:rsidR="00063493" w:rsidRPr="00305C01">
        <w:rPr>
          <w:rFonts w:ascii="Times New Roman" w:eastAsia="Helvetica" w:hAnsi="Times New Roman" w:cs="Times New Roman"/>
          <w:sz w:val="24"/>
          <w:szCs w:val="24"/>
        </w:rPr>
        <w:t>(</w:t>
      </w:r>
      <w:r w:rsidR="00A7309F" w:rsidRPr="00305C01">
        <w:rPr>
          <w:rFonts w:ascii="Times New Roman" w:eastAsia="Helvetica" w:hAnsi="Times New Roman" w:cs="Times New Roman"/>
          <w:sz w:val="24"/>
          <w:szCs w:val="24"/>
        </w:rPr>
        <w:t>Dz.U. z 2023 r. poz. 57</w:t>
      </w:r>
      <w:r w:rsidR="007E7E47" w:rsidRPr="00305C01">
        <w:rPr>
          <w:rFonts w:ascii="Times New Roman" w:eastAsia="Helvetica" w:hAnsi="Times New Roman" w:cs="Times New Roman"/>
          <w:sz w:val="24"/>
          <w:szCs w:val="24"/>
        </w:rPr>
        <w:t>1</w:t>
      </w:r>
      <w:r w:rsidR="008A0EE3" w:rsidRPr="00305C01">
        <w:rPr>
          <w:rFonts w:ascii="Times New Roman" w:eastAsia="Helvetica" w:hAnsi="Times New Roman" w:cs="Times New Roman"/>
          <w:sz w:val="24"/>
          <w:szCs w:val="24"/>
        </w:rPr>
        <w:t xml:space="preserve">), zwanej dalej „ustawą”, przyjmuje się Program współpracy Ministra Cyfryzacji z organizacjami pozarządowymi oraz podmiotami wymienionymi w art. 3 ust. 3 ustawy, zwany dalej „Programem”. </w:t>
      </w:r>
    </w:p>
    <w:p w14:paraId="6D8A81BB" w14:textId="32DC397F" w:rsidR="00EB6589" w:rsidRPr="00305C01" w:rsidRDefault="008A0EE3" w:rsidP="006F520E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Program wyznacza kierunki i priorytety współpracy Ministra Cyfryzacji, zwanego dalej „Ministrem” oraz jednostek podległych Ministrowi lub przez niego nadzorowanych z </w:t>
      </w:r>
      <w:r w:rsidR="001C4571" w:rsidRPr="00305C01">
        <w:rPr>
          <w:rFonts w:ascii="Times New Roman" w:eastAsia="Helvetica" w:hAnsi="Times New Roman" w:cs="Times New Roman"/>
          <w:sz w:val="24"/>
          <w:szCs w:val="24"/>
        </w:rPr>
        <w:t>ww. organizacjami i podmiotami.</w:t>
      </w:r>
    </w:p>
    <w:p w14:paraId="759FE1C9" w14:textId="12277530" w:rsidR="00EB6589" w:rsidRPr="00305C01" w:rsidRDefault="008A0EE3" w:rsidP="3E6865B3">
      <w:pPr>
        <w:pStyle w:val="Nagwek1"/>
      </w:pPr>
      <w:r w:rsidRPr="00305C01">
        <w:rPr>
          <w:rFonts w:eastAsia="Helvetica"/>
        </w:rPr>
        <w:t>Diagnoza</w:t>
      </w:r>
    </w:p>
    <w:p w14:paraId="0A564317" w14:textId="72994B8D" w:rsidR="00FC5679" w:rsidRPr="00305C01" w:rsidRDefault="00FC5679" w:rsidP="003326D7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 2022 r. w Polsce działało 103,4 tys. organizacji non-profit, zrzeszających 8,3 mln członków. Tworzyły one 153,4 tys. pełnoetatowych miejsc pracy, które stanowiły 1,4% przeciętnego zatrudnienia w gospodarce narodowej. W związku z działaniami wojennymi na Ukrainie, organizacje objęły pomocą 17,5 mln osób i przekazały wsparcie rzeczowe i finansowe o wartości 1,6 mld zł</w:t>
      </w:r>
      <w:r w:rsidR="00237424" w:rsidRPr="00305C01">
        <w:rPr>
          <w:rStyle w:val="Odwoanieprzypisudolnego"/>
          <w:rFonts w:ascii="Times New Roman" w:eastAsia="Helvetica" w:hAnsi="Times New Roman" w:cs="Times New Roman"/>
          <w:sz w:val="24"/>
          <w:szCs w:val="24"/>
        </w:rPr>
        <w:footnoteReference w:id="2"/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203B2845" w14:textId="77777777" w:rsidR="00EB6589" w:rsidRPr="00305C01" w:rsidRDefault="008A0EE3" w:rsidP="3E6865B3">
      <w:pPr>
        <w:pStyle w:val="Nagwek2"/>
      </w:pPr>
      <w:r w:rsidRPr="00305C01">
        <w:rPr>
          <w:rFonts w:eastAsia="Helvetica"/>
        </w:rPr>
        <w:t>2.1. Sytuacja finansowa organizacji pozarządowych</w:t>
      </w:r>
    </w:p>
    <w:p w14:paraId="1884A966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Główny Urząd Statystyczny wskazuje, że sektor polskich organizacji non-profit charakteryzuje się występowaniem bardzo dużego rozwarstwienia ekonomicznego wśród tworzących go podmiotów.</w:t>
      </w:r>
    </w:p>
    <w:p w14:paraId="346368B9" w14:textId="00869751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Jak wskazuje Stowarzyszenie Klon/Jawor z siedzibą w Warszawie - roczny budżet przeciętnej organizacji w </w:t>
      </w:r>
      <w:r w:rsidR="00E56F97" w:rsidRPr="00305C01">
        <w:rPr>
          <w:rFonts w:ascii="Times New Roman" w:eastAsia="Helvetica" w:hAnsi="Times New Roman" w:cs="Times New Roman"/>
          <w:sz w:val="24"/>
          <w:szCs w:val="24"/>
        </w:rPr>
        <w:t xml:space="preserve">2020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r. wynosił 2</w:t>
      </w:r>
      <w:r w:rsidR="00E56F97" w:rsidRPr="00305C01">
        <w:rPr>
          <w:rFonts w:ascii="Times New Roman" w:eastAsia="Helvetica" w:hAnsi="Times New Roman" w:cs="Times New Roman"/>
          <w:sz w:val="24"/>
          <w:szCs w:val="24"/>
        </w:rPr>
        <w:t>6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tys. zł.</w:t>
      </w:r>
    </w:p>
    <w:p w14:paraId="64B563A9" w14:textId="4667ABD5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032255"/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Od lat kluczowymi problemami stowarzyszeń i fundacji są te związane z zapewnieniem materialnego funkcjonowania organizacji oraz pozyskiwaniem i rozliczaniem środków. </w:t>
      </w:r>
      <w:bookmarkEnd w:id="0"/>
      <w:r w:rsidR="00E56F97" w:rsidRPr="00305C01">
        <w:rPr>
          <w:rFonts w:ascii="Times New Roman" w:eastAsia="Helvetica" w:hAnsi="Times New Roman" w:cs="Times New Roman"/>
          <w:sz w:val="24"/>
          <w:szCs w:val="24"/>
        </w:rPr>
        <w:t>67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% podmiotów </w:t>
      </w:r>
      <w:r w:rsidRPr="00305C01">
        <w:rPr>
          <w:rFonts w:ascii="Times New Roman" w:eastAsia="Helvetica" w:hAnsi="Times New Roman" w:cs="Times New Roman"/>
          <w:sz w:val="24"/>
          <w:szCs w:val="24"/>
        </w:rPr>
        <w:lastRenderedPageBreak/>
        <w:t>trzeciego sektora dostrzega trudności w zdobywaniu funduszy lub sprzętów niezbędnych do funkcjonowania organizacji</w:t>
      </w:r>
      <w:r w:rsidRPr="00305C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1DBD3E29" w14:textId="77777777" w:rsidR="00EB6589" w:rsidRPr="00305C01" w:rsidRDefault="008A0EE3" w:rsidP="3E6865B3">
      <w:pPr>
        <w:pStyle w:val="Nagwek2"/>
      </w:pPr>
      <w:r w:rsidRPr="00305C01">
        <w:rPr>
          <w:rFonts w:eastAsia="Helvetica"/>
        </w:rPr>
        <w:t>2.2. Wpływ pandemii COVID-19 na organizacje pozarządowe</w:t>
      </w:r>
    </w:p>
    <w:p w14:paraId="000676BA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Pandemia COVID-19 zmieniła warunki funkcjonowania całego społeczeństwa, a co za tym idzie, również wpłynęła na działanie podmiotów trzeciego sektora. 65% organizacji pozarządowych ocenia, że pandemia pogorszyła ich sytuację, natomiast jedynie 10% wskazało, że była ona impulsem do rozwoju</w:t>
      </w:r>
      <w:r w:rsidRPr="00305C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13056A28" w14:textId="09D7577B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W nowej, epidemicznej rzeczywistości, wyzwaniem dla organizacji pozarządowych było </w:t>
      </w:r>
      <w:r w:rsidR="00A30674">
        <w:rPr>
          <w:rFonts w:ascii="Times New Roman" w:eastAsia="Helvetica" w:hAnsi="Times New Roman" w:cs="Times New Roman"/>
          <w:sz w:val="24"/>
          <w:szCs w:val="24"/>
        </w:rPr>
        <w:t xml:space="preserve">utrzymanie ciągłości 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zapewnienie świadczenia usług odbiorcom. W pierwszych tygodniach pandemii 20% organizacji deklarowało, że ich działań nie da się prowadzić on-line. Wyzwanie to okazało się jednak poważniejsze niż </w:t>
      </w:r>
      <w:r w:rsidR="00A30674" w:rsidRPr="00305C01">
        <w:rPr>
          <w:rFonts w:ascii="Times New Roman" w:eastAsia="Helvetica" w:hAnsi="Times New Roman" w:cs="Times New Roman"/>
          <w:sz w:val="24"/>
          <w:szCs w:val="24"/>
        </w:rPr>
        <w:t xml:space="preserve">mogło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się początkowo wydawać.</w:t>
      </w:r>
    </w:p>
    <w:p w14:paraId="51C636EE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Na przełomie 2020 r. i 2021 r. aż 39% organizacji praktycznie nie prowadziło on-line żadnych działań. Ostatecznie 36% organizacji przeniosło większość lub wszystkie działania do Internetu. Jednocześnie 61% organizacji nie przeniosło żadnych działań lub przeniosło tylko mniejszość z nich do cyberprzestrzeni</w:t>
      </w:r>
      <w:r w:rsidRPr="00305C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3C362B03" w14:textId="29D655DB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Wskazując na przyczyny braku przeniesienia działań do Internetu -</w:t>
      </w:r>
      <w:r w:rsidR="00583A6E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zdecydowana większość organizacji (81%) twierdziła, że nie pozwala na to charakter ich działań. 18% organizacji wskazało, że powodem, dla którego nie prowadzono działań w Internecie jest brak kompetencji cyfrowych odbiorców, natomiast 11% wskazywało na brak kompetencji w samej organizacji.</w:t>
      </w:r>
    </w:p>
    <w:p w14:paraId="051CDE98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 tej sytuacji 16% organizacji podjęło działania mające na celu przeciwdziałanie wykluczeniu cyfrowemu - podmioty trzeciego sektora zaspokajały potrzeby odbiorców swoich działań w zakresie dostępu do sprzętu, Internetu, oprogramowania, aplikacji, czy też nabywania kompetencji cyfrowych. O wyzwaniach technologicznych i sprzętowych odbiorców działań wspomina 34% organizacji.</w:t>
      </w:r>
    </w:p>
    <w:p w14:paraId="3F943227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O trudnej sytuacji finansowej czy problemach związanych z płynnością finansową wielu organizacji świadczy fakt, że dla 66% stowarzyszeń i fundacji kluczową potrzebą są dodatkowe środki finansowe. Nieco więcej niż co trzecia organizacja (36%) potrzebuje dodatkowego sprzętu oraz oprogramowania umożliwiającego komunikację i pracę zdalną</w:t>
      </w:r>
      <w:r w:rsidRPr="00305C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3354E034" w14:textId="77777777" w:rsidR="00EB6589" w:rsidRPr="00305C01" w:rsidRDefault="008A0EE3" w:rsidP="3E6865B3">
      <w:pPr>
        <w:pStyle w:val="Nagwek2"/>
      </w:pPr>
      <w:r w:rsidRPr="00305C01">
        <w:rPr>
          <w:rFonts w:eastAsia="Helvetica"/>
        </w:rPr>
        <w:lastRenderedPageBreak/>
        <w:t>2.3. Kompetencje cyfrowe Polaków</w:t>
      </w:r>
    </w:p>
    <w:p w14:paraId="5A2A0328" w14:textId="5F94DD0C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 rankingu indeksu gospodarki cyfrowej i społeczeństwa cyfrowego (DESI) na 202</w:t>
      </w:r>
      <w:r w:rsidR="007653FB" w:rsidRPr="00305C01">
        <w:rPr>
          <w:rFonts w:ascii="Times New Roman" w:eastAsia="Helvetica" w:hAnsi="Times New Roman" w:cs="Times New Roman"/>
          <w:sz w:val="24"/>
          <w:szCs w:val="24"/>
        </w:rPr>
        <w:t>2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r., na tle </w:t>
      </w:r>
      <w:r w:rsidR="00046C00" w:rsidRPr="00305C01">
        <w:rPr>
          <w:rFonts w:ascii="Times New Roman" w:eastAsia="Helvetica" w:hAnsi="Times New Roman" w:cs="Times New Roman"/>
          <w:sz w:val="24"/>
          <w:szCs w:val="24"/>
        </w:rPr>
        <w:t xml:space="preserve">27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państw członkowskich Unii Europejskiej, zwanej dalej „UE”, Polska plasuje się na 2</w:t>
      </w:r>
      <w:r w:rsidR="00046C00" w:rsidRPr="00305C01">
        <w:rPr>
          <w:rFonts w:ascii="Times New Roman" w:eastAsia="Helvetica" w:hAnsi="Times New Roman" w:cs="Times New Roman"/>
          <w:sz w:val="24"/>
          <w:szCs w:val="24"/>
        </w:rPr>
        <w:t>4</w:t>
      </w:r>
      <w:r w:rsidRPr="00305C01">
        <w:rPr>
          <w:rFonts w:ascii="Times New Roman" w:eastAsia="Helvetica" w:hAnsi="Times New Roman" w:cs="Times New Roman"/>
          <w:sz w:val="24"/>
          <w:szCs w:val="24"/>
        </w:rPr>
        <w:t>. miejscu.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 xml:space="preserve"> Wynik Polski, jeżeli chodzi o podstawowe i zaawansowane umiejętności cyfrowe, </w:t>
      </w:r>
      <w:r w:rsidR="00A30674">
        <w:rPr>
          <w:rFonts w:ascii="Times New Roman" w:eastAsia="Helvetica" w:hAnsi="Times New Roman" w:cs="Times New Roman"/>
          <w:sz w:val="24"/>
          <w:szCs w:val="24"/>
        </w:rPr>
        <w:t>w dalszym ciągu jest poniżej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 xml:space="preserve"> średniej unijnej. Jedynie 43% osób w wieku od 16 do 74 lat posiada 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 xml:space="preserve">co najmniej 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 xml:space="preserve">podstawowe umiejętności cyfrowe (UE 54%), a 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>21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>% –</w:t>
      </w:r>
      <w:r w:rsidR="00646D35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 xml:space="preserve">ponadpodstawowe 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>umiejętności cyfrow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>e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 xml:space="preserve"> (UE 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>2</w:t>
      </w:r>
      <w:r w:rsidR="00E36BE4" w:rsidRPr="00305C01">
        <w:rPr>
          <w:rFonts w:ascii="Times New Roman" w:eastAsia="Helvetica" w:hAnsi="Times New Roman" w:cs="Times New Roman"/>
          <w:sz w:val="24"/>
          <w:szCs w:val="24"/>
        </w:rPr>
        <w:t>6%).</w:t>
      </w:r>
      <w:r w:rsidR="007C1645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97464C" w:rsidRPr="00305C01">
        <w:rPr>
          <w:rFonts w:ascii="Times New Roman" w:eastAsia="Helvetica" w:hAnsi="Times New Roman" w:cs="Times New Roman"/>
          <w:sz w:val="24"/>
          <w:szCs w:val="24"/>
        </w:rPr>
        <w:t>Zgodnie z danymi Eurostat za 2023 r. jedynie 44% osób w wieku od 16 do 74 lat posiada podstawowe lub wyższe umiejętności cyfrowe (UE 55%), a ponadpodstawowe 20% (UE 27%).</w:t>
      </w:r>
    </w:p>
    <w:p w14:paraId="18C7EE53" w14:textId="7565F6A0" w:rsidR="00EB6589" w:rsidRPr="00305C01" w:rsidRDefault="008A0EE3" w:rsidP="689DE647">
      <w:pPr>
        <w:spacing w:before="130" w:after="130" w:line="276" w:lineRule="auto"/>
        <w:jc w:val="both"/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W kontekście zaawansowanych kompetencji cyfrowych należy wskazać, że pomimo coraz większej liczby specjalistów w dziedzinie technologii informacyjnych i komunikacyjnych (w skrócie ICT, z ang. </w:t>
      </w:r>
      <w:proofErr w:type="spellStart"/>
      <w:r w:rsidRPr="00305C01">
        <w:rPr>
          <w:rFonts w:ascii="Times New Roman" w:eastAsia="Helvetica" w:hAnsi="Times New Roman" w:cs="Times New Roman"/>
          <w:sz w:val="24"/>
          <w:szCs w:val="24"/>
        </w:rPr>
        <w:t>information</w:t>
      </w:r>
      <w:proofErr w:type="spellEnd"/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and </w:t>
      </w:r>
      <w:proofErr w:type="spellStart"/>
      <w:r w:rsidRPr="00305C01">
        <w:rPr>
          <w:rFonts w:ascii="Times New Roman" w:eastAsia="Helvetica" w:hAnsi="Times New Roman" w:cs="Times New Roman"/>
          <w:sz w:val="24"/>
          <w:szCs w:val="24"/>
        </w:rPr>
        <w:t>communication</w:t>
      </w:r>
      <w:proofErr w:type="spellEnd"/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proofErr w:type="spellStart"/>
      <w:r w:rsidRPr="00305C01">
        <w:rPr>
          <w:rFonts w:ascii="Times New Roman" w:eastAsia="Helvetica" w:hAnsi="Times New Roman" w:cs="Times New Roman"/>
          <w:sz w:val="24"/>
          <w:szCs w:val="24"/>
        </w:rPr>
        <w:t>technologies</w:t>
      </w:r>
      <w:proofErr w:type="spellEnd"/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) na rynku pracy </w:t>
      </w:r>
      <w:r w:rsidR="00A30674">
        <w:rPr>
          <w:rFonts w:ascii="Times New Roman" w:eastAsia="Helvetica" w:hAnsi="Times New Roman" w:cs="Times New Roman"/>
          <w:sz w:val="24"/>
          <w:szCs w:val="24"/>
        </w:rPr>
        <w:t xml:space="preserve">oraz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coraz większej liczby absolwentów kierunków teleinformatycznych,</w:t>
      </w:r>
      <w:r w:rsidR="00646D35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cały czas pozostajemy poniżej średniej unijnej.</w:t>
      </w:r>
      <w:r w:rsidR="00646D35" w:rsidRPr="00305C0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D35" w:rsidRPr="00305C0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</w:p>
    <w:p w14:paraId="490EA2FE" w14:textId="7D293598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Mając na celu podniesienie zaawansowanych kompetencji cyfrowych Minister zleca realizację zadań publicznych organizacjom pozarządowym w wieloletnim „Programie Rozwoju Talentów Informatycznych na lata 2019-2029”. W programie tym, młodzież i nauczyciele objęci wsparciem nabywają umiejętności z zakresu algorytmiki, programowania, jak również projektowania gier komputerowych.</w:t>
      </w:r>
    </w:p>
    <w:p w14:paraId="518FD6FE" w14:textId="229D070D" w:rsidR="00EB6589" w:rsidRPr="00305C01" w:rsidRDefault="008A0EE3" w:rsidP="3E6865B3">
      <w:pPr>
        <w:pStyle w:val="Nagwek1"/>
      </w:pPr>
      <w:r w:rsidRPr="00305C01">
        <w:rPr>
          <w:rFonts w:eastAsia="Helvetica"/>
        </w:rPr>
        <w:t>Cel główny</w:t>
      </w:r>
    </w:p>
    <w:p w14:paraId="1637BD9F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032403"/>
      <w:r w:rsidRPr="00305C01">
        <w:rPr>
          <w:rFonts w:ascii="Times New Roman" w:eastAsia="Helvetica" w:hAnsi="Times New Roman" w:cs="Times New Roman"/>
          <w:sz w:val="24"/>
          <w:szCs w:val="24"/>
        </w:rPr>
        <w:t>Tworzenie warunków dla partnerskiej, aktywnej i efektywnej współpracy Ministra z organizacjami pozarządowymi oraz podmiotami wymienionymi w art. 3 ust. 3 ustawy na rzecz rozwoju polskiego społeczeństwa cyfrowego, cyfrowej gospodarki i cyfrowej administracji.</w:t>
      </w:r>
    </w:p>
    <w:bookmarkEnd w:id="1"/>
    <w:p w14:paraId="73722D16" w14:textId="6EB9EEBC" w:rsidR="00EB6589" w:rsidRPr="00305C01" w:rsidRDefault="008A0EE3" w:rsidP="3E6865B3">
      <w:pPr>
        <w:pStyle w:val="Nagwek1"/>
      </w:pPr>
      <w:r w:rsidRPr="00305C01">
        <w:rPr>
          <w:rFonts w:eastAsia="Helvetica"/>
        </w:rPr>
        <w:t>Cele szczegółowe</w:t>
      </w:r>
    </w:p>
    <w:p w14:paraId="7E38AB43" w14:textId="347D385E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3032319"/>
      <w:r w:rsidRPr="689DE647">
        <w:rPr>
          <w:rFonts w:ascii="Times New Roman" w:eastAsia="Helvetica" w:hAnsi="Times New Roman" w:cs="Times New Roman"/>
          <w:sz w:val="24"/>
          <w:szCs w:val="24"/>
        </w:rPr>
        <w:t>Zaangażowanie organizacji pozarządowych w realizację zadań na rzecz rozwoju kompetencji cyfrowych obywateli</w:t>
      </w:r>
      <w:r w:rsidR="00646D35" w:rsidRPr="689DE647">
        <w:rPr>
          <w:rFonts w:ascii="Times New Roman" w:eastAsia="Helvetica" w:hAnsi="Times New Roman" w:cs="Times New Roman"/>
          <w:sz w:val="24"/>
          <w:szCs w:val="24"/>
        </w:rPr>
        <w:t>,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 rozwoju cyfrowej gospodarki</w:t>
      </w:r>
      <w:r w:rsidR="00646D35" w:rsidRPr="689DE647">
        <w:rPr>
          <w:rFonts w:ascii="Times New Roman" w:eastAsia="Helvetica" w:hAnsi="Times New Roman" w:cs="Times New Roman"/>
          <w:sz w:val="24"/>
          <w:szCs w:val="24"/>
        </w:rPr>
        <w:t xml:space="preserve"> i cyfrowej transformacji instytucji publicznych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 xml:space="preserve"> m.in. poprzez kształtowanie otwartych postaw społecznych wobec nowych technologii cyfrowych takich jak sztuczna inteligencja, </w:t>
      </w:r>
      <w:r w:rsidR="664CBA2F" w:rsidRPr="3E6865B3">
        <w:rPr>
          <w:rFonts w:ascii="Times New Roman" w:eastAsia="Helvetica" w:hAnsi="Times New Roman" w:cs="Times New Roman"/>
          <w:sz w:val="24"/>
          <w:szCs w:val="24"/>
        </w:rPr>
        <w:t>I</w:t>
      </w:r>
      <w:r w:rsidR="005E5EA0" w:rsidRPr="3E6865B3">
        <w:rPr>
          <w:rFonts w:ascii="Times New Roman" w:eastAsia="Helvetica" w:hAnsi="Times New Roman" w:cs="Times New Roman"/>
          <w:sz w:val="24"/>
          <w:szCs w:val="24"/>
        </w:rPr>
        <w:t>nternet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 xml:space="preserve"> rzeczy czy </w:t>
      </w:r>
      <w:proofErr w:type="spellStart"/>
      <w:r w:rsidR="005E5EA0" w:rsidRPr="689DE647">
        <w:rPr>
          <w:rFonts w:ascii="Times New Roman" w:eastAsia="Helvetica" w:hAnsi="Times New Roman" w:cs="Times New Roman"/>
          <w:sz w:val="24"/>
          <w:szCs w:val="24"/>
        </w:rPr>
        <w:t>blockchain</w:t>
      </w:r>
      <w:proofErr w:type="spellEnd"/>
      <w:r w:rsidRPr="689DE647">
        <w:rPr>
          <w:rFonts w:ascii="Times New Roman" w:eastAsia="Helvetica" w:hAnsi="Times New Roman" w:cs="Times New Roman"/>
          <w:sz w:val="24"/>
          <w:szCs w:val="24"/>
        </w:rPr>
        <w:t>; wspieranie i rozwijanie potencjału organizacji pozarządowych, aktywności obywatelskiej oraz nieformalnych inicjatyw. Tworzenie efektywnych i skutecznych kanałów komunikacji z organizacjami pozarządowymi, mającymi na celu wypracowywanie wspólnych rozwiązań.</w:t>
      </w:r>
      <w:bookmarkEnd w:id="2"/>
    </w:p>
    <w:p w14:paraId="5F0F165C" w14:textId="282C8F8A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>Zapewnienie i ułatwienie udziału organizacj</w:t>
      </w:r>
      <w:r w:rsidR="0045009F" w:rsidRPr="689DE647">
        <w:rPr>
          <w:rFonts w:ascii="Times New Roman" w:eastAsia="Helvetica" w:hAnsi="Times New Roman" w:cs="Times New Roman"/>
          <w:sz w:val="24"/>
          <w:szCs w:val="24"/>
        </w:rPr>
        <w:t>om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 pozarządowy</w:t>
      </w:r>
      <w:r w:rsidR="0045009F" w:rsidRPr="689DE647">
        <w:rPr>
          <w:rFonts w:ascii="Times New Roman" w:eastAsia="Helvetica" w:hAnsi="Times New Roman" w:cs="Times New Roman"/>
          <w:sz w:val="24"/>
          <w:szCs w:val="24"/>
        </w:rPr>
        <w:t xml:space="preserve">m </w:t>
      </w:r>
      <w:r w:rsidRPr="689DE647">
        <w:rPr>
          <w:rFonts w:ascii="Times New Roman" w:eastAsia="Helvetica" w:hAnsi="Times New Roman" w:cs="Times New Roman"/>
          <w:sz w:val="24"/>
          <w:szCs w:val="24"/>
        </w:rPr>
        <w:t>w procesie tworzenia polityk publiczn</w:t>
      </w:r>
      <w:r w:rsidRPr="3E6865B3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E5EA0" w:rsidRPr="3E6865B3">
        <w:rPr>
          <w:rFonts w:ascii="Times New Roman" w:eastAsia="Times New Roman" w:hAnsi="Times New Roman" w:cs="Times New Roman"/>
          <w:sz w:val="24"/>
          <w:szCs w:val="24"/>
        </w:rPr>
        <w:t xml:space="preserve"> poprzez </w:t>
      </w:r>
      <w:r w:rsidR="30E37429" w:rsidRPr="3E6865B3">
        <w:rPr>
          <w:rFonts w:ascii="Times New Roman" w:eastAsia="Times New Roman" w:hAnsi="Times New Roman" w:cs="Times New Roman"/>
          <w:sz w:val="24"/>
          <w:szCs w:val="24"/>
        </w:rPr>
        <w:t xml:space="preserve">m.in. </w:t>
      </w:r>
      <w:r w:rsidR="005E5EA0" w:rsidRPr="3E6865B3">
        <w:rPr>
          <w:rFonts w:ascii="Times New Roman" w:eastAsia="Times New Roman" w:hAnsi="Times New Roman" w:cs="Times New Roman"/>
          <w:sz w:val="24"/>
          <w:szCs w:val="24"/>
        </w:rPr>
        <w:t xml:space="preserve">kształtowanie otwartych postaw społecznych wobec nowych technologii cyfrowych takich jak sztuczna inteligencja, </w:t>
      </w:r>
      <w:r w:rsidR="01798252" w:rsidRPr="3E6865B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5EA0" w:rsidRPr="3E6865B3">
        <w:rPr>
          <w:rFonts w:ascii="Times New Roman" w:eastAsia="Times New Roman" w:hAnsi="Times New Roman" w:cs="Times New Roman"/>
          <w:sz w:val="24"/>
          <w:szCs w:val="24"/>
        </w:rPr>
        <w:t xml:space="preserve">nternet rzeczy czy </w:t>
      </w:r>
      <w:proofErr w:type="spellStart"/>
      <w:r w:rsidR="005E5EA0" w:rsidRPr="3E6865B3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="733189C3" w:rsidRPr="3E68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9AC59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lastRenderedPageBreak/>
        <w:t>Zapewnienie efektywnego wydatkowania środków służących współpracy z organizacjami pozarządowymi.</w:t>
      </w:r>
    </w:p>
    <w:p w14:paraId="19B5C5E0" w14:textId="0AEABA6A" w:rsidR="00EB6589" w:rsidRPr="00305C01" w:rsidRDefault="008A0EE3" w:rsidP="3E6865B3">
      <w:pPr>
        <w:pStyle w:val="Nagwek1"/>
      </w:pPr>
      <w:r w:rsidRPr="00305C01">
        <w:rPr>
          <w:rFonts w:eastAsia="Helvetica"/>
        </w:rPr>
        <w:t>Zasady współpracy</w:t>
      </w:r>
    </w:p>
    <w:p w14:paraId="6D74D94C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Współpraca Ministra z organizacjami pozarządowymi odbywa się na zasadach pomocniczości, suwerenności stron, partnerstwa, efektywności, uczciwej konkurencji i jawności.</w:t>
      </w:r>
    </w:p>
    <w:p w14:paraId="36C117EB" w14:textId="77777777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1) Zasada pomocniczości:</w:t>
      </w:r>
    </w:p>
    <w:p w14:paraId="7F76EBA4" w14:textId="77777777" w:rsid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i/>
          <w:iCs/>
          <w:sz w:val="24"/>
          <w:szCs w:val="24"/>
        </w:rPr>
        <w:t>w ujęciu pionowym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polega na założeniu, że administracja rządowa nie powinna wyręczać jednostek niższego szczebla w zadaniach, które mogą one samodzielnie wykonywać. Może dziać się to jedynie wtedy, gdy jednostki te nie są w stanie same wywiązywać się ze swoich obowiązków lub gdy organy wyższego rzędu są w stanie wykonać te działania efektywniej;</w:t>
      </w:r>
    </w:p>
    <w:p w14:paraId="28BF6E03" w14:textId="63CB0B21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i/>
          <w:iCs/>
          <w:sz w:val="24"/>
          <w:szCs w:val="24"/>
        </w:rPr>
        <w:t>w ujęciu poziomym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zasada ta stoi na straży obowiązku współpracy administracji publicznej rządowej z organizacjami pozarządowymi i aktywnymi obywatelami</w:t>
      </w:r>
      <w:r w:rsidR="0045009F">
        <w:rPr>
          <w:rFonts w:ascii="Times New Roman" w:eastAsia="Helvetica" w:hAnsi="Times New Roman" w:cs="Times New Roman"/>
          <w:sz w:val="24"/>
          <w:szCs w:val="24"/>
        </w:rPr>
        <w:t xml:space="preserve">, co oznacza,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że instytucje nie powinny zastępować osób i organizacji w sytuacjach, w których mogą one działać z własnej inicjatywy i własnymi siłami.</w:t>
      </w:r>
    </w:p>
    <w:p w14:paraId="52EC222F" w14:textId="30F9F949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2) Zasada suwerenności stron - polega na tym, że strony mają prawo do autonomii, odrębności w definiowaniu i poszukiwaniu sposobów rozwiązywania problemów</w:t>
      </w:r>
      <w:r w:rsidR="00583A6E" w:rsidRPr="009A49A8">
        <w:rPr>
          <w:rFonts w:ascii="Times New Roman" w:eastAsia="Helvetica" w:hAnsi="Times New Roman" w:cs="Times New Roman"/>
          <w:sz w:val="24"/>
          <w:szCs w:val="24"/>
        </w:rPr>
        <w:t>,</w:t>
      </w:r>
      <w:r w:rsidRPr="009A49A8">
        <w:rPr>
          <w:rFonts w:ascii="Times New Roman" w:eastAsia="Helvetica" w:hAnsi="Times New Roman" w:cs="Times New Roman"/>
          <w:sz w:val="24"/>
          <w:szCs w:val="24"/>
        </w:rPr>
        <w:t xml:space="preserve"> zadań. W relacji państwa z organizacjami pozarządowymi oznacza to, że obie strony powinny respektować swoją niezależność w działaniu.</w:t>
      </w:r>
    </w:p>
    <w:p w14:paraId="47E84EA6" w14:textId="77777777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3) Zasada partnerstwa - mówi, że organizacje pozarządowe oraz instytucje publiczne powinny ściśle współpracować realizując wspólne cele na rzecz społeczeństwa obywatelskiego.</w:t>
      </w:r>
    </w:p>
    <w:p w14:paraId="361E0D86" w14:textId="77777777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4) Zasada efektywności - zakłada, że należy dążyć do osiągniecia jak najlepszych efektów w realizacji zadań publicznych przy jak najmniejszych nakładach. Zgodnie z tą zasadą działania powinny być prowadzone sprawnie, szybko i skutecznie a środki publiczne powinny być wydatkowane w sposób racjonalny, przez co należy rozumieć świadome i celowe, oszczędne oraz planowe dysponowanie powierzonymi zasobami.</w:t>
      </w:r>
    </w:p>
    <w:p w14:paraId="39F991A4" w14:textId="77777777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5) Zasada uczciwej konkurencji - strzeże równego dostępu wszystkich stron - w tym wypadku organizacji pozarządowych - do zadań publicznych zlecanych do realizacji przez instytucje publiczne.</w:t>
      </w:r>
    </w:p>
    <w:p w14:paraId="365510C1" w14:textId="77777777" w:rsidR="00EB6589" w:rsidRPr="009A49A8" w:rsidRDefault="008A0EE3" w:rsidP="009A49A8">
      <w:pPr>
        <w:spacing w:before="130" w:after="130" w:line="276" w:lineRule="auto"/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6) Zasada jawności - zobowiązuje administrację publiczną i organizacje pozarządowe do dzielenia się informacjami dotyczącymi podejmowanych działań, które mają lub mogą mieć wpływ na ich współpracę. Ma to na celu tworzenie partnerskich relacji oraz budowanie obustronnego zaufania.</w:t>
      </w:r>
    </w:p>
    <w:p w14:paraId="78707D39" w14:textId="5DF63CBE" w:rsidR="00EB6589" w:rsidRPr="00305C01" w:rsidRDefault="008A0EE3" w:rsidP="3E6865B3">
      <w:pPr>
        <w:pStyle w:val="Nagwek1"/>
      </w:pPr>
      <w:r w:rsidRPr="00305C01">
        <w:rPr>
          <w:rFonts w:eastAsia="Helvetica"/>
        </w:rPr>
        <w:t>Zakres przedmiotowy</w:t>
      </w:r>
    </w:p>
    <w:p w14:paraId="0E80EDFE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Program określa współpracę z trzecim sektorem w następujących obszarach:</w:t>
      </w:r>
    </w:p>
    <w:p w14:paraId="0336ED8A" w14:textId="4C144E6F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informatyzacji administracji publicznej oraz podmiotów wykonujących zadania publiczne;</w:t>
      </w:r>
    </w:p>
    <w:p w14:paraId="6D436673" w14:textId="439E0590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lastRenderedPageBreak/>
        <w:t>systemów i sieci teleinformatycznych administracji publicznej;</w:t>
      </w:r>
    </w:p>
    <w:p w14:paraId="4DBE4722" w14:textId="103DFABD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wspierania inwestycji w dziedzinie informatyzacji;</w:t>
      </w:r>
    </w:p>
    <w:p w14:paraId="17BBCFC7" w14:textId="17CDCBC0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realizacji zobowiązań międzynarodowych Rzeczypospolitej Polskiej w dziedzinie informatyzacji i telekomunikacji;</w:t>
      </w:r>
    </w:p>
    <w:p w14:paraId="1B1EB267" w14:textId="3A0DA703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udziału w kształtowaniu polityki Unii Europejskiej w zakresie informatyzacji;</w:t>
      </w:r>
    </w:p>
    <w:p w14:paraId="011FDB23" w14:textId="5AEAE78C" w:rsidR="00AF3D11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>rozwoju społeczeństwa informacyjnego</w:t>
      </w:r>
      <w:r w:rsidR="00AF3D11" w:rsidRPr="689DE647">
        <w:rPr>
          <w:rFonts w:ascii="Times New Roman" w:eastAsia="Helvetica" w:hAnsi="Times New Roman" w:cs="Times New Roman"/>
          <w:sz w:val="24"/>
          <w:szCs w:val="24"/>
        </w:rPr>
        <w:t>, w tym również w zakresie rozwijania kompetencji cyfrowych obywateli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 xml:space="preserve"> oraz popularyzacji wiedzy na temat nowych technologii cyfrowych takich jak </w:t>
      </w:r>
      <w:r w:rsidR="009F5C30" w:rsidRPr="689DE647">
        <w:rPr>
          <w:rFonts w:ascii="Times New Roman" w:eastAsia="Helvetica" w:hAnsi="Times New Roman" w:cs="Times New Roman"/>
          <w:sz w:val="24"/>
          <w:szCs w:val="24"/>
        </w:rPr>
        <w:t xml:space="preserve">np. 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 xml:space="preserve">sztuczna inteligencja, </w:t>
      </w:r>
      <w:r w:rsidR="7B578083" w:rsidRPr="3E6865B3">
        <w:rPr>
          <w:rFonts w:ascii="Times New Roman" w:eastAsia="Helvetica" w:hAnsi="Times New Roman" w:cs="Times New Roman"/>
          <w:sz w:val="24"/>
          <w:szCs w:val="24"/>
        </w:rPr>
        <w:t>I</w:t>
      </w:r>
      <w:r w:rsidR="005E5EA0" w:rsidRPr="3E6865B3">
        <w:rPr>
          <w:rFonts w:ascii="Times New Roman" w:eastAsia="Helvetica" w:hAnsi="Times New Roman" w:cs="Times New Roman"/>
          <w:sz w:val="24"/>
          <w:szCs w:val="24"/>
        </w:rPr>
        <w:t>nternet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 xml:space="preserve"> rzeczy </w:t>
      </w:r>
      <w:r w:rsidR="315C9B78" w:rsidRPr="689DE647">
        <w:rPr>
          <w:rFonts w:ascii="Times New Roman" w:eastAsia="Helvetica" w:hAnsi="Times New Roman" w:cs="Times New Roman"/>
          <w:sz w:val="24"/>
          <w:szCs w:val="24"/>
        </w:rPr>
        <w:t xml:space="preserve">czy </w:t>
      </w:r>
      <w:proofErr w:type="spellStart"/>
      <w:r w:rsidR="315C9B78" w:rsidRPr="689DE647">
        <w:rPr>
          <w:rFonts w:ascii="Times New Roman" w:eastAsia="Helvetica" w:hAnsi="Times New Roman" w:cs="Times New Roman"/>
          <w:sz w:val="24"/>
          <w:szCs w:val="24"/>
        </w:rPr>
        <w:t>blockchain</w:t>
      </w:r>
      <w:proofErr w:type="spellEnd"/>
      <w:r w:rsidR="315C9B78" w:rsidRPr="689DE64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E5EA0" w:rsidRPr="689DE647">
        <w:rPr>
          <w:rFonts w:ascii="Times New Roman" w:eastAsia="Helvetica" w:hAnsi="Times New Roman" w:cs="Times New Roman"/>
          <w:sz w:val="24"/>
          <w:szCs w:val="24"/>
        </w:rPr>
        <w:t>i działań służących upowszechnieniu dostępu do tych technologii</w:t>
      </w:r>
      <w:r w:rsidR="00AF3D11" w:rsidRPr="689DE647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03AEDA3C" w14:textId="36052547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przeciwdziałania wykluczeniu cyfrowemu;</w:t>
      </w:r>
    </w:p>
    <w:p w14:paraId="65F6E7D7" w14:textId="3EF2E168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rozwoju usług świadczonych drogą elektroniczną;</w:t>
      </w:r>
    </w:p>
    <w:p w14:paraId="4C291E36" w14:textId="46DFB729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kształtowania polityki państwa w zakresie ochrony danych osobowych;</w:t>
      </w:r>
    </w:p>
    <w:p w14:paraId="6078E82A" w14:textId="1BB8B0A5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telekomunikacji;</w:t>
      </w:r>
    </w:p>
    <w:p w14:paraId="196F7857" w14:textId="1B856C72" w:rsidR="00EB6589" w:rsidRPr="009A49A8" w:rsidRDefault="009A49A8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b</w:t>
      </w:r>
      <w:r w:rsidR="008A0EE3" w:rsidRPr="009A49A8">
        <w:rPr>
          <w:rFonts w:ascii="Times New Roman" w:eastAsia="Helvetica" w:hAnsi="Times New Roman" w:cs="Times New Roman"/>
          <w:sz w:val="24"/>
          <w:szCs w:val="24"/>
        </w:rPr>
        <w:t>ezpieczeństwa cyberprzestrzeni w wymiarze cywilnym;</w:t>
      </w:r>
    </w:p>
    <w:p w14:paraId="6468565A" w14:textId="1298A035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rejestru PESEL, Rejestru Dowodów Osobistych, Rejestru Stanu Cywilnego oraz Centralnej Ewidencji Wydanych i Unieważnionych Dokumentów Paszportowych;</w:t>
      </w:r>
    </w:p>
    <w:p w14:paraId="11C5B61B" w14:textId="2C90ED9A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ewidencji pojazdów, ewidencji kierowców oraz ewidencji posiadaczy kart parkingowych;</w:t>
      </w:r>
    </w:p>
    <w:p w14:paraId="68E7E380" w14:textId="1C8ADA4C" w:rsidR="00EB6589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nadzoru nad świadczeniem usług zaufania w rozumieniu przepisów o usługach zaufania;</w:t>
      </w:r>
    </w:p>
    <w:p w14:paraId="59EE6D95" w14:textId="1A200C6C" w:rsidR="00AF3D11" w:rsidRPr="009A49A8" w:rsidRDefault="008A0EE3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identyfikacji elektronicznej</w:t>
      </w:r>
      <w:r w:rsidR="00AF3D11" w:rsidRPr="009A49A8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167FA49E" w14:textId="6128BBE7" w:rsidR="0035329B" w:rsidRPr="009A49A8" w:rsidRDefault="0035329B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 xml:space="preserve">otwartości </w:t>
      </w:r>
      <w:r w:rsidR="00654B76" w:rsidRPr="009A49A8">
        <w:rPr>
          <w:rFonts w:ascii="Times New Roman" w:eastAsia="Helvetica" w:hAnsi="Times New Roman" w:cs="Times New Roman"/>
          <w:sz w:val="24"/>
          <w:szCs w:val="24"/>
        </w:rPr>
        <w:t xml:space="preserve">i wymiany </w:t>
      </w:r>
      <w:r w:rsidRPr="009A49A8">
        <w:rPr>
          <w:rFonts w:ascii="Times New Roman" w:eastAsia="Helvetica" w:hAnsi="Times New Roman" w:cs="Times New Roman"/>
          <w:sz w:val="24"/>
          <w:szCs w:val="24"/>
        </w:rPr>
        <w:t>danych</w:t>
      </w:r>
      <w:r w:rsidR="00AF3D11" w:rsidRPr="009A49A8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4462801F" w14:textId="6BF5BA47" w:rsidR="0035329B" w:rsidRPr="009A49A8" w:rsidRDefault="0035329B" w:rsidP="009A49A8">
      <w:pPr>
        <w:pStyle w:val="Akapitzlist"/>
        <w:numPr>
          <w:ilvl w:val="0"/>
          <w:numId w:val="1"/>
        </w:numPr>
        <w:spacing w:before="130" w:after="130" w:line="276" w:lineRule="auto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9A49A8">
        <w:rPr>
          <w:rFonts w:ascii="Times New Roman" w:eastAsia="Helvetica" w:hAnsi="Times New Roman" w:cs="Times New Roman"/>
          <w:sz w:val="24"/>
          <w:szCs w:val="24"/>
        </w:rPr>
        <w:t>kształtowania polityki państwa w zakresie ochrony cyfrowego dziedzictwa narodowego</w:t>
      </w:r>
      <w:r w:rsidR="00AF3D11" w:rsidRPr="009A49A8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298B851E" w14:textId="000B56D4" w:rsidR="00EB6589" w:rsidRPr="00305C01" w:rsidRDefault="008A0EE3" w:rsidP="3E6865B3">
      <w:pPr>
        <w:pStyle w:val="Nagwek1"/>
      </w:pPr>
      <w:r w:rsidRPr="00305C01">
        <w:rPr>
          <w:rFonts w:eastAsia="Helvetica"/>
        </w:rPr>
        <w:t>Formy współpracy</w:t>
      </w:r>
    </w:p>
    <w:p w14:paraId="687E96DA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Wyróżnia się dwie podstawowe kategorie form współpracy Ministra z organizacjami pozarządowymi:</w:t>
      </w:r>
    </w:p>
    <w:p w14:paraId="5B6E29EC" w14:textId="77777777" w:rsidR="00EB6589" w:rsidRPr="00305C01" w:rsidRDefault="008A0EE3" w:rsidP="3E6865B3">
      <w:pPr>
        <w:pStyle w:val="Nagwek2"/>
      </w:pPr>
      <w:r w:rsidRPr="00305C01">
        <w:rPr>
          <w:rFonts w:eastAsia="Helvetica"/>
        </w:rPr>
        <w:t>7.1. Pozafinansowa</w:t>
      </w:r>
    </w:p>
    <w:p w14:paraId="2C4B1ED3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Obejmuje m.in. takie formy współpracy jak:</w:t>
      </w:r>
    </w:p>
    <w:p w14:paraId="58EA4131" w14:textId="43B10C36" w:rsidR="00EB6589" w:rsidRPr="00305C01" w:rsidRDefault="008A0EE3" w:rsidP="3E6865B3">
      <w:pPr>
        <w:pStyle w:val="Nagwek3"/>
      </w:pPr>
      <w:r w:rsidRPr="00305C01">
        <w:rPr>
          <w:rFonts w:eastAsia="Helvetica"/>
        </w:rPr>
        <w:t xml:space="preserve"> Konsultacje</w:t>
      </w:r>
    </w:p>
    <w:p w14:paraId="2DD3EC03" w14:textId="77777777" w:rsidR="00EB6589" w:rsidRPr="00305C01" w:rsidRDefault="008A0EE3" w:rsidP="0045009F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Celem konsultacji jest wypracowanie przejrzystych regulacji prawnych oraz podjęcie optymalnych decyzji.</w:t>
      </w:r>
    </w:p>
    <w:p w14:paraId="3612088E" w14:textId="4A8F67A9" w:rsidR="00EB6589" w:rsidRPr="00305C01" w:rsidRDefault="008A0EE3" w:rsidP="3E6865B3">
      <w:pPr>
        <w:pStyle w:val="Nagwek3"/>
      </w:pPr>
      <w:r w:rsidRPr="00305C01">
        <w:rPr>
          <w:rFonts w:eastAsia="Helvetica"/>
        </w:rPr>
        <w:t>Zawieranie partnerstw</w:t>
      </w:r>
    </w:p>
    <w:p w14:paraId="6CDF04C7" w14:textId="77777777" w:rsidR="00EB6589" w:rsidRPr="00305C01" w:rsidRDefault="008A0EE3" w:rsidP="0045009F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Partnerstwa dotyczące współpracy Ministra z organizacjami pozarządowymi.</w:t>
      </w:r>
    </w:p>
    <w:p w14:paraId="42C7344A" w14:textId="14CCA30F" w:rsidR="00EB6589" w:rsidRPr="00305C01" w:rsidRDefault="008A0EE3" w:rsidP="3E6865B3">
      <w:pPr>
        <w:pStyle w:val="Nagwek3"/>
      </w:pPr>
      <w:r w:rsidRPr="00305C01">
        <w:rPr>
          <w:rFonts w:eastAsia="Helvetica"/>
        </w:rPr>
        <w:t>Tworzenie wspólnych zespołów o charakterze doradczym i inicjatywnym</w:t>
      </w:r>
    </w:p>
    <w:p w14:paraId="6F2DC73B" w14:textId="77777777" w:rsidR="00EB6589" w:rsidRPr="00305C01" w:rsidRDefault="008A0EE3" w:rsidP="00583A6E">
      <w:pPr>
        <w:spacing w:before="130" w:after="130" w:line="276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i/>
          <w:sz w:val="24"/>
          <w:szCs w:val="24"/>
          <w:u w:val="single"/>
        </w:rPr>
        <w:t>Grupy robocze</w:t>
      </w:r>
    </w:p>
    <w:p w14:paraId="4A412628" w14:textId="77777777" w:rsidR="00EB6589" w:rsidRPr="00305C01" w:rsidRDefault="008A0EE3" w:rsidP="0045009F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Minister zaprasza przedstawicieli trzeciego sektora do udziału w grupach roboczych, dedykowanych konkretnym zagadnieniom.</w:t>
      </w:r>
    </w:p>
    <w:p w14:paraId="4061B2F5" w14:textId="77777777" w:rsidR="00EB6589" w:rsidRPr="00305C01" w:rsidRDefault="008A0EE3" w:rsidP="00583A6E">
      <w:pPr>
        <w:spacing w:before="130" w:after="130" w:line="276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i/>
          <w:sz w:val="24"/>
          <w:szCs w:val="24"/>
          <w:u w:val="single"/>
        </w:rPr>
        <w:lastRenderedPageBreak/>
        <w:t>Rada ds. Cyfryzacji</w:t>
      </w:r>
    </w:p>
    <w:p w14:paraId="7F1B4674" w14:textId="7551F393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Celem działania Rady jest wspieranie </w:t>
      </w:r>
      <w:r w:rsidR="00302741" w:rsidRPr="00305C01">
        <w:rPr>
          <w:rFonts w:ascii="Times New Roman" w:eastAsia="Helvetica" w:hAnsi="Times New Roman" w:cs="Times New Roman"/>
          <w:sz w:val="24"/>
          <w:szCs w:val="24"/>
        </w:rPr>
        <w:t xml:space="preserve">Ministra Cyfryzacji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swoją wiedzą i doświadczeniem. Rada opiniuje dokumenty strategiczne oraz inne dokumenty związane z działalnością informatyzacji. W skład Rady wchodzą reprezentanci administracji publicznej, organizacji pozarządowych, sektora gospodarki cyfrowej oraz środowiska naukowe i eksperckie.</w:t>
      </w:r>
    </w:p>
    <w:p w14:paraId="546ACE18" w14:textId="6CC10117" w:rsidR="00EB6589" w:rsidRPr="00305C01" w:rsidRDefault="008A0EE3" w:rsidP="3E6865B3">
      <w:pPr>
        <w:pStyle w:val="Nagwek3"/>
      </w:pPr>
      <w:r w:rsidRPr="00305C01">
        <w:rPr>
          <w:rFonts w:eastAsia="Helvetica"/>
        </w:rPr>
        <w:t>Organizacja wspólnych przedsięwzięć</w:t>
      </w:r>
    </w:p>
    <w:p w14:paraId="20715599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Minister uczestniczy w realizacji wspólnych przedsięwzięć mających na celu zarówno wymianę doświadczeń jak również zacieśnienie współpracy międzysektorowej.</w:t>
      </w:r>
    </w:p>
    <w:p w14:paraId="36ED911F" w14:textId="735FAE65" w:rsidR="00EB6589" w:rsidRPr="00305C01" w:rsidRDefault="008A0EE3" w:rsidP="3E6865B3">
      <w:pPr>
        <w:pStyle w:val="Nagwek3"/>
      </w:pPr>
      <w:r w:rsidRPr="00305C01">
        <w:rPr>
          <w:rFonts w:eastAsia="Helvetica"/>
        </w:rPr>
        <w:t>Udział przedstawicieli Ministra w wydarzeniach organizowanych przez organizacje pozarządowe</w:t>
      </w:r>
    </w:p>
    <w:p w14:paraId="52E51120" w14:textId="6BDF1A38" w:rsidR="00EB6589" w:rsidRPr="005C0652" w:rsidRDefault="008A0EE3" w:rsidP="003326D7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Udział </w:t>
      </w:r>
      <w:r w:rsidR="005C0652" w:rsidRPr="689DE647">
        <w:rPr>
          <w:rFonts w:ascii="Times New Roman" w:eastAsia="Helvetica" w:hAnsi="Times New Roman" w:cs="Times New Roman"/>
          <w:sz w:val="24"/>
          <w:szCs w:val="24"/>
        </w:rPr>
        <w:t>przedstawicieli Ministra w wydarzeniach organizowanych przez organizacje pozarządowe może mieć formę ekspercką</w:t>
      </w:r>
      <w:r w:rsidRPr="689DE647" w:rsidDel="005C065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C0652" w:rsidRPr="689DE647">
        <w:rPr>
          <w:rFonts w:ascii="Times New Roman" w:eastAsia="Helvetica" w:hAnsi="Times New Roman" w:cs="Times New Roman"/>
          <w:sz w:val="24"/>
          <w:szCs w:val="24"/>
        </w:rPr>
        <w:t xml:space="preserve">(prelekcje, wykłady, dyskusje, porady) 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lub </w:t>
      </w:r>
      <w:proofErr w:type="spellStart"/>
      <w:r w:rsidR="005C0652" w:rsidRPr="689DE647">
        <w:rPr>
          <w:rFonts w:ascii="Times New Roman" w:eastAsia="Helvetica" w:hAnsi="Times New Roman" w:cs="Times New Roman"/>
          <w:sz w:val="24"/>
          <w:szCs w:val="24"/>
        </w:rPr>
        <w:t>współorganizacyjną</w:t>
      </w:r>
      <w:proofErr w:type="spellEnd"/>
      <w:r w:rsidR="005C0652" w:rsidRPr="689DE647">
        <w:rPr>
          <w:rFonts w:ascii="Times New Roman" w:eastAsia="Helvetica" w:hAnsi="Times New Roman" w:cs="Times New Roman"/>
          <w:sz w:val="24"/>
          <w:szCs w:val="24"/>
        </w:rPr>
        <w:t xml:space="preserve">, zwłaszcza w przypadku wydarzeń objętych </w:t>
      </w:r>
      <w:r w:rsidRPr="689DE647">
        <w:rPr>
          <w:rFonts w:ascii="Times New Roman" w:eastAsia="Helvetica" w:hAnsi="Times New Roman" w:cs="Times New Roman"/>
          <w:sz w:val="24"/>
          <w:szCs w:val="24"/>
        </w:rPr>
        <w:t>wydarzenia</w:t>
      </w:r>
      <w:r w:rsidR="005C0652" w:rsidRPr="689DE64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689DE647">
        <w:rPr>
          <w:rFonts w:ascii="Times New Roman" w:eastAsia="Helvetica" w:hAnsi="Times New Roman" w:cs="Times New Roman"/>
          <w:sz w:val="24"/>
          <w:szCs w:val="24"/>
        </w:rPr>
        <w:t>patronatem Ministra. Udział przedstawicieli Ministra w charakterze ekspertów odbywa się za wiedzą i zgodą przełożonego.</w:t>
      </w:r>
    </w:p>
    <w:p w14:paraId="38CEE1AD" w14:textId="64BBE66C" w:rsidR="00EB6589" w:rsidRPr="00305C01" w:rsidRDefault="008A0EE3" w:rsidP="3E6865B3">
      <w:pPr>
        <w:pStyle w:val="Nagwek3"/>
      </w:pPr>
      <w:r w:rsidRPr="00305C01">
        <w:rPr>
          <w:rFonts w:eastAsia="Helvetica"/>
        </w:rPr>
        <w:t xml:space="preserve"> Promowanie działalności organizacji przez Ministra</w:t>
      </w:r>
    </w:p>
    <w:p w14:paraId="73B476A5" w14:textId="529344E6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Upowszechnianie przez Ministra informacji o realizowanych przez organizacje wydarzeniach wyróżniających się poziomem merytorycznym i organizacyjnym.</w:t>
      </w:r>
    </w:p>
    <w:p w14:paraId="6D389F1C" w14:textId="3844DED5" w:rsidR="00EB6589" w:rsidRPr="00305C01" w:rsidRDefault="008A0EE3" w:rsidP="3E6865B3">
      <w:pPr>
        <w:pStyle w:val="Nagwek3"/>
      </w:pPr>
      <w:r w:rsidRPr="00305C01">
        <w:rPr>
          <w:rFonts w:eastAsia="Helvetica"/>
        </w:rPr>
        <w:t>Patronaty</w:t>
      </w:r>
    </w:p>
    <w:p w14:paraId="303CE916" w14:textId="4F84A33D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Członkowie kierownictwa</w:t>
      </w:r>
      <w:r w:rsidR="005C065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50862" w:rsidRPr="00305C01">
        <w:rPr>
          <w:rFonts w:ascii="Times New Roman" w:eastAsia="Helvetica" w:hAnsi="Times New Roman" w:cs="Times New Roman"/>
          <w:sz w:val="24"/>
          <w:szCs w:val="24"/>
        </w:rPr>
        <w:t>Ministerstwa Cyfryzacji</w:t>
      </w:r>
      <w:r w:rsidR="001B5B8F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C0652">
        <w:rPr>
          <w:rFonts w:ascii="Times New Roman" w:eastAsia="Helvetica" w:hAnsi="Times New Roman" w:cs="Times New Roman"/>
          <w:sz w:val="24"/>
          <w:szCs w:val="24"/>
        </w:rPr>
        <w:t>mogą przyznawać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patronaty honorowe.</w:t>
      </w:r>
    </w:p>
    <w:p w14:paraId="2BC6CAD5" w14:textId="3040A26B" w:rsidR="00EB6589" w:rsidRPr="00305C01" w:rsidRDefault="008A0EE3" w:rsidP="3E6865B3">
      <w:pPr>
        <w:pStyle w:val="Nagwek3"/>
      </w:pPr>
      <w:r w:rsidRPr="00305C01">
        <w:rPr>
          <w:rFonts w:eastAsia="Helvetica"/>
        </w:rPr>
        <w:t>Informowanie o planowanych i podejmowanych kierunkach działań oraz wymiana doświadczeń.</w:t>
      </w:r>
    </w:p>
    <w:p w14:paraId="04601F0E" w14:textId="27804F64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Wymiana informacji odbywa się przez najbardziej powszechne i dostępne kanały komunikacji. Ze strony Ministra są to strony: Biuletyn Informacji Publicznej, profile mediów społecznościowych Ministra oraz strony i profile przedsięwzięć lub akcji organizowanych przez Ministra. Wymiana informacji z organizacjami odbywa się również przy wykorzystywaniu powszechnych form komunikacji (w ramach dostępnych zasobów).</w:t>
      </w:r>
    </w:p>
    <w:p w14:paraId="76940F1C" w14:textId="77777777" w:rsidR="00EB6589" w:rsidRPr="00305C01" w:rsidRDefault="008A0EE3" w:rsidP="3E6865B3">
      <w:pPr>
        <w:pStyle w:val="Nagwek2"/>
      </w:pPr>
      <w:r w:rsidRPr="00305C01">
        <w:rPr>
          <w:rFonts w:eastAsia="Helvetica"/>
        </w:rPr>
        <w:t>7.2. Finansowa</w:t>
      </w:r>
    </w:p>
    <w:p w14:paraId="291499C3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Polega m.in. na zlecaniu organizacjom pozarządowym realizacji zadań publicznych w ramach dotacji. Obejmuje takie formy współpracy jak:</w:t>
      </w:r>
    </w:p>
    <w:p w14:paraId="165B9998" w14:textId="0B8A272A" w:rsidR="00EB6589" w:rsidRPr="00305C01" w:rsidRDefault="008A0EE3" w:rsidP="3E6865B3">
      <w:pPr>
        <w:pStyle w:val="Nagwek4"/>
      </w:pPr>
      <w:r w:rsidRPr="00305C01">
        <w:rPr>
          <w:rFonts w:eastAsia="Helvetica"/>
        </w:rPr>
        <w:t xml:space="preserve"> Powierzanie lub wspieranie zadań publicznych</w:t>
      </w:r>
    </w:p>
    <w:p w14:paraId="53202832" w14:textId="3318B15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Udzielanie dotacji celowych odbywa się zgodnie z </w:t>
      </w:r>
      <w:r w:rsidR="00BB63BD" w:rsidRPr="00305C01">
        <w:rPr>
          <w:rFonts w:ascii="Times New Roman" w:eastAsia="Helvetica" w:hAnsi="Times New Roman" w:cs="Times New Roman"/>
          <w:sz w:val="24"/>
          <w:szCs w:val="24"/>
        </w:rPr>
        <w:t>u</w:t>
      </w:r>
      <w:r w:rsidRPr="00305C01">
        <w:rPr>
          <w:rFonts w:ascii="Times New Roman" w:eastAsia="Helvetica" w:hAnsi="Times New Roman" w:cs="Times New Roman"/>
          <w:sz w:val="24"/>
          <w:szCs w:val="24"/>
        </w:rPr>
        <w:t>stawą.</w:t>
      </w:r>
    </w:p>
    <w:p w14:paraId="13B2E70D" w14:textId="503596E1" w:rsidR="00EB6589" w:rsidRDefault="008A0EE3" w:rsidP="3E6865B3">
      <w:pPr>
        <w:pStyle w:val="Nagwek4"/>
        <w:rPr>
          <w:rFonts w:eastAsia="Helvetica"/>
        </w:rPr>
      </w:pPr>
      <w:r w:rsidRPr="00305C01">
        <w:rPr>
          <w:rFonts w:eastAsia="Helvetica"/>
        </w:rPr>
        <w:t>Realizację programów finansowanych ze środków UE</w:t>
      </w:r>
    </w:p>
    <w:p w14:paraId="0BB8DAE5" w14:textId="31323C5E" w:rsidR="00392CD8" w:rsidRPr="00305C01" w:rsidRDefault="00392CD8" w:rsidP="00392CD8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Współpraca w zakresie realizacji projektów dofinansowanych ze środków UE.</w:t>
      </w:r>
    </w:p>
    <w:p w14:paraId="51568BE1" w14:textId="32B381BC" w:rsidR="00EB6589" w:rsidRPr="00305C01" w:rsidRDefault="008A0EE3" w:rsidP="3E6865B3">
      <w:pPr>
        <w:pStyle w:val="Nagwek1"/>
      </w:pPr>
      <w:r w:rsidRPr="00305C01">
        <w:rPr>
          <w:rFonts w:eastAsia="Helvetica"/>
        </w:rPr>
        <w:lastRenderedPageBreak/>
        <w:t>Priorytetowe zadania publiczne</w:t>
      </w:r>
    </w:p>
    <w:p w14:paraId="00410C63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Jako priorytetowe wskazuje się zadania publiczne mające na celu:</w:t>
      </w:r>
    </w:p>
    <w:p w14:paraId="5A84D6AE" w14:textId="405503EA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wyposażenie młodzieży w kompetencje niezbędne do pracy w sektorze ICT</w:t>
      </w:r>
      <w:r w:rsidR="000F51E7" w:rsidRPr="00305C01">
        <w:rPr>
          <w:rFonts w:ascii="Times New Roman" w:eastAsia="Helvetica" w:hAnsi="Times New Roman" w:cs="Times New Roman"/>
          <w:sz w:val="24"/>
          <w:szCs w:val="24"/>
        </w:rPr>
        <w:t>,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zaawansowane kompetencje cyfrowe oraz kompetencje interpersonalne;</w:t>
      </w:r>
    </w:p>
    <w:p w14:paraId="352CAB34" w14:textId="3A5361D4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wzrost poziomu kompetencji cyfrowych obywateli;</w:t>
      </w:r>
    </w:p>
    <w:p w14:paraId="0DB0B187" w14:textId="5B73BC10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- zmniejszenie deficytu </w:t>
      </w:r>
      <w:r w:rsidR="00EF295A" w:rsidRPr="00305C01">
        <w:rPr>
          <w:rFonts w:ascii="Times New Roman" w:eastAsia="Helvetica" w:hAnsi="Times New Roman" w:cs="Times New Roman"/>
          <w:sz w:val="24"/>
          <w:szCs w:val="24"/>
        </w:rPr>
        <w:t>specjalistów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ICT;</w:t>
      </w:r>
    </w:p>
    <w:p w14:paraId="4E972E08" w14:textId="77777777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działania na rzecz podnoszenia bezpieczeństwa dzieci i młodzieży w Internecie;</w:t>
      </w:r>
    </w:p>
    <w:p w14:paraId="18CDC645" w14:textId="35C694D5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- działania wpierające obywateli, należących do grup zagrożonych wykluczeniem </w:t>
      </w:r>
      <w:r w:rsidR="00EF295A" w:rsidRPr="00305C01">
        <w:rPr>
          <w:rFonts w:ascii="Times New Roman" w:eastAsia="Helvetica" w:hAnsi="Times New Roman" w:cs="Times New Roman"/>
          <w:sz w:val="24"/>
          <w:szCs w:val="24"/>
        </w:rPr>
        <w:t>cyfrowym</w:t>
      </w:r>
      <w:r w:rsidRPr="00305C01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6003BAAC" w14:textId="57AE163D" w:rsidR="005B357E" w:rsidRPr="00305C01" w:rsidRDefault="005B357E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współpraca przy realizacji polityki otwartości danych;</w:t>
      </w:r>
    </w:p>
    <w:p w14:paraId="63A2C80A" w14:textId="4B6F546D" w:rsidR="00F752F5" w:rsidRPr="00305C01" w:rsidRDefault="00EF295A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dążenie do równowagi płci w zawodach ICT oraz zwiększenie udziału kobiet kształcących się w naukach ścisłych i na kierunkach STEM -</w:t>
      </w:r>
      <w:r w:rsidR="00646D35" w:rsidRPr="00305C01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305C01">
        <w:rPr>
          <w:rFonts w:ascii="Times New Roman" w:eastAsia="Helvetica" w:hAnsi="Times New Roman" w:cs="Times New Roman"/>
          <w:i/>
          <w:iCs/>
          <w:sz w:val="24"/>
          <w:szCs w:val="24"/>
        </w:rPr>
        <w:t xml:space="preserve">Science, Technology, Engineering, </w:t>
      </w:r>
      <w:proofErr w:type="spellStart"/>
      <w:r w:rsidRPr="00305C01">
        <w:rPr>
          <w:rFonts w:ascii="Times New Roman" w:eastAsia="Helvetica" w:hAnsi="Times New Roman" w:cs="Times New Roman"/>
          <w:i/>
          <w:iCs/>
          <w:sz w:val="24"/>
          <w:szCs w:val="24"/>
        </w:rPr>
        <w:t>Mathematics</w:t>
      </w:r>
      <w:proofErr w:type="spellEnd"/>
      <w:r w:rsidRPr="00305C01">
        <w:rPr>
          <w:rFonts w:ascii="Times New Roman" w:eastAsia="Helvetica" w:hAnsi="Times New Roman" w:cs="Times New Roman"/>
          <w:sz w:val="24"/>
          <w:szCs w:val="24"/>
        </w:rPr>
        <w:t> (nauka, technologia, inżynieria i matematyka)</w:t>
      </w:r>
      <w:r w:rsidR="00F752F5" w:rsidRPr="00305C01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73C52B2A" w14:textId="46D58AD2" w:rsidR="00EF295A" w:rsidRPr="00305C01" w:rsidRDefault="00F752F5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rozwijanie i upowszechnianie zasad higieny cyfrowej dla dobrostanu społecz</w:t>
      </w:r>
      <w:r w:rsidR="00B36787">
        <w:rPr>
          <w:rFonts w:ascii="Times New Roman" w:eastAsia="Helvetica" w:hAnsi="Times New Roman" w:cs="Times New Roman"/>
          <w:sz w:val="24"/>
          <w:szCs w:val="24"/>
        </w:rPr>
        <w:t>nego</w:t>
      </w:r>
      <w:r w:rsidRPr="00305C01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293C04FB" w14:textId="13DF61FC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pogłębianie współpracy oraz wymiana wiedzy i doświadczeń pomiędzy administracją</w:t>
      </w:r>
      <w:r w:rsidR="00392CD8">
        <w:rPr>
          <w:rFonts w:ascii="Times New Roman" w:eastAsia="Helvetica" w:hAnsi="Times New Roman" w:cs="Times New Roman"/>
          <w:sz w:val="24"/>
          <w:szCs w:val="24"/>
        </w:rPr>
        <w:t xml:space="preserve"> publiczną</w:t>
      </w:r>
      <w:r w:rsidRPr="00305C01">
        <w:rPr>
          <w:rFonts w:ascii="Times New Roman" w:eastAsia="Helvetica" w:hAnsi="Times New Roman" w:cs="Times New Roman"/>
          <w:sz w:val="24"/>
          <w:szCs w:val="24"/>
        </w:rPr>
        <w:t>, organizacjami pozarządowymi oraz przedsiębiorcami;</w:t>
      </w:r>
    </w:p>
    <w:p w14:paraId="7E97E8B2" w14:textId="0CF0F7D9" w:rsidR="00EB6589" w:rsidRDefault="008A0EE3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- wspieranie organizacji pozarządowych w transformacji cyfrowej</w:t>
      </w:r>
      <w:r w:rsidR="004270B2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24C6FADD" w14:textId="0D696BBF" w:rsidR="00EB6589" w:rsidRPr="00305C01" w:rsidRDefault="008A0EE3" w:rsidP="3E6865B3">
      <w:pPr>
        <w:pStyle w:val="Nagwek1"/>
      </w:pPr>
      <w:r w:rsidRPr="00305C01">
        <w:rPr>
          <w:rFonts w:eastAsia="Helvetica"/>
        </w:rPr>
        <w:t>Okres realizacji Programu</w:t>
      </w:r>
    </w:p>
    <w:p w14:paraId="0092B00E" w14:textId="477DF5D9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Program będzie realizowany w latach 202</w:t>
      </w:r>
      <w:r w:rsidR="00550862" w:rsidRPr="00305C01">
        <w:rPr>
          <w:rFonts w:ascii="Times New Roman" w:eastAsia="Helvetica" w:hAnsi="Times New Roman" w:cs="Times New Roman"/>
          <w:sz w:val="24"/>
          <w:szCs w:val="24"/>
        </w:rPr>
        <w:t>5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- 202</w:t>
      </w:r>
      <w:r w:rsidR="001B5B8F" w:rsidRPr="00305C01">
        <w:rPr>
          <w:rFonts w:ascii="Times New Roman" w:eastAsia="Helvetica" w:hAnsi="Times New Roman" w:cs="Times New Roman"/>
          <w:sz w:val="24"/>
          <w:szCs w:val="24"/>
        </w:rPr>
        <w:t>7</w:t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1678AC4E" w14:textId="62FAA371" w:rsidR="00EB6589" w:rsidRPr="00305C01" w:rsidRDefault="008A0EE3" w:rsidP="3E6865B3">
      <w:pPr>
        <w:pStyle w:val="Nagwek1"/>
      </w:pPr>
      <w:r w:rsidRPr="00305C01">
        <w:rPr>
          <w:rFonts w:eastAsia="Helvetica"/>
        </w:rPr>
        <w:t>Wysokość środków planowanych na realizację Programu</w:t>
      </w:r>
    </w:p>
    <w:p w14:paraId="2E76EE0D" w14:textId="003322DC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Minister przewiduje przeznaczyć na realizację Programu w latach 202</w:t>
      </w:r>
      <w:r w:rsidR="00550862" w:rsidRPr="00305C01">
        <w:rPr>
          <w:rFonts w:ascii="Times New Roman" w:eastAsia="Helvetica" w:hAnsi="Times New Roman" w:cs="Times New Roman"/>
          <w:sz w:val="24"/>
          <w:szCs w:val="24"/>
        </w:rPr>
        <w:t>5</w:t>
      </w:r>
      <w:r w:rsidRPr="00305C01">
        <w:rPr>
          <w:rFonts w:ascii="Times New Roman" w:eastAsia="Helvetica" w:hAnsi="Times New Roman" w:cs="Times New Roman"/>
          <w:sz w:val="24"/>
          <w:szCs w:val="24"/>
        </w:rPr>
        <w:t>-202</w:t>
      </w:r>
      <w:r w:rsidR="001B5B8F" w:rsidRPr="00305C01">
        <w:rPr>
          <w:rFonts w:ascii="Times New Roman" w:eastAsia="Helvetica" w:hAnsi="Times New Roman" w:cs="Times New Roman"/>
          <w:sz w:val="24"/>
          <w:szCs w:val="24"/>
        </w:rPr>
        <w:t>7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kwotę w wysokości </w:t>
      </w:r>
      <w:r w:rsidR="001B5B8F" w:rsidRPr="00305C01">
        <w:rPr>
          <w:rFonts w:ascii="Times New Roman" w:eastAsia="Helvetica" w:hAnsi="Times New Roman" w:cs="Times New Roman"/>
          <w:sz w:val="24"/>
          <w:szCs w:val="24"/>
        </w:rPr>
        <w:t>105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mln zł.</w:t>
      </w:r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000" w:firstRow="0" w:lastRow="0" w:firstColumn="0" w:lastColumn="0" w:noHBand="0" w:noVBand="0"/>
      </w:tblPr>
      <w:tblGrid>
        <w:gridCol w:w="4378"/>
        <w:gridCol w:w="1676"/>
        <w:gridCol w:w="1676"/>
        <w:gridCol w:w="1676"/>
      </w:tblGrid>
      <w:tr w:rsidR="00EB6589" w:rsidRPr="00305C01" w14:paraId="527E23DE" w14:textId="77777777">
        <w:trPr>
          <w:jc w:val="right"/>
        </w:trPr>
        <w:tc>
          <w:tcPr>
            <w:tcW w:w="0" w:type="auto"/>
          </w:tcPr>
          <w:p w14:paraId="2397332A" w14:textId="77777777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0" w:type="auto"/>
          </w:tcPr>
          <w:p w14:paraId="7A92AA8F" w14:textId="71886B3B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202</w:t>
            </w:r>
            <w:r w:rsidR="00550862"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7A61F67" w14:textId="1986B55D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202</w:t>
            </w:r>
            <w:r w:rsidR="00550862"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B0FA6C8" w14:textId="5FE87F3C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202</w:t>
            </w:r>
            <w:r w:rsidR="00550862"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7</w:t>
            </w:r>
          </w:p>
        </w:tc>
      </w:tr>
      <w:tr w:rsidR="00EB6589" w:rsidRPr="00305C01" w14:paraId="6B49115E" w14:textId="77777777">
        <w:trPr>
          <w:jc w:val="right"/>
        </w:trPr>
        <w:tc>
          <w:tcPr>
            <w:tcW w:w="0" w:type="auto"/>
          </w:tcPr>
          <w:p w14:paraId="4C32D3FD" w14:textId="77777777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Planowana wysokość środków</w:t>
            </w:r>
          </w:p>
        </w:tc>
        <w:tc>
          <w:tcPr>
            <w:tcW w:w="0" w:type="auto"/>
          </w:tcPr>
          <w:p w14:paraId="54FB70AB" w14:textId="75660174" w:rsidR="00EB6589" w:rsidRPr="00305C01" w:rsidRDefault="00860A98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35</w:t>
            </w:r>
            <w:r w:rsidR="008A0EE3"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mln zł</w:t>
            </w:r>
          </w:p>
        </w:tc>
        <w:tc>
          <w:tcPr>
            <w:tcW w:w="0" w:type="auto"/>
          </w:tcPr>
          <w:p w14:paraId="4D1E2F34" w14:textId="6552A51E" w:rsidR="00EB6589" w:rsidRPr="00305C01" w:rsidRDefault="00860A98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35</w:t>
            </w:r>
            <w:r w:rsidR="008A0EE3"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mln zł</w:t>
            </w:r>
          </w:p>
        </w:tc>
        <w:tc>
          <w:tcPr>
            <w:tcW w:w="0" w:type="auto"/>
          </w:tcPr>
          <w:p w14:paraId="1A05CAFD" w14:textId="77777777" w:rsidR="00EB6589" w:rsidRPr="00305C01" w:rsidRDefault="008A0EE3" w:rsidP="00583A6E">
            <w:pPr>
              <w:suppressAutoHyphens/>
              <w:spacing w:after="0" w:line="276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eastAsia="Helvetica" w:hAnsi="Times New Roman" w:cs="Times New Roman"/>
                <w:sz w:val="24"/>
                <w:szCs w:val="24"/>
              </w:rPr>
              <w:t>35 mln zł</w:t>
            </w:r>
          </w:p>
        </w:tc>
      </w:tr>
    </w:tbl>
    <w:p w14:paraId="6D2C2B99" w14:textId="6E40734B" w:rsidR="00EB6589" w:rsidRPr="00305C01" w:rsidRDefault="008A0EE3" w:rsidP="3E6865B3">
      <w:pPr>
        <w:pStyle w:val="Nagwek1"/>
      </w:pPr>
      <w:r w:rsidRPr="00305C01">
        <w:rPr>
          <w:rFonts w:eastAsia="Helvetica"/>
        </w:rPr>
        <w:t xml:space="preserve"> Sposób oceny realizacji Programu</w:t>
      </w:r>
    </w:p>
    <w:p w14:paraId="52916E83" w14:textId="58D4FFCF" w:rsidR="00EB6589" w:rsidRPr="00305C01" w:rsidRDefault="008A0EE3" w:rsidP="003326D7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Realizacja Programu 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 xml:space="preserve">będzie monitorowana przez Centrum Rozwoju Kompetencji Cyfrowych, zwane dalej „CRKC” oraz </w:t>
      </w:r>
      <w:r w:rsidRPr="00305C01">
        <w:rPr>
          <w:rFonts w:ascii="Times New Roman" w:eastAsia="Helvetica" w:hAnsi="Times New Roman" w:cs="Times New Roman"/>
          <w:sz w:val="24"/>
          <w:szCs w:val="24"/>
        </w:rPr>
        <w:t>oceniana przez Ministra na podstawie informacji lub sprawozdań składanych przez merytoryczne komórki organizacyjne</w:t>
      </w:r>
      <w:r w:rsidR="00F52851" w:rsidRPr="00305C01">
        <w:rPr>
          <w:rFonts w:ascii="Times New Roman" w:eastAsia="Helvetica" w:hAnsi="Times New Roman" w:cs="Times New Roman"/>
          <w:sz w:val="24"/>
          <w:szCs w:val="24"/>
        </w:rPr>
        <w:t xml:space="preserve"> Ministerstwa Cyfryzacji, jednostki podległe Ministrowi lub przez niego nadzorowane </w:t>
      </w:r>
      <w:r w:rsidR="00B30464" w:rsidRPr="00305C01">
        <w:rPr>
          <w:rFonts w:ascii="Times New Roman" w:eastAsia="Helvetica" w:hAnsi="Times New Roman" w:cs="Times New Roman"/>
          <w:sz w:val="24"/>
          <w:szCs w:val="24"/>
        </w:rPr>
        <w:t>najpóźniej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do 15 marca roku następującego po danym roku realizacji Programu.</w:t>
      </w:r>
    </w:p>
    <w:p w14:paraId="0EE73FBC" w14:textId="2CD57866" w:rsidR="00EB6589" w:rsidRPr="00305C01" w:rsidRDefault="008A0EE3" w:rsidP="3E6865B3">
      <w:pPr>
        <w:pStyle w:val="Nagwek1"/>
      </w:pPr>
      <w:r w:rsidRPr="00305C01">
        <w:rPr>
          <w:rFonts w:eastAsia="Helvetica"/>
        </w:rPr>
        <w:lastRenderedPageBreak/>
        <w:t>. Informacja o sposobie tworzenia Programu oraz o przebiegu konsultacji</w:t>
      </w:r>
    </w:p>
    <w:p w14:paraId="5884DB7F" w14:textId="06168B49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Za przygotowanie projektu Programu odpowiedzialn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>e</w:t>
      </w:r>
      <w:r w:rsidRPr="00305C01">
        <w:rPr>
          <w:rFonts w:ascii="Times New Roman" w:eastAsia="Helvetica" w:hAnsi="Times New Roman" w:cs="Times New Roman"/>
          <w:sz w:val="24"/>
          <w:szCs w:val="24"/>
        </w:rPr>
        <w:t xml:space="preserve"> jest 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>C</w:t>
      </w:r>
      <w:r w:rsidR="00B30464" w:rsidRPr="00305C01">
        <w:rPr>
          <w:rFonts w:ascii="Times New Roman" w:eastAsia="Helvetica" w:hAnsi="Times New Roman" w:cs="Times New Roman"/>
          <w:sz w:val="24"/>
          <w:szCs w:val="24"/>
        </w:rPr>
        <w:t xml:space="preserve">entrum 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>R</w:t>
      </w:r>
      <w:r w:rsidR="00B30464" w:rsidRPr="00305C01">
        <w:rPr>
          <w:rFonts w:ascii="Times New Roman" w:eastAsia="Helvetica" w:hAnsi="Times New Roman" w:cs="Times New Roman"/>
          <w:sz w:val="24"/>
          <w:szCs w:val="24"/>
        </w:rPr>
        <w:t xml:space="preserve">ozwoju 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>K</w:t>
      </w:r>
      <w:r w:rsidR="00B30464" w:rsidRPr="00305C01">
        <w:rPr>
          <w:rFonts w:ascii="Times New Roman" w:eastAsia="Helvetica" w:hAnsi="Times New Roman" w:cs="Times New Roman"/>
          <w:sz w:val="24"/>
          <w:szCs w:val="24"/>
        </w:rPr>
        <w:t xml:space="preserve">ompetencji 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>C</w:t>
      </w:r>
      <w:r w:rsidR="00B30464" w:rsidRPr="00305C01">
        <w:rPr>
          <w:rFonts w:ascii="Times New Roman" w:eastAsia="Helvetica" w:hAnsi="Times New Roman" w:cs="Times New Roman"/>
          <w:sz w:val="24"/>
          <w:szCs w:val="24"/>
        </w:rPr>
        <w:t>yfrowych</w:t>
      </w:r>
      <w:r w:rsidRPr="00305C01">
        <w:rPr>
          <w:rFonts w:ascii="Times New Roman" w:eastAsia="Helvetica" w:hAnsi="Times New Roman" w:cs="Times New Roman"/>
          <w:sz w:val="24"/>
          <w:szCs w:val="24"/>
        </w:rPr>
        <w:t>.</w:t>
      </w:r>
    </w:p>
    <w:p w14:paraId="7BE58CEC" w14:textId="77777777" w:rsidR="00EB6589" w:rsidRPr="00305C01" w:rsidRDefault="008A0EE3" w:rsidP="00583A6E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Opracowanie projektu odbyło się w kilku etapach:</w:t>
      </w:r>
    </w:p>
    <w:p w14:paraId="305C2841" w14:textId="4BF0EDFA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1) zebranie informacji od komórek organizacyjnych </w:t>
      </w:r>
      <w:r w:rsidR="00860A98" w:rsidRPr="689DE647">
        <w:rPr>
          <w:rFonts w:ascii="Times New Roman" w:eastAsia="Helvetica" w:hAnsi="Times New Roman" w:cs="Times New Roman"/>
          <w:sz w:val="24"/>
          <w:szCs w:val="24"/>
        </w:rPr>
        <w:t>Ministerstwa Cyfryzacji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 zajmujących się obsługą Ministra, jak również od jednostek </w:t>
      </w:r>
      <w:r w:rsidR="00E47391" w:rsidRPr="689DE647">
        <w:rPr>
          <w:rFonts w:ascii="Times New Roman" w:eastAsia="Helvetica" w:hAnsi="Times New Roman" w:cs="Times New Roman"/>
          <w:sz w:val="24"/>
          <w:szCs w:val="24"/>
        </w:rPr>
        <w:t xml:space="preserve">podległych Ministrowi i przez niego </w:t>
      </w:r>
      <w:r w:rsidRPr="689DE647">
        <w:rPr>
          <w:rFonts w:ascii="Times New Roman" w:eastAsia="Helvetica" w:hAnsi="Times New Roman" w:cs="Times New Roman"/>
          <w:sz w:val="24"/>
          <w:szCs w:val="24"/>
        </w:rPr>
        <w:t>nadzorowanych o planowanych formach współpracy z trzecim sektorem w latach 202</w:t>
      </w:r>
      <w:r w:rsidR="00860A98" w:rsidRPr="689DE647">
        <w:rPr>
          <w:rFonts w:ascii="Times New Roman" w:eastAsia="Helvetica" w:hAnsi="Times New Roman" w:cs="Times New Roman"/>
          <w:sz w:val="24"/>
          <w:szCs w:val="24"/>
        </w:rPr>
        <w:t>5</w:t>
      </w:r>
      <w:r w:rsidRPr="689DE647">
        <w:rPr>
          <w:rFonts w:ascii="Times New Roman" w:eastAsia="Helvetica" w:hAnsi="Times New Roman" w:cs="Times New Roman"/>
          <w:sz w:val="24"/>
          <w:szCs w:val="24"/>
        </w:rPr>
        <w:t>-202</w:t>
      </w:r>
      <w:r w:rsidR="00860A98" w:rsidRPr="689DE647">
        <w:rPr>
          <w:rFonts w:ascii="Times New Roman" w:eastAsia="Helvetica" w:hAnsi="Times New Roman" w:cs="Times New Roman"/>
          <w:sz w:val="24"/>
          <w:szCs w:val="24"/>
        </w:rPr>
        <w:t>7</w:t>
      </w:r>
      <w:r w:rsidR="3C1E747B" w:rsidRPr="3E6865B3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5A811C74" w14:textId="35640110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>2) przeprowadzenie konsultacji z organizacjami pozarządowymi oraz podmiotami wymienionymi w art. 3 ust. 3 ustawy mając</w:t>
      </w:r>
      <w:r w:rsidR="00860A98" w:rsidRPr="689DE647">
        <w:rPr>
          <w:rFonts w:ascii="Times New Roman" w:eastAsia="Helvetica" w:hAnsi="Times New Roman" w:cs="Times New Roman"/>
          <w:sz w:val="24"/>
          <w:szCs w:val="24"/>
        </w:rPr>
        <w:t>ymi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 na celu zebranie propozycji, sugestii i dobrych praktyk, które ich zdaniem powinny zostać uwzględnione w tworzonym Programie</w:t>
      </w:r>
      <w:r w:rsidR="77F0E0FA" w:rsidRPr="3E6865B3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262D7BFD" w14:textId="65B00279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689DE647">
        <w:rPr>
          <w:rFonts w:ascii="Times New Roman" w:eastAsia="Helvetica" w:hAnsi="Times New Roman" w:cs="Times New Roman"/>
          <w:sz w:val="24"/>
          <w:szCs w:val="24"/>
        </w:rPr>
        <w:t>3) przesłan</w:t>
      </w:r>
      <w:r w:rsidR="00F645CA" w:rsidRPr="689DE647">
        <w:rPr>
          <w:rFonts w:ascii="Times New Roman" w:eastAsia="Helvetica" w:hAnsi="Times New Roman" w:cs="Times New Roman"/>
          <w:sz w:val="24"/>
          <w:szCs w:val="24"/>
        </w:rPr>
        <w:t>ie projektu Programu</w:t>
      </w:r>
      <w:r w:rsidRPr="689DE647">
        <w:rPr>
          <w:rFonts w:ascii="Times New Roman" w:eastAsia="Helvetica" w:hAnsi="Times New Roman" w:cs="Times New Roman"/>
          <w:sz w:val="24"/>
          <w:szCs w:val="24"/>
        </w:rPr>
        <w:t xml:space="preserve"> do komórek organizacyjnych </w:t>
      </w:r>
      <w:r w:rsidR="00860A98" w:rsidRPr="689DE647">
        <w:rPr>
          <w:rFonts w:ascii="Times New Roman" w:eastAsia="Helvetica" w:hAnsi="Times New Roman" w:cs="Times New Roman"/>
          <w:sz w:val="24"/>
          <w:szCs w:val="24"/>
        </w:rPr>
        <w:t xml:space="preserve">Ministerstwa Cyfryzacji </w:t>
      </w:r>
      <w:r w:rsidRPr="689DE647">
        <w:rPr>
          <w:rFonts w:ascii="Times New Roman" w:eastAsia="Helvetica" w:hAnsi="Times New Roman" w:cs="Times New Roman"/>
          <w:sz w:val="24"/>
          <w:szCs w:val="24"/>
        </w:rPr>
        <w:t>zajmujących się obsługą Ministra. Umożliwiło to komórkom organizacyjnym dokonanie modyfikacji w przedłożonym dokumencie</w:t>
      </w:r>
      <w:r w:rsidR="707B313A" w:rsidRPr="3E6865B3">
        <w:rPr>
          <w:rFonts w:ascii="Times New Roman" w:eastAsia="Helvetica" w:hAnsi="Times New Roman" w:cs="Times New Roman"/>
          <w:sz w:val="24"/>
          <w:szCs w:val="24"/>
        </w:rPr>
        <w:t>;</w:t>
      </w:r>
    </w:p>
    <w:p w14:paraId="39FA5753" w14:textId="0BC3665D" w:rsidR="00EB6589" w:rsidRPr="00305C01" w:rsidRDefault="008A0EE3" w:rsidP="00583A6E">
      <w:pPr>
        <w:spacing w:before="130" w:after="130" w:line="276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4) w ostatnim etapie Program został podpisany przez Ministra</w:t>
      </w:r>
      <w:r w:rsidR="00860A98" w:rsidRPr="00305C01">
        <w:rPr>
          <w:rFonts w:ascii="Times New Roman" w:eastAsia="Helvetica" w:hAnsi="Times New Roman" w:cs="Times New Roman"/>
          <w:sz w:val="24"/>
          <w:szCs w:val="24"/>
        </w:rPr>
        <w:t xml:space="preserve"> Cyfryzacji.</w:t>
      </w:r>
    </w:p>
    <w:p w14:paraId="53F4F0C1" w14:textId="4F98B2D6" w:rsidR="00EB6589" w:rsidRPr="00305C01" w:rsidRDefault="008A0EE3" w:rsidP="3E6865B3">
      <w:pPr>
        <w:pStyle w:val="Nagwek1"/>
      </w:pPr>
      <w:r w:rsidRPr="00305C01">
        <w:rPr>
          <w:rFonts w:eastAsia="Helvetica"/>
        </w:rPr>
        <w:t>Tryb powoływania i zasady działania komisji konkursowych do opiniowania ofert w otwartych konkursach ofert</w:t>
      </w:r>
    </w:p>
    <w:p w14:paraId="76C501A3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W celu opiniowania złożonych ofert Minister, po ogłoszeniu otwartego konkursu ofert powołuje zarządzeniem, komisję konkursową. W skład komisji konkursowej wchodzą przedstawiciele Ministra oraz osoby reprezentujące sektor pozarządowy. Z członkostwa w komisji konkursowej wyłączone są osoby reprezentujące organizacje pozarządowe lub podmioty wymienione w art. 3 ust. 3 ustawy, biorące udział w konkursie. Komisja konkursowa może działać bez udziału osób wskazanych przez organizacje pozarządowe lub podmioty wymienione w art. 3 ust. 3 ustawy w przypadku zaistnienia przesłanek wskazanych w art. 15 ust. 2da ustawy.</w:t>
      </w:r>
    </w:p>
    <w:p w14:paraId="7EDCCF22" w14:textId="77777777" w:rsidR="00EB6589" w:rsidRPr="00305C01" w:rsidRDefault="008A0EE3" w:rsidP="003326D7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01">
        <w:rPr>
          <w:rFonts w:ascii="Times New Roman" w:eastAsia="Helvetica" w:hAnsi="Times New Roman" w:cs="Times New Roman"/>
          <w:sz w:val="24"/>
          <w:szCs w:val="24"/>
        </w:rPr>
        <w:t>Komisja konkursowa opiniując oferty złożone w ramach otwartego konkursu ofert, dokonuje oceny pod względem formalnym i merytorycznym w oparciu o kryteria określone przez Ministra. W wyniku oceny komisja konkursowa przedkłada Ministrowi listę ofert rekomendowanych do przyznania dotacji wraz z proponowanymi kwotami dotacji. Na ich podstawie Minister rozstrzyga o przyznaniu dofinansowania. Otwarte konkursy ofert każdorazowo określają zasady, tryb wyboru i kryteria, dotyczące ofert.</w:t>
      </w:r>
    </w:p>
    <w:sectPr w:rsidR="00EB6589" w:rsidRPr="00305C01">
      <w:footerReference w:type="default" r:id="rId8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1D1E" w14:textId="77777777" w:rsidR="00EA7C4F" w:rsidRDefault="00EA7C4F">
      <w:pPr>
        <w:spacing w:after="0" w:line="240" w:lineRule="auto"/>
      </w:pPr>
      <w:r>
        <w:separator/>
      </w:r>
    </w:p>
  </w:endnote>
  <w:endnote w:type="continuationSeparator" w:id="0">
    <w:p w14:paraId="770E45F8" w14:textId="77777777" w:rsidR="00EA7C4F" w:rsidRDefault="00EA7C4F">
      <w:pPr>
        <w:spacing w:after="0" w:line="240" w:lineRule="auto"/>
      </w:pPr>
      <w:r>
        <w:continuationSeparator/>
      </w:r>
    </w:p>
  </w:endnote>
  <w:endnote w:type="continuationNotice" w:id="1">
    <w:p w14:paraId="6AE0F94E" w14:textId="77777777" w:rsidR="00EA7C4F" w:rsidRDefault="00EA7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708697"/>
      <w:docPartObj>
        <w:docPartGallery w:val="Page Numbers (Bottom of Page)"/>
        <w:docPartUnique/>
      </w:docPartObj>
    </w:sdtPr>
    <w:sdtContent>
      <w:p w14:paraId="5BFB713D" w14:textId="62908E66" w:rsidR="007C4798" w:rsidRDefault="007C47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20E25" w14:textId="77777777" w:rsidR="007C4798" w:rsidRDefault="007C4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3FEB" w14:textId="77777777" w:rsidR="00EA7C4F" w:rsidRDefault="00EA7C4F">
      <w:pPr>
        <w:spacing w:after="0" w:line="240" w:lineRule="auto"/>
      </w:pPr>
      <w:r>
        <w:separator/>
      </w:r>
    </w:p>
  </w:footnote>
  <w:footnote w:type="continuationSeparator" w:id="0">
    <w:p w14:paraId="7F9898AB" w14:textId="77777777" w:rsidR="00EA7C4F" w:rsidRDefault="00EA7C4F">
      <w:pPr>
        <w:spacing w:after="0" w:line="240" w:lineRule="auto"/>
      </w:pPr>
      <w:r>
        <w:continuationSeparator/>
      </w:r>
    </w:p>
  </w:footnote>
  <w:footnote w:type="continuationNotice" w:id="1">
    <w:p w14:paraId="6FB29EE2" w14:textId="77777777" w:rsidR="00EA7C4F" w:rsidRDefault="00EA7C4F">
      <w:pPr>
        <w:spacing w:after="0" w:line="240" w:lineRule="auto"/>
      </w:pPr>
    </w:p>
  </w:footnote>
  <w:footnote w:id="2">
    <w:p w14:paraId="7DF44D04" w14:textId="3A6AEC03" w:rsidR="00237424" w:rsidRDefault="002374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3D7E">
        <w:rPr>
          <w:rFonts w:ascii="Times New Roman" w:eastAsia="Helvetica" w:hAnsi="Times New Roman" w:cs="Times New Roman"/>
          <w:sz w:val="18"/>
        </w:rPr>
        <w:t>Działalność stowarzyszeń i podobnych organizacji społecznych, fundacji, społecznych podmiotów wyznaniowych oraz samorządu gospodarczego i zawodowego w 2022 r. - wyniki wstępne, https://stat.gov.pl/obszary-tematyczne/gospodarka-spoleczna-wolontariat/gospodarka-spoleczna-trzeci-sektor/dzialalnosc-stowarzyszen-i-podobnych-organizacji-spolecznych-fundacji-spolecznych-podmiotow-wyznaniowych-oraz-samorzadu-gospodarczego-i-zawodowego-w-202-r-wyniki-wstepne,3,10.html</w:t>
      </w:r>
    </w:p>
  </w:footnote>
  <w:footnote w:id="3">
    <w:p w14:paraId="1300FE5E" w14:textId="5ACA23BB" w:rsidR="00EB6589" w:rsidRPr="00DB3D7E" w:rsidRDefault="008A0EE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B3D7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B3D7E">
        <w:rPr>
          <w:rFonts w:ascii="Times New Roman" w:eastAsia="Helvetica" w:hAnsi="Times New Roman" w:cs="Times New Roman"/>
          <w:sz w:val="18"/>
          <w:szCs w:val="18"/>
        </w:rPr>
        <w:t xml:space="preserve"> </w:t>
      </w:r>
      <w:r w:rsidR="00E56F97" w:rsidRPr="00DB3D7E">
        <w:rPr>
          <w:rFonts w:ascii="Times New Roman" w:eastAsia="Helvetica" w:hAnsi="Times New Roman" w:cs="Times New Roman"/>
          <w:sz w:val="18"/>
          <w:szCs w:val="18"/>
        </w:rPr>
        <w:t>Na podstawie wyników badania Stowarzyszenia Klon/Jawor „Kondycja organizacji pozarządowych 2021” przeprowadzonego na ogólnopolskiej, losowej próbie 1200 stowarzyszeń i fundacji</w:t>
      </w:r>
      <w:r w:rsidRPr="00DB3D7E">
        <w:rPr>
          <w:rFonts w:ascii="Times New Roman" w:eastAsia="Helvetica" w:hAnsi="Times New Roman" w:cs="Times New Roman"/>
          <w:sz w:val="18"/>
          <w:szCs w:val="18"/>
        </w:rPr>
        <w:t xml:space="preserve">, dostępne przez: </w:t>
      </w:r>
      <w:r w:rsidR="00063493" w:rsidRPr="00DB3D7E">
        <w:rPr>
          <w:rFonts w:ascii="Times New Roman" w:eastAsia="Helvetica" w:hAnsi="Times New Roman" w:cs="Times New Roman"/>
          <w:sz w:val="18"/>
          <w:szCs w:val="18"/>
        </w:rPr>
        <w:t>https://api.ngo.pl/media/get/176021</w:t>
      </w:r>
      <w:r w:rsidR="00E56F97" w:rsidRPr="00DB3D7E">
        <w:rPr>
          <w:rFonts w:ascii="Times New Roman" w:eastAsia="Helvetica" w:hAnsi="Times New Roman" w:cs="Times New Roman"/>
          <w:sz w:val="18"/>
          <w:szCs w:val="18"/>
        </w:rPr>
        <w:t xml:space="preserve"> </w:t>
      </w:r>
    </w:p>
  </w:footnote>
  <w:footnote w:id="4">
    <w:p w14:paraId="282B1D90" w14:textId="77777777" w:rsidR="00EB6589" w:rsidRPr="00DB3D7E" w:rsidRDefault="008A0EE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B3D7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B3D7E">
        <w:rPr>
          <w:rFonts w:ascii="Times New Roman" w:eastAsia="Helvetica" w:hAnsi="Times New Roman" w:cs="Times New Roman"/>
          <w:sz w:val="18"/>
          <w:szCs w:val="18"/>
        </w:rPr>
        <w:t xml:space="preserve"> Stowarzyszenie Klon/Jawor, Rok w pandemii, Raport z badań organizacji pozarządowych 2020/2021, dostępne przez https://fakty.ngo.pl/raporty/rok-w-pandemii-2020-2021, sierpień 2021 r.</w:t>
      </w:r>
    </w:p>
  </w:footnote>
  <w:footnote w:id="5">
    <w:p w14:paraId="1919E6BF" w14:textId="77777777" w:rsidR="00EB6589" w:rsidRPr="00DB3D7E" w:rsidRDefault="008A0EE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B3D7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B3D7E">
        <w:rPr>
          <w:rFonts w:ascii="Times New Roman" w:eastAsia="Helvetica" w:hAnsi="Times New Roman" w:cs="Times New Roman"/>
          <w:sz w:val="18"/>
          <w:szCs w:val="18"/>
        </w:rPr>
        <w:t xml:space="preserve"> Ibidem.</w:t>
      </w:r>
    </w:p>
  </w:footnote>
  <w:footnote w:id="6">
    <w:p w14:paraId="11B5E12A" w14:textId="77777777" w:rsidR="00EB6589" w:rsidRDefault="008A0EE3">
      <w:pPr>
        <w:pStyle w:val="Tekstprzypisudolnego"/>
        <w:jc w:val="both"/>
      </w:pPr>
      <w:r w:rsidRPr="00DB3D7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B3D7E">
        <w:rPr>
          <w:rFonts w:ascii="Times New Roman" w:eastAsia="Helvetica" w:hAnsi="Times New Roman" w:cs="Times New Roman"/>
          <w:sz w:val="18"/>
          <w:szCs w:val="18"/>
        </w:rPr>
        <w:t xml:space="preserve"> Ibidem.</w:t>
      </w:r>
    </w:p>
  </w:footnote>
  <w:footnote w:id="7">
    <w:p w14:paraId="6A5433C4" w14:textId="77777777" w:rsidR="00646D35" w:rsidRPr="0063077A" w:rsidRDefault="00646D35" w:rsidP="00646D3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3077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3077A">
        <w:rPr>
          <w:rFonts w:ascii="Times New Roman" w:eastAsia="Helvetica" w:hAnsi="Times New Roman" w:cs="Times New Roman"/>
          <w:sz w:val="18"/>
          <w:szCs w:val="18"/>
        </w:rPr>
        <w:t xml:space="preserve"> Komisja Europejska, Indeks gospodarki cyfrowej i społeczeństwa cyfrowego (DESI) na 2022 r., dostępne przez: https://digital-strategy.ec.europa.eu/en/policies/desi-poland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B9"/>
    <w:multiLevelType w:val="hybridMultilevel"/>
    <w:tmpl w:val="935A56FA"/>
    <w:lvl w:ilvl="0" w:tplc="335A90EC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7F5D"/>
    <w:multiLevelType w:val="hybridMultilevel"/>
    <w:tmpl w:val="B764EF92"/>
    <w:lvl w:ilvl="0" w:tplc="181A0B20">
      <w:start w:val="1"/>
      <w:numFmt w:val="upperLetter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3C4D"/>
    <w:multiLevelType w:val="hybridMultilevel"/>
    <w:tmpl w:val="1BDC29BC"/>
    <w:lvl w:ilvl="0" w:tplc="3FE482A4">
      <w:start w:val="1"/>
      <w:numFmt w:val="upperLetter"/>
      <w:pStyle w:val="Nagwek3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322DD4"/>
    <w:multiLevelType w:val="hybridMultilevel"/>
    <w:tmpl w:val="CEE4A0AA"/>
    <w:lvl w:ilvl="0" w:tplc="2766FD06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20648">
    <w:abstractNumId w:val="3"/>
  </w:num>
  <w:num w:numId="2" w16cid:durableId="226689530">
    <w:abstractNumId w:val="0"/>
  </w:num>
  <w:num w:numId="3" w16cid:durableId="410547753">
    <w:abstractNumId w:val="2"/>
  </w:num>
  <w:num w:numId="4" w16cid:durableId="62162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89"/>
    <w:rsid w:val="000052AB"/>
    <w:rsid w:val="00032222"/>
    <w:rsid w:val="000452EA"/>
    <w:rsid w:val="00046C00"/>
    <w:rsid w:val="00063493"/>
    <w:rsid w:val="0008052F"/>
    <w:rsid w:val="000F51E7"/>
    <w:rsid w:val="00104D44"/>
    <w:rsid w:val="00194396"/>
    <w:rsid w:val="001A4FA8"/>
    <w:rsid w:val="001A72A4"/>
    <w:rsid w:val="001B5B8F"/>
    <w:rsid w:val="001C4571"/>
    <w:rsid w:val="001C4FE3"/>
    <w:rsid w:val="001D5FB5"/>
    <w:rsid w:val="001E3E05"/>
    <w:rsid w:val="00237424"/>
    <w:rsid w:val="002B5011"/>
    <w:rsid w:val="00302741"/>
    <w:rsid w:val="00305C01"/>
    <w:rsid w:val="0031092C"/>
    <w:rsid w:val="00312145"/>
    <w:rsid w:val="00313A39"/>
    <w:rsid w:val="003326D7"/>
    <w:rsid w:val="00351A32"/>
    <w:rsid w:val="0035329B"/>
    <w:rsid w:val="003722B6"/>
    <w:rsid w:val="00392CD8"/>
    <w:rsid w:val="003B2F62"/>
    <w:rsid w:val="003F6D95"/>
    <w:rsid w:val="004270B2"/>
    <w:rsid w:val="004419F3"/>
    <w:rsid w:val="00450073"/>
    <w:rsid w:val="0045009F"/>
    <w:rsid w:val="00471AF9"/>
    <w:rsid w:val="00477C70"/>
    <w:rsid w:val="004B2DC2"/>
    <w:rsid w:val="004C2588"/>
    <w:rsid w:val="004E3A36"/>
    <w:rsid w:val="004E737D"/>
    <w:rsid w:val="004E7C36"/>
    <w:rsid w:val="00550862"/>
    <w:rsid w:val="00564E5E"/>
    <w:rsid w:val="005749B2"/>
    <w:rsid w:val="00583A6E"/>
    <w:rsid w:val="005B357E"/>
    <w:rsid w:val="005C0652"/>
    <w:rsid w:val="005C48E1"/>
    <w:rsid w:val="005C7642"/>
    <w:rsid w:val="005E5EA0"/>
    <w:rsid w:val="0063077A"/>
    <w:rsid w:val="00635035"/>
    <w:rsid w:val="006403B8"/>
    <w:rsid w:val="00646D35"/>
    <w:rsid w:val="00654B76"/>
    <w:rsid w:val="006668AE"/>
    <w:rsid w:val="006907D6"/>
    <w:rsid w:val="006A4F5A"/>
    <w:rsid w:val="006A5586"/>
    <w:rsid w:val="006A5C93"/>
    <w:rsid w:val="006C22B9"/>
    <w:rsid w:val="006F12CC"/>
    <w:rsid w:val="006F520E"/>
    <w:rsid w:val="006F5C43"/>
    <w:rsid w:val="00746445"/>
    <w:rsid w:val="007653FB"/>
    <w:rsid w:val="00791D61"/>
    <w:rsid w:val="00792784"/>
    <w:rsid w:val="007A056A"/>
    <w:rsid w:val="007A2832"/>
    <w:rsid w:val="007A5727"/>
    <w:rsid w:val="007B0CCC"/>
    <w:rsid w:val="007C1645"/>
    <w:rsid w:val="007C17AB"/>
    <w:rsid w:val="007C4798"/>
    <w:rsid w:val="007E7E47"/>
    <w:rsid w:val="007F5018"/>
    <w:rsid w:val="00860A98"/>
    <w:rsid w:val="00876DDB"/>
    <w:rsid w:val="008A0EE3"/>
    <w:rsid w:val="008A15AB"/>
    <w:rsid w:val="008C7E2F"/>
    <w:rsid w:val="008D4ECD"/>
    <w:rsid w:val="009200AE"/>
    <w:rsid w:val="009209DA"/>
    <w:rsid w:val="00920F8D"/>
    <w:rsid w:val="009249B2"/>
    <w:rsid w:val="0093232B"/>
    <w:rsid w:val="00933D3B"/>
    <w:rsid w:val="00963ED9"/>
    <w:rsid w:val="0097464C"/>
    <w:rsid w:val="00986B34"/>
    <w:rsid w:val="009A49A8"/>
    <w:rsid w:val="009B26CA"/>
    <w:rsid w:val="009F5C30"/>
    <w:rsid w:val="00A17607"/>
    <w:rsid w:val="00A30674"/>
    <w:rsid w:val="00A52978"/>
    <w:rsid w:val="00A7309F"/>
    <w:rsid w:val="00AB5FD1"/>
    <w:rsid w:val="00AF3D11"/>
    <w:rsid w:val="00B30464"/>
    <w:rsid w:val="00B36787"/>
    <w:rsid w:val="00B90116"/>
    <w:rsid w:val="00B9435E"/>
    <w:rsid w:val="00B95FCC"/>
    <w:rsid w:val="00BB63BD"/>
    <w:rsid w:val="00BC435A"/>
    <w:rsid w:val="00BD1F82"/>
    <w:rsid w:val="00BE259C"/>
    <w:rsid w:val="00C230AD"/>
    <w:rsid w:val="00C379A1"/>
    <w:rsid w:val="00C425DB"/>
    <w:rsid w:val="00C6601B"/>
    <w:rsid w:val="00C72F6E"/>
    <w:rsid w:val="00C94D04"/>
    <w:rsid w:val="00CB74D3"/>
    <w:rsid w:val="00CC731D"/>
    <w:rsid w:val="00CE4741"/>
    <w:rsid w:val="00D00AD5"/>
    <w:rsid w:val="00D37FEE"/>
    <w:rsid w:val="00D41456"/>
    <w:rsid w:val="00D8675C"/>
    <w:rsid w:val="00D957D5"/>
    <w:rsid w:val="00DA0D29"/>
    <w:rsid w:val="00DA25A6"/>
    <w:rsid w:val="00DB2663"/>
    <w:rsid w:val="00DB3D7E"/>
    <w:rsid w:val="00DE1FDB"/>
    <w:rsid w:val="00E05A0E"/>
    <w:rsid w:val="00E36BE4"/>
    <w:rsid w:val="00E45C06"/>
    <w:rsid w:val="00E47391"/>
    <w:rsid w:val="00E56F97"/>
    <w:rsid w:val="00E61BF7"/>
    <w:rsid w:val="00EA7C4F"/>
    <w:rsid w:val="00EB6589"/>
    <w:rsid w:val="00EF295A"/>
    <w:rsid w:val="00F1164D"/>
    <w:rsid w:val="00F4260B"/>
    <w:rsid w:val="00F52851"/>
    <w:rsid w:val="00F566E9"/>
    <w:rsid w:val="00F645CA"/>
    <w:rsid w:val="00F752F5"/>
    <w:rsid w:val="00FB611A"/>
    <w:rsid w:val="00FB7815"/>
    <w:rsid w:val="00FC5679"/>
    <w:rsid w:val="00FC789A"/>
    <w:rsid w:val="01798252"/>
    <w:rsid w:val="02D85B33"/>
    <w:rsid w:val="05D987DA"/>
    <w:rsid w:val="0B83CA55"/>
    <w:rsid w:val="27171A79"/>
    <w:rsid w:val="2827378F"/>
    <w:rsid w:val="30E37429"/>
    <w:rsid w:val="315C9B78"/>
    <w:rsid w:val="3C1E747B"/>
    <w:rsid w:val="3DF73B8B"/>
    <w:rsid w:val="3E6865B3"/>
    <w:rsid w:val="4A1E136E"/>
    <w:rsid w:val="4F81011A"/>
    <w:rsid w:val="5BBAA87A"/>
    <w:rsid w:val="63B474F0"/>
    <w:rsid w:val="664CBA2F"/>
    <w:rsid w:val="689DE647"/>
    <w:rsid w:val="6CB24DA9"/>
    <w:rsid w:val="707B313A"/>
    <w:rsid w:val="733189C3"/>
    <w:rsid w:val="76856328"/>
    <w:rsid w:val="77F0E0FA"/>
    <w:rsid w:val="7B578083"/>
    <w:rsid w:val="7DD7916F"/>
    <w:rsid w:val="7F0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2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5FCC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1456"/>
    <w:pPr>
      <w:keepNext/>
      <w:keepLines/>
      <w:spacing w:before="40" w:after="0"/>
      <w:ind w:left="708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FD1"/>
    <w:pPr>
      <w:keepNext/>
      <w:keepLines/>
      <w:numPr>
        <w:numId w:val="3"/>
      </w:numPr>
      <w:spacing w:before="40" w:after="0"/>
      <w:ind w:left="1068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5FD1"/>
    <w:pPr>
      <w:keepNext/>
      <w:keepLines/>
      <w:numPr>
        <w:numId w:val="4"/>
      </w:numPr>
      <w:spacing w:before="40" w:after="0"/>
      <w:ind w:left="1068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Poprawka">
    <w:name w:val="Revision"/>
    <w:hidden/>
    <w:uiPriority w:val="99"/>
    <w:semiHidden/>
    <w:rsid w:val="00A73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2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7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E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A6E"/>
  </w:style>
  <w:style w:type="paragraph" w:styleId="Stopka">
    <w:name w:val="footer"/>
    <w:basedOn w:val="Normalny"/>
    <w:link w:val="StopkaZnak"/>
    <w:uiPriority w:val="99"/>
    <w:unhideWhenUsed/>
    <w:rsid w:val="0058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6E"/>
  </w:style>
  <w:style w:type="character" w:styleId="Uwydatnienie">
    <w:name w:val="Emphasis"/>
    <w:basedOn w:val="Domylnaczcionkaakapitu"/>
    <w:uiPriority w:val="20"/>
    <w:qFormat/>
    <w:rsid w:val="00EF295A"/>
    <w:rPr>
      <w:i/>
      <w:iCs/>
    </w:rPr>
  </w:style>
  <w:style w:type="paragraph" w:styleId="Akapitzlist">
    <w:name w:val="List Paragraph"/>
    <w:basedOn w:val="Normalny"/>
    <w:uiPriority w:val="34"/>
    <w:qFormat/>
    <w:rsid w:val="009A49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5F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1456"/>
    <w:rPr>
      <w:rFonts w:ascii="Times New Roman" w:eastAsiaTheme="majorEastAsia" w:hAnsi="Times New Roman" w:cstheme="majorBidi"/>
      <w:b/>
      <w:sz w:val="24"/>
      <w:szCs w:val="26"/>
    </w:rPr>
  </w:style>
  <w:style w:type="paragraph" w:styleId="Bezodstpw">
    <w:name w:val="No Spacing"/>
    <w:uiPriority w:val="1"/>
    <w:qFormat/>
    <w:rsid w:val="00D4145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B5FD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B5FD1"/>
    <w:rPr>
      <w:rFonts w:ascii="Times New Roman" w:eastAsiaTheme="majorEastAsia" w:hAnsi="Times New Roman" w:cstheme="majorBidi"/>
      <w:b/>
      <w:iC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3232B"/>
    <w:pPr>
      <w:suppressAutoHyphens/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2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F4EF-D909-4675-884C-367E129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Ministra Cyfryzacji z organizacjami pozarządowymi oraz podmiotami wymienionymi w art. 3 ust. 3 ustawy o działalności pożytku publicznego i o wolontariacie na lata 2025 - 2027</vt:lpstr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Ministra Cyfryzacji z organizacjami pozarządowymi oraz podmiotami wymienionymi w art. 3 ust. 3 ustawy o działalności pożytku publicznego i o wolontariacie na lata 2025 - 2027</dc:title>
  <dc:creator/>
  <cp:lastModifiedBy/>
  <cp:revision>1</cp:revision>
  <dcterms:created xsi:type="dcterms:W3CDTF">2024-04-17T10:17:00Z</dcterms:created>
  <dcterms:modified xsi:type="dcterms:W3CDTF">2024-04-17T10:53:00Z</dcterms:modified>
</cp:coreProperties>
</file>