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A93" w:rsidRPr="00F25B78" w:rsidRDefault="00C56A93" w:rsidP="00F25B78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5B78">
        <w:rPr>
          <w:rFonts w:ascii="Times New Roman" w:hAnsi="Times New Roman" w:cs="Times New Roman"/>
          <w:b/>
          <w:bCs/>
          <w:sz w:val="24"/>
          <w:szCs w:val="24"/>
        </w:rPr>
        <w:t>OPIS ISTOTNYCH ZAGADNIEŃ</w:t>
      </w:r>
    </w:p>
    <w:p w:rsidR="00C56A93" w:rsidRPr="00F25B78" w:rsidRDefault="00C56A93" w:rsidP="00F25B78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5B78">
        <w:rPr>
          <w:rFonts w:ascii="Times New Roman" w:hAnsi="Times New Roman" w:cs="Times New Roman"/>
          <w:b/>
          <w:bCs/>
          <w:sz w:val="24"/>
          <w:szCs w:val="24"/>
        </w:rPr>
        <w:t xml:space="preserve">dla Komisji Egzaminacyjnej </w:t>
      </w:r>
    </w:p>
    <w:p w:rsidR="00C56A93" w:rsidRPr="00F25B78" w:rsidRDefault="00C56A93" w:rsidP="00F25B78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5B78">
        <w:rPr>
          <w:rFonts w:ascii="Times New Roman" w:hAnsi="Times New Roman" w:cs="Times New Roman"/>
          <w:b/>
          <w:bCs/>
          <w:sz w:val="24"/>
          <w:szCs w:val="24"/>
        </w:rPr>
        <w:t xml:space="preserve">do zadania z zakresu prawa </w:t>
      </w:r>
      <w:r>
        <w:rPr>
          <w:rFonts w:ascii="Times New Roman" w:hAnsi="Times New Roman" w:cs="Times New Roman"/>
          <w:b/>
          <w:bCs/>
          <w:sz w:val="24"/>
          <w:szCs w:val="24"/>
        </w:rPr>
        <w:t>administracyjnego</w:t>
      </w:r>
    </w:p>
    <w:p w:rsidR="00C56A93" w:rsidRPr="00F25B78" w:rsidRDefault="00C56A93" w:rsidP="00F25B78">
      <w:pPr>
        <w:autoSpaceDE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egzamin radcowski - 21</w:t>
      </w:r>
      <w:r w:rsidRPr="00F25B78">
        <w:rPr>
          <w:rFonts w:ascii="Times New Roman" w:hAnsi="Times New Roman" w:cs="Times New Roman"/>
          <w:b/>
          <w:bCs/>
          <w:sz w:val="24"/>
          <w:szCs w:val="24"/>
        </w:rPr>
        <w:t xml:space="preserve"> marca 2014 r. </w:t>
      </w:r>
    </w:p>
    <w:p w:rsidR="00C56A93" w:rsidRPr="00F25B78" w:rsidRDefault="00C56A93" w:rsidP="00F46C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6A93" w:rsidRPr="00F25B78" w:rsidRDefault="00C56A93" w:rsidP="00D948E2">
      <w:pPr>
        <w:spacing w:before="24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25B78">
        <w:rPr>
          <w:rFonts w:ascii="Times New Roman" w:hAnsi="Times New Roman" w:cs="Times New Roman"/>
          <w:sz w:val="24"/>
          <w:szCs w:val="24"/>
        </w:rPr>
        <w:t xml:space="preserve">Zdaniem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F25B78">
        <w:rPr>
          <w:rFonts w:ascii="Times New Roman" w:hAnsi="Times New Roman" w:cs="Times New Roman"/>
          <w:sz w:val="24"/>
          <w:szCs w:val="24"/>
        </w:rPr>
        <w:t>espołu</w:t>
      </w:r>
      <w:r>
        <w:rPr>
          <w:rFonts w:ascii="Times New Roman" w:hAnsi="Times New Roman" w:cs="Times New Roman"/>
          <w:sz w:val="24"/>
          <w:szCs w:val="24"/>
        </w:rPr>
        <w:t xml:space="preserve"> do przygotowania zadań na egzamin radcowski</w:t>
      </w:r>
      <w:r w:rsidRPr="00F25B78">
        <w:rPr>
          <w:rFonts w:ascii="Times New Roman" w:hAnsi="Times New Roman" w:cs="Times New Roman"/>
          <w:sz w:val="24"/>
          <w:szCs w:val="24"/>
        </w:rPr>
        <w:t>, w niniejszej sprawie zdający powinien przygotować skargę do wojewódzkiego sądu administracyjnego. Przy oce</w:t>
      </w:r>
      <w:r>
        <w:rPr>
          <w:rFonts w:ascii="Times New Roman" w:hAnsi="Times New Roman" w:cs="Times New Roman"/>
          <w:sz w:val="24"/>
          <w:szCs w:val="24"/>
        </w:rPr>
        <w:t xml:space="preserve">nie rozwiązania zadania należy </w:t>
      </w:r>
      <w:r w:rsidRPr="00F25B78">
        <w:rPr>
          <w:rFonts w:ascii="Times New Roman" w:hAnsi="Times New Roman" w:cs="Times New Roman"/>
          <w:sz w:val="24"/>
          <w:szCs w:val="24"/>
        </w:rPr>
        <w:t>w szczególności zwrócić uwagę na następujące kwestie:</w:t>
      </w:r>
    </w:p>
    <w:p w:rsidR="00C56A93" w:rsidRPr="00F25B78" w:rsidRDefault="00C56A93" w:rsidP="002511CB">
      <w:pPr>
        <w:tabs>
          <w:tab w:val="left" w:pos="360"/>
        </w:tabs>
        <w:spacing w:line="324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C56A93" w:rsidRDefault="00C56A93" w:rsidP="002511CB">
      <w:pPr>
        <w:tabs>
          <w:tab w:val="left" w:pos="360"/>
        </w:tabs>
        <w:spacing w:line="324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25B78">
        <w:rPr>
          <w:rFonts w:ascii="Times New Roman" w:hAnsi="Times New Roman" w:cs="Times New Roman"/>
          <w:sz w:val="24"/>
          <w:szCs w:val="24"/>
        </w:rPr>
        <w:t>1.</w:t>
      </w:r>
      <w:r w:rsidRPr="00F25B78">
        <w:rPr>
          <w:rFonts w:ascii="Times New Roman" w:hAnsi="Times New Roman" w:cs="Times New Roman"/>
          <w:sz w:val="24"/>
          <w:szCs w:val="24"/>
        </w:rPr>
        <w:tab/>
        <w:t>Zdający powinien wnieść o zastosowanie art. 145 § 1 pkt 1 lit. a i c w zw. z art. 135 p.p.s.a., tj. o uchylenie w całości decyzji organów obu instancji z uwagi na naruszenie przepisów prawa materialnego, które miało wpływ na wynik sprawy oraz naruszenie przepisów postępowania, które mogło mieć istotny wpływ na wynik sprawy.</w:t>
      </w:r>
    </w:p>
    <w:p w:rsidR="00C56A93" w:rsidRPr="00F25B78" w:rsidRDefault="00C56A93" w:rsidP="002511CB">
      <w:pPr>
        <w:tabs>
          <w:tab w:val="left" w:pos="360"/>
        </w:tabs>
        <w:spacing w:line="324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C56A93" w:rsidRPr="00F25B78" w:rsidRDefault="00C56A93" w:rsidP="008E214A">
      <w:pPr>
        <w:tabs>
          <w:tab w:val="left" w:pos="360"/>
        </w:tabs>
        <w:spacing w:line="324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25B78">
        <w:rPr>
          <w:rFonts w:ascii="Times New Roman" w:hAnsi="Times New Roman" w:cs="Times New Roman"/>
          <w:sz w:val="24"/>
          <w:szCs w:val="24"/>
        </w:rPr>
        <w:t xml:space="preserve">2. W tak określonych granicach zaskarżenia </w:t>
      </w:r>
      <w:r>
        <w:rPr>
          <w:rFonts w:ascii="Times New Roman" w:hAnsi="Times New Roman" w:cs="Times New Roman"/>
          <w:sz w:val="24"/>
          <w:szCs w:val="24"/>
        </w:rPr>
        <w:t xml:space="preserve">celowe jest podniesienie </w:t>
      </w:r>
      <w:r w:rsidRPr="00F25B78">
        <w:rPr>
          <w:rFonts w:ascii="Times New Roman" w:hAnsi="Times New Roman" w:cs="Times New Roman"/>
          <w:sz w:val="24"/>
          <w:szCs w:val="24"/>
        </w:rPr>
        <w:t xml:space="preserve">w szczególności zarzutów naruszenia prawa materialnego: </w:t>
      </w:r>
    </w:p>
    <w:p w:rsidR="00C56A93" w:rsidRPr="00F25B78" w:rsidRDefault="00C56A93" w:rsidP="00B66FF8">
      <w:pPr>
        <w:pStyle w:val="ListParagraph"/>
        <w:numPr>
          <w:ilvl w:val="0"/>
          <w:numId w:val="1"/>
        </w:numPr>
        <w:tabs>
          <w:tab w:val="left" w:pos="360"/>
        </w:tabs>
        <w:spacing w:line="3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B78">
        <w:rPr>
          <w:rFonts w:ascii="Times New Roman" w:hAnsi="Times New Roman" w:cs="Times New Roman"/>
          <w:sz w:val="24"/>
          <w:szCs w:val="24"/>
        </w:rPr>
        <w:t>art. 30 ust. 6 pkt 1 w zw. z art. 30 ust. 1 pkt 3 i art. 28 ust. 1 ustawy - Prawo budowlane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25B78">
        <w:rPr>
          <w:rFonts w:ascii="Times New Roman" w:hAnsi="Times New Roman" w:cs="Times New Roman"/>
          <w:sz w:val="24"/>
          <w:szCs w:val="24"/>
        </w:rPr>
        <w:t xml:space="preserve"> przez błędne przyjęcie, że planowana budowa wymaga uzyskania ostatecznej decyzji o pozwoleniu na budowę, podczas gdy wystarczające było dokonanie zgłoszenia zamiaru wykonywania robót budowlanych</w:t>
      </w:r>
      <w:r>
        <w:rPr>
          <w:rFonts w:ascii="Times New Roman" w:hAnsi="Times New Roman" w:cs="Times New Roman"/>
          <w:sz w:val="24"/>
          <w:szCs w:val="24"/>
        </w:rPr>
        <w:t xml:space="preserve"> od strony drogi wewnętrznej ogólnodostępnej, będącej przez to innym miejscem publicznym</w:t>
      </w:r>
      <w:r w:rsidRPr="00F25B78">
        <w:rPr>
          <w:rFonts w:ascii="Times New Roman" w:hAnsi="Times New Roman" w:cs="Times New Roman"/>
          <w:sz w:val="24"/>
          <w:szCs w:val="24"/>
        </w:rPr>
        <w:t>,</w:t>
      </w:r>
    </w:p>
    <w:p w:rsidR="00C56A93" w:rsidRPr="00F25B78" w:rsidRDefault="00C56A93" w:rsidP="00B66FF8">
      <w:pPr>
        <w:pStyle w:val="ListParagraph"/>
        <w:numPr>
          <w:ilvl w:val="0"/>
          <w:numId w:val="1"/>
        </w:numPr>
        <w:tabs>
          <w:tab w:val="left" w:pos="360"/>
        </w:tabs>
        <w:spacing w:line="3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B78">
        <w:rPr>
          <w:rFonts w:ascii="Times New Roman" w:hAnsi="Times New Roman" w:cs="Times New Roman"/>
          <w:sz w:val="24"/>
          <w:szCs w:val="24"/>
        </w:rPr>
        <w:t>art. 30 ust. 6 pkt 1 w zw. z art. 30 ust. 2 ustawy - Prawo budowlane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25B78">
        <w:rPr>
          <w:rFonts w:ascii="Times New Roman" w:hAnsi="Times New Roman" w:cs="Times New Roman"/>
          <w:sz w:val="24"/>
          <w:szCs w:val="24"/>
        </w:rPr>
        <w:t xml:space="preserve"> przez błędne przyjęcie, że nieokreślenie w zgłoszeniu terminu rozpoczęcia robót budowlanych, </w:t>
      </w:r>
      <w:r w:rsidRPr="00F25B78">
        <w:rPr>
          <w:rFonts w:ascii="Times New Roman" w:hAnsi="Times New Roman" w:cs="Times New Roman"/>
          <w:sz w:val="24"/>
          <w:szCs w:val="24"/>
        </w:rPr>
        <w:br/>
        <w:t xml:space="preserve">w sytuacji, gdy organ zaniechał wezwania inwestora do uzupełnienia zgłoszenia </w:t>
      </w:r>
      <w:r w:rsidRPr="00F25B78">
        <w:rPr>
          <w:rFonts w:ascii="Times New Roman" w:hAnsi="Times New Roman" w:cs="Times New Roman"/>
          <w:sz w:val="24"/>
          <w:szCs w:val="24"/>
        </w:rPr>
        <w:br/>
        <w:t>w tym zakresie, daje podstawę do wniesienia sprzeciwu,</w:t>
      </w:r>
    </w:p>
    <w:p w:rsidR="00C56A93" w:rsidRPr="00F25B78" w:rsidRDefault="00C56A93" w:rsidP="00F94596">
      <w:pPr>
        <w:pStyle w:val="ListParagraph"/>
        <w:numPr>
          <w:ilvl w:val="0"/>
          <w:numId w:val="1"/>
        </w:numPr>
        <w:tabs>
          <w:tab w:val="left" w:pos="360"/>
        </w:tabs>
        <w:spacing w:line="3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B78">
        <w:rPr>
          <w:rFonts w:ascii="Times New Roman" w:hAnsi="Times New Roman" w:cs="Times New Roman"/>
          <w:sz w:val="24"/>
          <w:szCs w:val="24"/>
        </w:rPr>
        <w:t>art. 30 ust. 6 pkt 1 ustawy - Prawo budowlane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25B78">
        <w:rPr>
          <w:rFonts w:ascii="Times New Roman" w:hAnsi="Times New Roman" w:cs="Times New Roman"/>
          <w:sz w:val="24"/>
          <w:szCs w:val="24"/>
        </w:rPr>
        <w:t xml:space="preserve"> przez błędne zastosowanie, jako że stan faktyczny ustalony w sprawie został błędnie uznany za odpowiadający stanowi hipotetycznemu przewidzianemu w tej normie prawnej,</w:t>
      </w:r>
    </w:p>
    <w:p w:rsidR="00C56A93" w:rsidRPr="00F25B78" w:rsidRDefault="00C56A93" w:rsidP="00F94596">
      <w:pPr>
        <w:pStyle w:val="ListParagraph"/>
        <w:numPr>
          <w:ilvl w:val="0"/>
          <w:numId w:val="1"/>
        </w:numPr>
        <w:tabs>
          <w:tab w:val="left" w:pos="360"/>
        </w:tabs>
        <w:spacing w:line="3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B78">
        <w:rPr>
          <w:rFonts w:ascii="Times New Roman" w:hAnsi="Times New Roman" w:cs="Times New Roman"/>
          <w:sz w:val="24"/>
          <w:szCs w:val="24"/>
        </w:rPr>
        <w:t>art. 30 ust. 7 pkt 1 ustawy - Prawo budowlane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25B78">
        <w:rPr>
          <w:rFonts w:ascii="Times New Roman" w:hAnsi="Times New Roman" w:cs="Times New Roman"/>
          <w:sz w:val="24"/>
          <w:szCs w:val="24"/>
        </w:rPr>
        <w:t xml:space="preserve"> w zw. z § 41 ust. </w:t>
      </w:r>
      <w:r>
        <w:rPr>
          <w:rFonts w:ascii="Times New Roman" w:hAnsi="Times New Roman" w:cs="Times New Roman"/>
          <w:sz w:val="24"/>
          <w:szCs w:val="24"/>
        </w:rPr>
        <w:t xml:space="preserve">1 i </w:t>
      </w:r>
      <w:r w:rsidRPr="00F25B78">
        <w:rPr>
          <w:rFonts w:ascii="Times New Roman" w:hAnsi="Times New Roman" w:cs="Times New Roman"/>
          <w:sz w:val="24"/>
          <w:szCs w:val="24"/>
        </w:rPr>
        <w:t>2 rozporządzenia Ministra Infrastruktury z dnia 12 kwietnia 2002 r. w sprawie warunków technicznych, jakim powinny odpowiadać budynki i ich usytuowanie (Dz. U. Nr 75, poz. 690</w:t>
      </w:r>
      <w:r>
        <w:rPr>
          <w:rFonts w:ascii="Times New Roman" w:hAnsi="Times New Roman" w:cs="Times New Roman"/>
          <w:sz w:val="24"/>
          <w:szCs w:val="24"/>
        </w:rPr>
        <w:t>, z późn.</w:t>
      </w:r>
      <w:r w:rsidRPr="00F25B78">
        <w:rPr>
          <w:rFonts w:ascii="Times New Roman" w:hAnsi="Times New Roman" w:cs="Times New Roman"/>
          <w:sz w:val="24"/>
          <w:szCs w:val="24"/>
        </w:rPr>
        <w:t xml:space="preserve"> zm.)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25B78">
        <w:rPr>
          <w:rFonts w:ascii="Times New Roman" w:hAnsi="Times New Roman" w:cs="Times New Roman"/>
          <w:sz w:val="24"/>
          <w:szCs w:val="24"/>
        </w:rPr>
        <w:t xml:space="preserve"> przez błędne przyjęcie, że w sytuacji budow</w:t>
      </w:r>
      <w:r>
        <w:rPr>
          <w:rFonts w:ascii="Times New Roman" w:hAnsi="Times New Roman" w:cs="Times New Roman"/>
          <w:sz w:val="24"/>
          <w:szCs w:val="24"/>
        </w:rPr>
        <w:t xml:space="preserve">y ogrodzenia o wysokości 2,20 m </w:t>
      </w:r>
      <w:r w:rsidRPr="00F25B78">
        <w:rPr>
          <w:rFonts w:ascii="Times New Roman" w:hAnsi="Times New Roman" w:cs="Times New Roman"/>
          <w:sz w:val="24"/>
          <w:szCs w:val="24"/>
        </w:rPr>
        <w:t xml:space="preserve">i umieszczenie na wysokości </w:t>
      </w:r>
      <w:smartTag w:uri="urn:schemas-microsoft-com:office:smarttags" w:element="metricconverter">
        <w:smartTagPr>
          <w:attr w:name="ProductID" w:val="2,10 m"/>
        </w:smartTagPr>
        <w:r w:rsidRPr="00F25B78">
          <w:rPr>
            <w:rFonts w:ascii="Times New Roman" w:hAnsi="Times New Roman" w:cs="Times New Roman"/>
            <w:sz w:val="24"/>
            <w:szCs w:val="24"/>
          </w:rPr>
          <w:t>2,10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F25B78">
          <w:rPr>
            <w:rFonts w:ascii="Times New Roman" w:hAnsi="Times New Roman" w:cs="Times New Roman"/>
            <w:sz w:val="24"/>
            <w:szCs w:val="24"/>
          </w:rPr>
          <w:t>m</w:t>
        </w:r>
      </w:smartTag>
      <w:r w:rsidRPr="00F25B78">
        <w:rPr>
          <w:rFonts w:ascii="Times New Roman" w:hAnsi="Times New Roman" w:cs="Times New Roman"/>
          <w:sz w:val="24"/>
          <w:szCs w:val="24"/>
        </w:rPr>
        <w:t xml:space="preserve"> ostro zakończonych elementów może spowodować zagrożenie bezpieczeństwa ludzi lub mienia,</w:t>
      </w:r>
    </w:p>
    <w:p w:rsidR="00C56A93" w:rsidRDefault="00C56A93" w:rsidP="00F94596">
      <w:pPr>
        <w:pStyle w:val="ListParagraph"/>
        <w:numPr>
          <w:ilvl w:val="0"/>
          <w:numId w:val="1"/>
        </w:numPr>
        <w:tabs>
          <w:tab w:val="left" w:pos="360"/>
        </w:tabs>
        <w:spacing w:line="3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B78">
        <w:rPr>
          <w:rFonts w:ascii="Times New Roman" w:hAnsi="Times New Roman" w:cs="Times New Roman"/>
          <w:sz w:val="24"/>
          <w:szCs w:val="24"/>
        </w:rPr>
        <w:t>art. 30 ust. 7 pkt 1 ustawy - Prawo budowlane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25B78">
        <w:rPr>
          <w:rFonts w:ascii="Times New Roman" w:hAnsi="Times New Roman" w:cs="Times New Roman"/>
          <w:sz w:val="24"/>
          <w:szCs w:val="24"/>
        </w:rPr>
        <w:t xml:space="preserve"> przez błędne przyjęcie, że wykonanie ogrodzenia, któ</w:t>
      </w:r>
      <w:r>
        <w:rPr>
          <w:rFonts w:ascii="Times New Roman" w:hAnsi="Times New Roman" w:cs="Times New Roman"/>
          <w:sz w:val="24"/>
          <w:szCs w:val="24"/>
        </w:rPr>
        <w:t>rego realizacja może spowodować</w:t>
      </w:r>
      <w:r w:rsidRPr="00F25B78">
        <w:rPr>
          <w:rFonts w:ascii="Times New Roman" w:hAnsi="Times New Roman" w:cs="Times New Roman"/>
          <w:sz w:val="24"/>
          <w:szCs w:val="24"/>
        </w:rPr>
        <w:t xml:space="preserve"> zagrożenie bezpieczeństwa ludzi lub mienia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25B78">
        <w:rPr>
          <w:rFonts w:ascii="Times New Roman" w:hAnsi="Times New Roman" w:cs="Times New Roman"/>
          <w:sz w:val="24"/>
          <w:szCs w:val="24"/>
        </w:rPr>
        <w:t xml:space="preserve"> daje podstawę do wniesienia sprzeciwu, podczas gdy sytuacja taka uprawnia właściwy organ do nałożenia w decyzji o sprzeciwie obowiązku uzyskania pozwolenia na wykonanie robót budowlanych.</w:t>
      </w:r>
    </w:p>
    <w:p w:rsidR="00C56A93" w:rsidRPr="00F25B78" w:rsidRDefault="00C56A93" w:rsidP="004C072F">
      <w:pPr>
        <w:pStyle w:val="ListParagraph"/>
        <w:tabs>
          <w:tab w:val="left" w:pos="360"/>
        </w:tabs>
        <w:spacing w:line="324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56A93" w:rsidRPr="00F25B78" w:rsidRDefault="00C56A93" w:rsidP="00F25B78">
      <w:pPr>
        <w:tabs>
          <w:tab w:val="left" w:pos="360"/>
        </w:tabs>
        <w:spacing w:line="324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25B78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ab/>
      </w:r>
      <w:r w:rsidRPr="00F25B78">
        <w:rPr>
          <w:rFonts w:ascii="Times New Roman" w:hAnsi="Times New Roman" w:cs="Times New Roman"/>
          <w:sz w:val="24"/>
          <w:szCs w:val="24"/>
        </w:rPr>
        <w:t xml:space="preserve">Wydaje się </w:t>
      </w:r>
      <w:r>
        <w:rPr>
          <w:rFonts w:ascii="Times New Roman" w:hAnsi="Times New Roman" w:cs="Times New Roman"/>
          <w:sz w:val="24"/>
          <w:szCs w:val="24"/>
        </w:rPr>
        <w:t>możliwym</w:t>
      </w:r>
      <w:r w:rsidRPr="00F25B78">
        <w:rPr>
          <w:rFonts w:ascii="Times New Roman" w:hAnsi="Times New Roman" w:cs="Times New Roman"/>
          <w:sz w:val="24"/>
          <w:szCs w:val="24"/>
        </w:rPr>
        <w:t xml:space="preserve"> podniesienie </w:t>
      </w:r>
      <w:r>
        <w:rPr>
          <w:rFonts w:ascii="Times New Roman" w:hAnsi="Times New Roman" w:cs="Times New Roman"/>
          <w:sz w:val="24"/>
          <w:szCs w:val="24"/>
        </w:rPr>
        <w:t>nadto</w:t>
      </w:r>
      <w:r w:rsidRPr="00F25B78">
        <w:rPr>
          <w:rFonts w:ascii="Times New Roman" w:hAnsi="Times New Roman" w:cs="Times New Roman"/>
          <w:sz w:val="24"/>
          <w:szCs w:val="24"/>
        </w:rPr>
        <w:t xml:space="preserve"> zarzutów naruszenia przepisów postępowania administracyjnego, </w:t>
      </w:r>
      <w:r>
        <w:rPr>
          <w:rFonts w:ascii="Times New Roman" w:hAnsi="Times New Roman" w:cs="Times New Roman"/>
          <w:sz w:val="24"/>
          <w:szCs w:val="24"/>
        </w:rPr>
        <w:t xml:space="preserve">choć wymagane będzie wówczas wykazanie istotnego wpływu tych naruszeń na wynik sprawy, </w:t>
      </w:r>
      <w:r w:rsidRPr="00F25B78">
        <w:rPr>
          <w:rFonts w:ascii="Times New Roman" w:hAnsi="Times New Roman" w:cs="Times New Roman"/>
          <w:sz w:val="24"/>
          <w:szCs w:val="24"/>
        </w:rPr>
        <w:t xml:space="preserve">w szczególności: </w:t>
      </w:r>
    </w:p>
    <w:p w:rsidR="00C56A93" w:rsidRPr="00F25B78" w:rsidRDefault="00C56A93" w:rsidP="00F25B78">
      <w:pPr>
        <w:tabs>
          <w:tab w:val="left" w:pos="360"/>
          <w:tab w:val="left" w:pos="720"/>
        </w:tabs>
        <w:spacing w:line="324" w:lineRule="auto"/>
        <w:ind w:left="708" w:hanging="348"/>
        <w:jc w:val="both"/>
        <w:rPr>
          <w:rFonts w:ascii="Times New Roman" w:hAnsi="Times New Roman" w:cs="Times New Roman"/>
          <w:sz w:val="24"/>
          <w:szCs w:val="24"/>
        </w:rPr>
      </w:pPr>
      <w:r w:rsidRPr="00F25B78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ab/>
      </w:r>
      <w:r w:rsidRPr="00F25B78">
        <w:rPr>
          <w:rFonts w:ascii="Times New Roman" w:hAnsi="Times New Roman" w:cs="Times New Roman"/>
          <w:sz w:val="24"/>
          <w:szCs w:val="24"/>
        </w:rPr>
        <w:t xml:space="preserve">art. 6-8, 10 § 1 i 81 k.p.a. (nie umożliwiono skarżącemu wypowiedzenia się co do zebranych dowodów i materiałów), </w:t>
      </w:r>
    </w:p>
    <w:p w:rsidR="00C56A93" w:rsidRDefault="00C56A93" w:rsidP="00F25B78">
      <w:pPr>
        <w:tabs>
          <w:tab w:val="left" w:pos="360"/>
          <w:tab w:val="left" w:pos="720"/>
        </w:tabs>
        <w:spacing w:line="324" w:lineRule="auto"/>
        <w:ind w:left="708" w:hanging="348"/>
        <w:jc w:val="both"/>
        <w:rPr>
          <w:rFonts w:ascii="Times New Roman" w:hAnsi="Times New Roman" w:cs="Times New Roman"/>
          <w:sz w:val="24"/>
          <w:szCs w:val="24"/>
        </w:rPr>
      </w:pPr>
      <w:r w:rsidRPr="00F25B78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</w:r>
      <w:r w:rsidRPr="00F25B78">
        <w:rPr>
          <w:rFonts w:ascii="Times New Roman" w:hAnsi="Times New Roman" w:cs="Times New Roman"/>
          <w:sz w:val="24"/>
          <w:szCs w:val="24"/>
        </w:rPr>
        <w:t xml:space="preserve">art. 138 § 1 pkt 1 k.p.a. - organ odwoławczy błędnie utrzymał decyzję organu I </w:t>
      </w:r>
      <w:r>
        <w:rPr>
          <w:rFonts w:ascii="Times New Roman" w:hAnsi="Times New Roman" w:cs="Times New Roman"/>
          <w:sz w:val="24"/>
          <w:szCs w:val="24"/>
        </w:rPr>
        <w:t xml:space="preserve">instancji </w:t>
      </w:r>
      <w:r w:rsidRPr="00F25B78">
        <w:rPr>
          <w:rFonts w:ascii="Times New Roman" w:hAnsi="Times New Roman" w:cs="Times New Roman"/>
          <w:sz w:val="24"/>
          <w:szCs w:val="24"/>
        </w:rPr>
        <w:t>w mocy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25B78">
        <w:rPr>
          <w:rFonts w:ascii="Times New Roman" w:hAnsi="Times New Roman" w:cs="Times New Roman"/>
          <w:sz w:val="24"/>
          <w:szCs w:val="24"/>
        </w:rPr>
        <w:t xml:space="preserve"> jego obowiązkiem było</w:t>
      </w:r>
      <w:r>
        <w:rPr>
          <w:rFonts w:ascii="Times New Roman" w:hAnsi="Times New Roman" w:cs="Times New Roman"/>
          <w:sz w:val="24"/>
          <w:szCs w:val="24"/>
        </w:rPr>
        <w:t>, gdyby właściwie interpretował prawo materialne,</w:t>
      </w:r>
      <w:r w:rsidRPr="00F25B78">
        <w:rPr>
          <w:rFonts w:ascii="Times New Roman" w:hAnsi="Times New Roman" w:cs="Times New Roman"/>
          <w:sz w:val="24"/>
          <w:szCs w:val="24"/>
        </w:rPr>
        <w:t xml:space="preserve"> zastosowanie art. 138 § 1 pkt 2 k.p.a. (Wojewoda Małopolski powinien uchylić zaskarżoną decyzję i umorzyć postępowanie pierwszej instancji w całości</w:t>
      </w:r>
      <w:r>
        <w:rPr>
          <w:rFonts w:ascii="Times New Roman" w:hAnsi="Times New Roman" w:cs="Times New Roman"/>
          <w:sz w:val="24"/>
          <w:szCs w:val="24"/>
        </w:rPr>
        <w:t xml:space="preserve">, a to z uwagi na to, że 30-dniowy termin do wniesienia sprzeciwu jest terminem prawa materialnego </w:t>
      </w:r>
      <w:r w:rsidRPr="00FA7D46">
        <w:rPr>
          <w:rFonts w:ascii="Times New Roman" w:hAnsi="Times New Roman" w:cs="Times New Roman"/>
          <w:sz w:val="24"/>
          <w:szCs w:val="24"/>
        </w:rPr>
        <w:t>i nawet w sytuacji uchylenia decyzji o sprzeciwie przez organ odwoławczy i przekazania sprawy do ponownego rozpatrzenia organowi I instancji, termin ten nie mógłby już być reaktywowany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B7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B78">
        <w:rPr>
          <w:rFonts w:ascii="Times New Roman" w:hAnsi="Times New Roman" w:cs="Times New Roman"/>
          <w:sz w:val="24"/>
          <w:szCs w:val="24"/>
        </w:rPr>
        <w:t>vide</w:t>
      </w:r>
      <w:r>
        <w:rPr>
          <w:rFonts w:ascii="Times New Roman" w:hAnsi="Times New Roman" w:cs="Times New Roman"/>
          <w:sz w:val="24"/>
          <w:szCs w:val="24"/>
        </w:rPr>
        <w:t xml:space="preserve"> przykładowo</w:t>
      </w:r>
      <w:r w:rsidRPr="00F25B78">
        <w:rPr>
          <w:rFonts w:ascii="Times New Roman" w:hAnsi="Times New Roman" w:cs="Times New Roman"/>
          <w:sz w:val="24"/>
          <w:szCs w:val="24"/>
        </w:rPr>
        <w:t xml:space="preserve"> wyroki NSA: II OSK 724/08,</w:t>
      </w:r>
      <w:r>
        <w:rPr>
          <w:rFonts w:ascii="Times New Roman" w:hAnsi="Times New Roman" w:cs="Times New Roman"/>
          <w:sz w:val="24"/>
          <w:szCs w:val="24"/>
        </w:rPr>
        <w:t xml:space="preserve"> ONSAiWSA 2011/2/26</w:t>
      </w:r>
      <w:r w:rsidRPr="00F25B7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6A93" w:rsidRPr="00F25B78" w:rsidRDefault="00C56A93" w:rsidP="00F25B78">
      <w:pPr>
        <w:tabs>
          <w:tab w:val="left" w:pos="360"/>
          <w:tab w:val="left" w:pos="720"/>
        </w:tabs>
        <w:spacing w:line="324" w:lineRule="auto"/>
        <w:ind w:left="708" w:hanging="348"/>
        <w:jc w:val="both"/>
        <w:rPr>
          <w:rFonts w:ascii="Times New Roman" w:hAnsi="Times New Roman" w:cs="Times New Roman"/>
          <w:sz w:val="24"/>
          <w:szCs w:val="24"/>
        </w:rPr>
      </w:pPr>
    </w:p>
    <w:p w:rsidR="00C56A93" w:rsidRDefault="00C56A93" w:rsidP="004C072F">
      <w:pPr>
        <w:tabs>
          <w:tab w:val="left" w:pos="0"/>
        </w:tabs>
        <w:spacing w:line="324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25B78">
        <w:rPr>
          <w:rFonts w:ascii="Times New Roman" w:hAnsi="Times New Roman" w:cs="Times New Roman"/>
          <w:sz w:val="24"/>
          <w:szCs w:val="24"/>
        </w:rPr>
        <w:t>4. W żądaniu skargi powinien być zawarty wniosek o zasądzenie na rzecz skarżącego kosztów postępowania (na podstawie art. 200 i 205 § 2 p.p.s.a.), w tym zwrotu kosztów zastępstwa procesowego według norm przepisanych.</w:t>
      </w:r>
    </w:p>
    <w:p w:rsidR="00C56A93" w:rsidRPr="00F25B78" w:rsidRDefault="00C56A93" w:rsidP="004C072F">
      <w:pPr>
        <w:tabs>
          <w:tab w:val="left" w:pos="0"/>
        </w:tabs>
        <w:spacing w:line="324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C56A93" w:rsidRPr="00F25B78" w:rsidRDefault="00C56A93" w:rsidP="00F25B78">
      <w:pPr>
        <w:tabs>
          <w:tab w:val="left" w:pos="0"/>
          <w:tab w:val="left" w:pos="360"/>
        </w:tabs>
        <w:spacing w:line="3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B78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ab/>
        <w:t xml:space="preserve">Nie powinny zasługiwać na aprobatę </w:t>
      </w:r>
      <w:r w:rsidRPr="00F25B78">
        <w:rPr>
          <w:rFonts w:ascii="Times New Roman" w:hAnsi="Times New Roman" w:cs="Times New Roman"/>
          <w:sz w:val="24"/>
          <w:szCs w:val="24"/>
        </w:rPr>
        <w:t>ewentualnie zap</w:t>
      </w:r>
      <w:r>
        <w:rPr>
          <w:rFonts w:ascii="Times New Roman" w:hAnsi="Times New Roman" w:cs="Times New Roman"/>
          <w:sz w:val="24"/>
          <w:szCs w:val="24"/>
        </w:rPr>
        <w:t xml:space="preserve">rezentowane w skardze poglądy, </w:t>
      </w:r>
      <w:r w:rsidRPr="00F25B78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25B78">
        <w:rPr>
          <w:rFonts w:ascii="Times New Roman" w:hAnsi="Times New Roman" w:cs="Times New Roman"/>
          <w:sz w:val="24"/>
          <w:szCs w:val="24"/>
        </w:rPr>
        <w:t>:</w:t>
      </w:r>
    </w:p>
    <w:p w:rsidR="00C56A93" w:rsidRPr="00F25B78" w:rsidRDefault="00C56A93" w:rsidP="00F25B78">
      <w:pPr>
        <w:tabs>
          <w:tab w:val="left" w:pos="0"/>
          <w:tab w:val="left" w:pos="360"/>
          <w:tab w:val="left" w:pos="720"/>
        </w:tabs>
        <w:spacing w:line="324" w:lineRule="auto"/>
        <w:ind w:left="708" w:hanging="348"/>
        <w:jc w:val="both"/>
        <w:rPr>
          <w:rFonts w:ascii="Times New Roman" w:hAnsi="Times New Roman" w:cs="Times New Roman"/>
          <w:sz w:val="24"/>
          <w:szCs w:val="24"/>
        </w:rPr>
      </w:pPr>
      <w:r w:rsidRPr="00F25B78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ab/>
      </w:r>
      <w:r w:rsidRPr="00F25B78">
        <w:rPr>
          <w:rFonts w:ascii="Times New Roman" w:hAnsi="Times New Roman" w:cs="Times New Roman"/>
          <w:sz w:val="24"/>
          <w:szCs w:val="24"/>
        </w:rPr>
        <w:t>organ uchybił terminowi do wniesienia sprzeciwu-vide</w:t>
      </w:r>
      <w:r>
        <w:rPr>
          <w:rFonts w:ascii="Times New Roman" w:hAnsi="Times New Roman" w:cs="Times New Roman"/>
          <w:sz w:val="24"/>
          <w:szCs w:val="24"/>
        </w:rPr>
        <w:t xml:space="preserve"> przykładowo:</w:t>
      </w:r>
      <w:r w:rsidRPr="00F25B78">
        <w:rPr>
          <w:rFonts w:ascii="Times New Roman" w:hAnsi="Times New Roman" w:cs="Times New Roman"/>
          <w:sz w:val="24"/>
          <w:szCs w:val="24"/>
        </w:rPr>
        <w:t xml:space="preserve"> II OSK 956/05,</w:t>
      </w:r>
      <w:r>
        <w:rPr>
          <w:rFonts w:ascii="Times New Roman" w:hAnsi="Times New Roman" w:cs="Times New Roman"/>
          <w:sz w:val="24"/>
          <w:szCs w:val="24"/>
        </w:rPr>
        <w:t xml:space="preserve"> ONSAiWSA 2007/1/12;</w:t>
      </w:r>
      <w:r w:rsidRPr="00F25B78">
        <w:rPr>
          <w:rFonts w:ascii="Times New Roman" w:hAnsi="Times New Roman" w:cs="Times New Roman"/>
          <w:sz w:val="24"/>
          <w:szCs w:val="24"/>
        </w:rPr>
        <w:t xml:space="preserve"> II OSK 574/08,</w:t>
      </w:r>
      <w:r>
        <w:rPr>
          <w:rFonts w:ascii="Times New Roman" w:hAnsi="Times New Roman" w:cs="Times New Roman"/>
          <w:sz w:val="24"/>
          <w:szCs w:val="24"/>
        </w:rPr>
        <w:t xml:space="preserve"> Lex Polonica 3036461,</w:t>
      </w:r>
    </w:p>
    <w:p w:rsidR="00C56A93" w:rsidRDefault="00C56A93" w:rsidP="00F25B78">
      <w:pPr>
        <w:tabs>
          <w:tab w:val="left" w:pos="0"/>
          <w:tab w:val="left" w:pos="360"/>
          <w:tab w:val="left" w:pos="720"/>
        </w:tabs>
        <w:spacing w:line="324" w:lineRule="auto"/>
        <w:ind w:left="708" w:hanging="348"/>
        <w:jc w:val="both"/>
        <w:rPr>
          <w:rFonts w:ascii="Times New Roman" w:hAnsi="Times New Roman" w:cs="Times New Roman"/>
          <w:sz w:val="24"/>
          <w:szCs w:val="24"/>
        </w:rPr>
      </w:pPr>
      <w:r w:rsidRPr="00F25B78">
        <w:rPr>
          <w:rFonts w:ascii="Times New Roman" w:hAnsi="Times New Roman" w:cs="Times New Roman"/>
          <w:sz w:val="24"/>
          <w:szCs w:val="24"/>
        </w:rPr>
        <w:t>b) roboty polegające na budowie ogrodzenia od strony drogi wewnętrznej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25B78">
        <w:rPr>
          <w:rFonts w:ascii="Times New Roman" w:hAnsi="Times New Roman" w:cs="Times New Roman"/>
          <w:sz w:val="24"/>
          <w:szCs w:val="24"/>
        </w:rPr>
        <w:t xml:space="preserve"> ale ogólnodostępnej nie wymagają zgłoszenia-vide</w:t>
      </w:r>
      <w:r>
        <w:rPr>
          <w:rFonts w:ascii="Times New Roman" w:hAnsi="Times New Roman" w:cs="Times New Roman"/>
          <w:sz w:val="24"/>
          <w:szCs w:val="24"/>
        </w:rPr>
        <w:t xml:space="preserve"> przykładowo: II OSK 643/06, Lex Polonica 2154549; II OSK 1593/06, Lex Polonica 2581473,</w:t>
      </w:r>
    </w:p>
    <w:p w:rsidR="00C56A93" w:rsidRPr="00F25B78" w:rsidRDefault="00C56A93" w:rsidP="0052472E">
      <w:pPr>
        <w:tabs>
          <w:tab w:val="left" w:pos="0"/>
          <w:tab w:val="left" w:pos="360"/>
          <w:tab w:val="left" w:pos="720"/>
        </w:tabs>
        <w:spacing w:line="324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 </w:t>
      </w:r>
      <w:r>
        <w:rPr>
          <w:rFonts w:ascii="Times New Roman" w:hAnsi="Times New Roman" w:cs="Times New Roman"/>
          <w:sz w:val="24"/>
          <w:szCs w:val="24"/>
        </w:rPr>
        <w:tab/>
        <w:t>z uwagi na treść art. 29 ust. 1 pkt 23 ustawy - Prawo budowlane, na inwestorze w tej konkretnej sprawie, nie spoczywał obowiązek dokonania zgłoszenia budowy ogrodzenia od strony drogi.</w:t>
      </w:r>
    </w:p>
    <w:p w:rsidR="00C56A93" w:rsidRPr="00F25B78" w:rsidRDefault="00C56A93" w:rsidP="00F46C46">
      <w:pPr>
        <w:rPr>
          <w:rFonts w:ascii="Times New Roman" w:hAnsi="Times New Roman" w:cs="Times New Roman"/>
          <w:sz w:val="24"/>
          <w:szCs w:val="24"/>
        </w:rPr>
      </w:pPr>
    </w:p>
    <w:p w:rsidR="00C56A93" w:rsidRPr="00F25B78" w:rsidRDefault="00C56A93">
      <w:pPr>
        <w:rPr>
          <w:rFonts w:ascii="Times New Roman" w:hAnsi="Times New Roman" w:cs="Times New Roman"/>
          <w:sz w:val="24"/>
          <w:szCs w:val="24"/>
        </w:rPr>
      </w:pPr>
    </w:p>
    <w:sectPr w:rsidR="00C56A93" w:rsidRPr="00F25B78" w:rsidSect="00101825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A93" w:rsidRDefault="00C56A93" w:rsidP="0010182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56A93" w:rsidRDefault="00C56A93" w:rsidP="0010182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A93" w:rsidRDefault="00C56A93" w:rsidP="00625DC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56A93" w:rsidRDefault="00C56A9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A93" w:rsidRPr="004B5100" w:rsidRDefault="00C56A93" w:rsidP="00625DCA">
    <w:pPr>
      <w:pStyle w:val="Footer"/>
      <w:framePr w:wrap="around" w:vAnchor="text" w:hAnchor="margin" w:xAlign="center" w:y="1"/>
      <w:rPr>
        <w:rStyle w:val="PageNumber"/>
        <w:rFonts w:ascii="Times New Roman" w:hAnsi="Times New Roman"/>
      </w:rPr>
    </w:pPr>
    <w:r w:rsidRPr="004B5100">
      <w:rPr>
        <w:rStyle w:val="PageNumber"/>
        <w:rFonts w:ascii="Times New Roman" w:hAnsi="Times New Roman"/>
      </w:rPr>
      <w:fldChar w:fldCharType="begin"/>
    </w:r>
    <w:r w:rsidRPr="004B5100">
      <w:rPr>
        <w:rStyle w:val="PageNumber"/>
        <w:rFonts w:ascii="Times New Roman" w:hAnsi="Times New Roman"/>
      </w:rPr>
      <w:instrText xml:space="preserve">PAGE  </w:instrText>
    </w:r>
    <w:r w:rsidRPr="004B5100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1</w:t>
    </w:r>
    <w:r w:rsidRPr="004B5100">
      <w:rPr>
        <w:rStyle w:val="PageNumber"/>
        <w:rFonts w:ascii="Times New Roman" w:hAnsi="Times New Roman"/>
      </w:rPr>
      <w:fldChar w:fldCharType="end"/>
    </w:r>
  </w:p>
  <w:p w:rsidR="00C56A93" w:rsidRDefault="00C56A93" w:rsidP="009C2F7F">
    <w:pPr>
      <w:pStyle w:val="Footer"/>
      <w:ind w:right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A93" w:rsidRDefault="00C56A93" w:rsidP="0010182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56A93" w:rsidRDefault="00C56A93" w:rsidP="0010182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53F18"/>
    <w:multiLevelType w:val="hybridMultilevel"/>
    <w:tmpl w:val="D2E2E7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6C46"/>
    <w:rsid w:val="000733BF"/>
    <w:rsid w:val="000816F7"/>
    <w:rsid w:val="00087EE8"/>
    <w:rsid w:val="000B15A9"/>
    <w:rsid w:val="000C2E45"/>
    <w:rsid w:val="00101825"/>
    <w:rsid w:val="0013264F"/>
    <w:rsid w:val="00150796"/>
    <w:rsid w:val="00153FB1"/>
    <w:rsid w:val="00167E45"/>
    <w:rsid w:val="00173914"/>
    <w:rsid w:val="00174FA5"/>
    <w:rsid w:val="001C4A0A"/>
    <w:rsid w:val="001D325E"/>
    <w:rsid w:val="001F6887"/>
    <w:rsid w:val="00207511"/>
    <w:rsid w:val="002317C6"/>
    <w:rsid w:val="002478FF"/>
    <w:rsid w:val="002511CB"/>
    <w:rsid w:val="002829BF"/>
    <w:rsid w:val="002965EF"/>
    <w:rsid w:val="002B5ACE"/>
    <w:rsid w:val="002B61D6"/>
    <w:rsid w:val="00345F61"/>
    <w:rsid w:val="0034701E"/>
    <w:rsid w:val="003763D5"/>
    <w:rsid w:val="003B5853"/>
    <w:rsid w:val="003D128D"/>
    <w:rsid w:val="00401171"/>
    <w:rsid w:val="0045533F"/>
    <w:rsid w:val="00487170"/>
    <w:rsid w:val="004920C7"/>
    <w:rsid w:val="004B5100"/>
    <w:rsid w:val="004C072F"/>
    <w:rsid w:val="00500364"/>
    <w:rsid w:val="00514461"/>
    <w:rsid w:val="0052472E"/>
    <w:rsid w:val="00543F59"/>
    <w:rsid w:val="00554ECF"/>
    <w:rsid w:val="005A4E1C"/>
    <w:rsid w:val="005B3A77"/>
    <w:rsid w:val="005B6618"/>
    <w:rsid w:val="005D1A2C"/>
    <w:rsid w:val="005E79A1"/>
    <w:rsid w:val="005F24C4"/>
    <w:rsid w:val="00616D87"/>
    <w:rsid w:val="00625DCA"/>
    <w:rsid w:val="00641020"/>
    <w:rsid w:val="00646321"/>
    <w:rsid w:val="006657CC"/>
    <w:rsid w:val="00672DEE"/>
    <w:rsid w:val="007537F4"/>
    <w:rsid w:val="007840D6"/>
    <w:rsid w:val="008403AD"/>
    <w:rsid w:val="008E214A"/>
    <w:rsid w:val="008F20AA"/>
    <w:rsid w:val="008F6B55"/>
    <w:rsid w:val="00913DF5"/>
    <w:rsid w:val="009C2F7F"/>
    <w:rsid w:val="009D487B"/>
    <w:rsid w:val="00A641E2"/>
    <w:rsid w:val="00A659A1"/>
    <w:rsid w:val="00A80234"/>
    <w:rsid w:val="00AC6408"/>
    <w:rsid w:val="00AD79B0"/>
    <w:rsid w:val="00B66FF8"/>
    <w:rsid w:val="00B715CF"/>
    <w:rsid w:val="00B72375"/>
    <w:rsid w:val="00B813DF"/>
    <w:rsid w:val="00BB2869"/>
    <w:rsid w:val="00BB42CD"/>
    <w:rsid w:val="00C36854"/>
    <w:rsid w:val="00C5522C"/>
    <w:rsid w:val="00C56A93"/>
    <w:rsid w:val="00C70D47"/>
    <w:rsid w:val="00C76192"/>
    <w:rsid w:val="00C97BF9"/>
    <w:rsid w:val="00CD1204"/>
    <w:rsid w:val="00CD281B"/>
    <w:rsid w:val="00CD6704"/>
    <w:rsid w:val="00CE0267"/>
    <w:rsid w:val="00CE079E"/>
    <w:rsid w:val="00CE11D4"/>
    <w:rsid w:val="00D54B31"/>
    <w:rsid w:val="00D769CD"/>
    <w:rsid w:val="00D85895"/>
    <w:rsid w:val="00D948E2"/>
    <w:rsid w:val="00DB626F"/>
    <w:rsid w:val="00E330C8"/>
    <w:rsid w:val="00E5294E"/>
    <w:rsid w:val="00E57480"/>
    <w:rsid w:val="00F06C85"/>
    <w:rsid w:val="00F11511"/>
    <w:rsid w:val="00F25B78"/>
    <w:rsid w:val="00F3093E"/>
    <w:rsid w:val="00F46C46"/>
    <w:rsid w:val="00F94596"/>
    <w:rsid w:val="00FA118C"/>
    <w:rsid w:val="00FA7D46"/>
    <w:rsid w:val="00FB5605"/>
    <w:rsid w:val="00FB7970"/>
    <w:rsid w:val="00FF0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C46"/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46C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46C46"/>
    <w:rPr>
      <w:rFonts w:ascii="Arial" w:hAnsi="Arial" w:cs="Arial"/>
      <w:lang w:eastAsia="pl-PL"/>
    </w:rPr>
  </w:style>
  <w:style w:type="character" w:styleId="PageNumber">
    <w:name w:val="page number"/>
    <w:basedOn w:val="DefaultParagraphFont"/>
    <w:uiPriority w:val="99"/>
    <w:rsid w:val="00F46C46"/>
    <w:rPr>
      <w:rFonts w:cs="Times New Roman"/>
    </w:rPr>
  </w:style>
  <w:style w:type="paragraph" w:styleId="ListParagraph">
    <w:name w:val="List Paragraph"/>
    <w:basedOn w:val="Normal"/>
    <w:uiPriority w:val="99"/>
    <w:qFormat/>
    <w:rsid w:val="00B66FF8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F06C8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06C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D325E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06C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D325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06C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325E"/>
    <w:rPr>
      <w:rFonts w:ascii="Times New Roman" w:hAnsi="Times New Roman" w:cs="Arial"/>
      <w:sz w:val="2"/>
    </w:rPr>
  </w:style>
  <w:style w:type="paragraph" w:styleId="Header">
    <w:name w:val="header"/>
    <w:basedOn w:val="Normal"/>
    <w:link w:val="HeaderChar"/>
    <w:uiPriority w:val="99"/>
    <w:rsid w:val="004B51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1F48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123</TotalTime>
  <Pages>2</Pages>
  <Words>629</Words>
  <Characters>3780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ISTOTNYCH ZAGADNIEŃ </dc:title>
  <dc:subject/>
  <dc:creator>zyzgie</dc:creator>
  <cp:keywords/>
  <dc:description/>
  <cp:lastModifiedBy>egzamin radcowski</cp:lastModifiedBy>
  <cp:revision>34</cp:revision>
  <cp:lastPrinted>2014-01-17T13:04:00Z</cp:lastPrinted>
  <dcterms:created xsi:type="dcterms:W3CDTF">2014-01-21T10:01:00Z</dcterms:created>
  <dcterms:modified xsi:type="dcterms:W3CDTF">2014-02-24T12:52:00Z</dcterms:modified>
</cp:coreProperties>
</file>