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D98" w:rsidRDefault="00776D98" w:rsidP="00776D98">
      <w:pPr>
        <w:pStyle w:val="OZNPROJEKTUwskazaniedatylubwersjiprojektu"/>
      </w:pPr>
      <w:r>
        <w:t xml:space="preserve">Projekt z dnia </w:t>
      </w:r>
      <w:r w:rsidR="003F2A37">
        <w:t>1</w:t>
      </w:r>
      <w:r w:rsidR="001C61AF">
        <w:t>1</w:t>
      </w:r>
      <w:bookmarkStart w:id="0" w:name="_GoBack"/>
      <w:bookmarkEnd w:id="0"/>
      <w:r w:rsidR="00E1269A">
        <w:t xml:space="preserve"> września</w:t>
      </w:r>
      <w:r>
        <w:t xml:space="preserve"> 2019 r.</w:t>
      </w:r>
    </w:p>
    <w:p w:rsidR="00776D98" w:rsidRDefault="00776D98" w:rsidP="00776D98"/>
    <w:p w:rsidR="00776D98" w:rsidRPr="00B660DF" w:rsidRDefault="00776D98" w:rsidP="00776D98">
      <w:pPr>
        <w:pStyle w:val="OZNRODZAKTUtznustawalubrozporzdzenieiorganwydajcy"/>
      </w:pPr>
      <w:r w:rsidRPr="00776D98">
        <w:t>ROZPORZĄDZENIE</w:t>
      </w:r>
    </w:p>
    <w:p w:rsidR="00776D98" w:rsidRPr="003471E3" w:rsidRDefault="00776D98" w:rsidP="00776D98">
      <w:pPr>
        <w:pStyle w:val="OZNRODZAKTUtznustawalubrozporzdzenieiorganwydajcy"/>
        <w:rPr>
          <w:vertAlign w:val="superscript"/>
        </w:rPr>
      </w:pPr>
      <w:r w:rsidRPr="00B660DF">
        <w:t>MINISTRA CYFRYZACJI</w:t>
      </w:r>
      <w:r w:rsidR="009442FF" w:rsidRPr="009442FF">
        <w:rPr>
          <w:rStyle w:val="Odwoanieprzypisudolnego"/>
          <w:b w:val="0"/>
        </w:rPr>
        <w:footnoteReference w:id="1"/>
      </w:r>
      <w:r w:rsidR="003471E3" w:rsidRPr="003471E3">
        <w:rPr>
          <w:b w:val="0"/>
          <w:vertAlign w:val="superscript"/>
        </w:rPr>
        <w:t>)</w:t>
      </w:r>
    </w:p>
    <w:p w:rsidR="00776D98" w:rsidRPr="00B660DF" w:rsidRDefault="00776D98" w:rsidP="00776D98">
      <w:pPr>
        <w:pStyle w:val="DATAAKTUdatauchwalenialubwydaniaaktu"/>
      </w:pPr>
      <w:r w:rsidRPr="00B660DF">
        <w:t>z dnia</w:t>
      </w:r>
      <w:r>
        <w:t>… 2019 r.</w:t>
      </w:r>
    </w:p>
    <w:p w:rsidR="00776D98" w:rsidRPr="003471E3" w:rsidRDefault="00776D98" w:rsidP="00776D98">
      <w:pPr>
        <w:pStyle w:val="TYTUAKTUprzedmiotregulacjiustawylubrozporzdzenia"/>
        <w:rPr>
          <w:vertAlign w:val="superscript"/>
        </w:rPr>
      </w:pPr>
      <w:r w:rsidRPr="00776D98">
        <w:t xml:space="preserve">w sprawie wymagań technicznych i eksploatacyjnych dla </w:t>
      </w:r>
      <w:r w:rsidRPr="00B660DF">
        <w:t>urządzeń konsumenckich służących do odbioru cyfrowych transmisji radiofonicznych</w:t>
      </w:r>
      <w:r w:rsidR="009442FF" w:rsidRPr="003471E3">
        <w:rPr>
          <w:rStyle w:val="Odwoanieprzypisudolnego"/>
          <w:b w:val="0"/>
        </w:rPr>
        <w:footnoteReference w:id="2"/>
      </w:r>
      <w:r w:rsidR="003471E3" w:rsidRPr="003471E3">
        <w:rPr>
          <w:b w:val="0"/>
          <w:vertAlign w:val="superscript"/>
        </w:rPr>
        <w:t>)</w:t>
      </w:r>
    </w:p>
    <w:p w:rsidR="00776D98" w:rsidRPr="00B660DF" w:rsidRDefault="00776D98" w:rsidP="00776D98">
      <w:pPr>
        <w:pStyle w:val="NIEARTTEKSTtekstnieartykuowanynppodstprawnarozplubpreambua"/>
      </w:pPr>
      <w:r w:rsidRPr="00B660DF">
        <w:t xml:space="preserve">Na podstawie art. 132 ust. 4 ustawy z dnia 16 lipca 2004 r. - Prawo telekomunikacyjne (Dz. U. z 2018 r. poz. 1954, </w:t>
      </w:r>
      <w:r w:rsidR="00F704BA">
        <w:t xml:space="preserve">z </w:t>
      </w:r>
      <w:proofErr w:type="spellStart"/>
      <w:r w:rsidR="00F704BA">
        <w:t>późn</w:t>
      </w:r>
      <w:proofErr w:type="spellEnd"/>
      <w:r w:rsidR="00F704BA">
        <w:t>. zm.</w:t>
      </w:r>
      <w:r w:rsidR="009442FF">
        <w:rPr>
          <w:rStyle w:val="Odwoanieprzypisudolnego"/>
        </w:rPr>
        <w:footnoteReference w:id="3"/>
      </w:r>
      <w:r w:rsidR="003471E3">
        <w:rPr>
          <w:vertAlign w:val="superscript"/>
        </w:rPr>
        <w:t>)</w:t>
      </w:r>
      <w:r w:rsidRPr="00B660DF">
        <w:t>) zarządza się, co następuje:</w:t>
      </w:r>
    </w:p>
    <w:p w:rsidR="00B43B2A" w:rsidRDefault="00776D98" w:rsidP="00776D98">
      <w:pPr>
        <w:pStyle w:val="ARTartustawynprozporzdzenia"/>
      </w:pPr>
      <w:r w:rsidRPr="00776D98">
        <w:rPr>
          <w:rStyle w:val="Ppogrubienie"/>
        </w:rPr>
        <w:t>§ 1.</w:t>
      </w:r>
      <w:r w:rsidRPr="00776D98">
        <w:tab/>
      </w:r>
      <w:r w:rsidR="00C46839">
        <w:t>W</w:t>
      </w:r>
      <w:r w:rsidRPr="00B660DF">
        <w:t xml:space="preserve">ymagania techniczne i eksploatacyjne dla </w:t>
      </w:r>
      <w:r>
        <w:t xml:space="preserve">urządzeń </w:t>
      </w:r>
      <w:r w:rsidRPr="00B660DF">
        <w:t>konsumenckich służących do odbioru cyfrowych transmisji radiofonicznych</w:t>
      </w:r>
      <w:r w:rsidR="00C46839">
        <w:t xml:space="preserve"> </w:t>
      </w:r>
      <w:r w:rsidR="00E623AB">
        <w:t xml:space="preserve">określa </w:t>
      </w:r>
      <w:r w:rsidR="00C46839" w:rsidRPr="00B660DF">
        <w:t>załącznik do rozporządzenia.</w:t>
      </w:r>
    </w:p>
    <w:p w:rsidR="00776D98" w:rsidRPr="00B660DF" w:rsidRDefault="00776D98" w:rsidP="00776D98">
      <w:pPr>
        <w:pStyle w:val="ARTartustawynprozporzdzenia"/>
      </w:pPr>
      <w:r w:rsidRPr="00776D98">
        <w:rPr>
          <w:rStyle w:val="Ppogrubienie"/>
        </w:rPr>
        <w:t>§ 2.</w:t>
      </w:r>
      <w:r>
        <w:t xml:space="preserve"> </w:t>
      </w:r>
      <w:r w:rsidRPr="00B660DF">
        <w:t xml:space="preserve">Rozporządzenie wchodzi w życie po upływie </w:t>
      </w:r>
      <w:r w:rsidR="003301D3">
        <w:t>30</w:t>
      </w:r>
      <w:r w:rsidRPr="00B660DF">
        <w:t xml:space="preserve"> dni od dnia ogłoszenia.</w:t>
      </w:r>
    </w:p>
    <w:p w:rsidR="00776D98" w:rsidRDefault="00776D98" w:rsidP="00776D98"/>
    <w:p w:rsidR="00776D98" w:rsidRPr="00953824" w:rsidRDefault="00776D98" w:rsidP="00776D98"/>
    <w:p w:rsidR="00776D98" w:rsidRPr="00953824" w:rsidRDefault="00776D98" w:rsidP="00776D98">
      <w:pPr>
        <w:pStyle w:val="NAZORGWYDnazwaorganuwydajcegoprojektowanyakt"/>
      </w:pPr>
      <w:r>
        <w:tab/>
      </w:r>
      <w:r w:rsidRPr="00953824">
        <w:t xml:space="preserve">MINISTER </w:t>
      </w:r>
      <w:r w:rsidRPr="00776D98">
        <w:t>CYFRYZACJI</w:t>
      </w:r>
    </w:p>
    <w:p w:rsidR="00776D98" w:rsidRDefault="00776D98" w:rsidP="00776D98"/>
    <w:p w:rsidR="00776D98" w:rsidRDefault="00776D98" w:rsidP="00776D98">
      <w:pPr>
        <w:pStyle w:val="TEKSTZacznikido"/>
      </w:pPr>
      <w:r w:rsidRPr="00953824">
        <w:br w:type="page"/>
      </w:r>
      <w:r w:rsidRPr="00776D98">
        <w:lastRenderedPageBreak/>
        <w:t>Z</w:t>
      </w:r>
      <w:r w:rsidR="00862B85">
        <w:t>ałącznik</w:t>
      </w:r>
      <w:r w:rsidRPr="00776D98">
        <w:t xml:space="preserve"> do </w:t>
      </w:r>
      <w:r>
        <w:t>r</w:t>
      </w:r>
      <w:r w:rsidRPr="00776D98">
        <w:t>ozporządzen</w:t>
      </w:r>
      <w:r w:rsidR="00F73450">
        <w:t>ia Ministra Cyfryzacji z dnia….</w:t>
      </w:r>
      <w:r w:rsidR="00E623AB">
        <w:t xml:space="preserve">2019 r. </w:t>
      </w:r>
      <w:r w:rsidR="00862B85">
        <w:t>(</w:t>
      </w:r>
      <w:r w:rsidRPr="00776D98">
        <w:t>poz</w:t>
      </w:r>
      <w:r w:rsidR="006F446C">
        <w:t xml:space="preserve">. </w:t>
      </w:r>
      <w:r w:rsidR="00862B85">
        <w:t>…)</w:t>
      </w:r>
    </w:p>
    <w:p w:rsidR="00776D98" w:rsidRPr="00776D98" w:rsidRDefault="00776D98" w:rsidP="00776D98">
      <w:pPr>
        <w:pStyle w:val="TEKSTZacznikido"/>
      </w:pPr>
    </w:p>
    <w:p w:rsidR="00776D98" w:rsidRPr="00776D98" w:rsidRDefault="00776D98" w:rsidP="00776D98">
      <w:pPr>
        <w:jc w:val="center"/>
      </w:pPr>
      <w:r w:rsidRPr="00776D98">
        <w:t>WYMAGANIA TECHNICZNE I EKSPLOATACYJNE DLA URZĄDZEŃ KONSUMENCKICH SŁUŻĄCYCH DO ODBIORU CYFROWYCH TRANSMISJI RADIOFONICZNYCH</w:t>
      </w:r>
    </w:p>
    <w:p w:rsidR="00776D98" w:rsidRPr="00B660DF" w:rsidRDefault="00776D98" w:rsidP="00776D98"/>
    <w:p w:rsidR="00776D98" w:rsidRPr="00776D98" w:rsidRDefault="00776D98" w:rsidP="00776D98">
      <w:pPr>
        <w:rPr>
          <w:rStyle w:val="Ppogrubienie"/>
        </w:rPr>
      </w:pPr>
      <w:bookmarkStart w:id="1" w:name="_Toc528068355"/>
      <w:r w:rsidRPr="00776D98">
        <w:rPr>
          <w:rStyle w:val="Ppogrubienie"/>
        </w:rPr>
        <w:t>1.</w:t>
      </w:r>
      <w:r w:rsidRPr="00776D98">
        <w:rPr>
          <w:rStyle w:val="Ppogrubienie"/>
        </w:rPr>
        <w:tab/>
        <w:t>Postanowienia ogólne</w:t>
      </w:r>
      <w:bookmarkEnd w:id="1"/>
    </w:p>
    <w:p w:rsidR="00776D98" w:rsidRPr="00B660DF" w:rsidRDefault="00776D98" w:rsidP="00776D98">
      <w:pPr>
        <w:pStyle w:val="NIEARTTEKSTtekstnieartykuowanynppodstprawnarozplubpreambua"/>
      </w:pPr>
      <w:r>
        <w:t xml:space="preserve">Załącznik określa </w:t>
      </w:r>
      <w:r w:rsidRPr="00B660DF">
        <w:t xml:space="preserve">wymagania </w:t>
      </w:r>
      <w:r w:rsidR="00A934C6">
        <w:t xml:space="preserve">techniczne i eksploatacyjne </w:t>
      </w:r>
      <w:r>
        <w:t xml:space="preserve">dla urządzeń konsumenckich służących </w:t>
      </w:r>
      <w:r w:rsidRPr="00B660DF">
        <w:t xml:space="preserve">do odbioru cyfrowych transmisji radiofonicznych nadawanych w systemie DAB+ drogą naziemną bezprzewodową lub kablową w </w:t>
      </w:r>
      <w:r w:rsidR="00C46839">
        <w:t xml:space="preserve">zakresie częstotliwości 174-240 MHz w </w:t>
      </w:r>
      <w:r w:rsidRPr="00B660DF">
        <w:t xml:space="preserve">paśmie III VHF w </w:t>
      </w:r>
      <w:r w:rsidR="0066779D">
        <w:t>Rzeczpospolitej Polskiej</w:t>
      </w:r>
      <w:r w:rsidR="00D052D3">
        <w:t>.</w:t>
      </w:r>
    </w:p>
    <w:p w:rsidR="000605D5" w:rsidRPr="00882A4C" w:rsidRDefault="00776D98" w:rsidP="000605D5">
      <w:pPr>
        <w:pStyle w:val="NIEARTTEKSTtekstnieartykuowanynppodstprawnarozplubpreambua"/>
        <w:rPr>
          <w:rFonts w:eastAsia="Times New Roman"/>
        </w:rPr>
      </w:pPr>
      <w:r w:rsidRPr="00B660DF">
        <w:t>Wymagania dotyczą</w:t>
      </w:r>
      <w:r w:rsidR="009D0321">
        <w:t xml:space="preserve"> </w:t>
      </w:r>
      <w:r w:rsidR="000605D5">
        <w:t xml:space="preserve">urządzeń, </w:t>
      </w:r>
      <w:r w:rsidR="000605D5" w:rsidRPr="009D0321">
        <w:t xml:space="preserve">których podstawową funkcjonalnością jest odbiór cyfrowych transmisji radiofonicznych, w tym </w:t>
      </w:r>
      <w:r w:rsidR="00E62A7E" w:rsidRPr="009D0321">
        <w:t xml:space="preserve">urządzeń </w:t>
      </w:r>
      <w:r w:rsidR="000605D5" w:rsidRPr="009D0321">
        <w:t>wbudowanych do pojazdów kategorii M</w:t>
      </w:r>
      <w:r w:rsidR="00C46839">
        <w:t>, o których mowa</w:t>
      </w:r>
      <w:r w:rsidR="000605D5" w:rsidRPr="009D0321">
        <w:t xml:space="preserve"> w pkt 1 </w:t>
      </w:r>
      <w:r w:rsidR="00C46839">
        <w:t>z</w:t>
      </w:r>
      <w:r w:rsidR="000605D5" w:rsidRPr="009D0321">
        <w:t xml:space="preserve">ałącznika </w:t>
      </w:r>
      <w:r w:rsidR="00F73450">
        <w:t xml:space="preserve">nr </w:t>
      </w:r>
      <w:r w:rsidR="000605D5" w:rsidRPr="009D0321">
        <w:t>2 do usta</w:t>
      </w:r>
      <w:r w:rsidR="005054D3">
        <w:t>wy z dnia 20 czerwca 1997 r. – P</w:t>
      </w:r>
      <w:r w:rsidR="000605D5" w:rsidRPr="009D0321">
        <w:t>rawo o ruchu drogowym (Dz. U. z 201</w:t>
      </w:r>
      <w:r w:rsidR="00C46839">
        <w:t>8</w:t>
      </w:r>
      <w:r w:rsidR="000605D5" w:rsidRPr="009D0321">
        <w:t xml:space="preserve"> r. poz. 1990</w:t>
      </w:r>
      <w:r w:rsidR="009E2905">
        <w:t xml:space="preserve">, z </w:t>
      </w:r>
      <w:proofErr w:type="spellStart"/>
      <w:r w:rsidR="009E2905">
        <w:t>późn</w:t>
      </w:r>
      <w:proofErr w:type="spellEnd"/>
      <w:r w:rsidR="009E2905">
        <w:t>. zm.</w:t>
      </w:r>
      <w:r w:rsidR="009442FF" w:rsidRPr="008F1601">
        <w:rPr>
          <w:rStyle w:val="Odwoanieprzypisudolnego"/>
        </w:rPr>
        <w:footnoteReference w:id="4"/>
      </w:r>
      <w:r w:rsidR="003471E3">
        <w:rPr>
          <w:vertAlign w:val="superscript"/>
        </w:rPr>
        <w:t>)</w:t>
      </w:r>
      <w:r w:rsidR="000605D5" w:rsidRPr="008F1601">
        <w:t>)</w:t>
      </w:r>
      <w:r w:rsidR="000605D5" w:rsidRPr="0085707D">
        <w:t>.</w:t>
      </w:r>
    </w:p>
    <w:p w:rsidR="00776D98" w:rsidRPr="00B660DF" w:rsidRDefault="000605D5" w:rsidP="00776D98">
      <w:pPr>
        <w:pStyle w:val="NIEARTTEKSTtekstnieartykuowanynppodstprawnarozplubpreambua"/>
      </w:pPr>
      <w:r w:rsidRPr="000605D5">
        <w:rPr>
          <w:rFonts w:ascii="Times New Roman" w:eastAsia="Times New Roman" w:hAnsi="Times New Roman"/>
          <w:color w:val="FF0000"/>
        </w:rPr>
        <w:t xml:space="preserve"> </w:t>
      </w:r>
      <w:r w:rsidR="00776D98" w:rsidRPr="00B660DF">
        <w:t xml:space="preserve">Wymagania bazują na normach </w:t>
      </w:r>
      <w:r w:rsidR="00C46839">
        <w:t xml:space="preserve">i dokumentach </w:t>
      </w:r>
      <w:r w:rsidR="001D200E">
        <w:t xml:space="preserve">wymienionych </w:t>
      </w:r>
      <w:r w:rsidR="00776D98" w:rsidRPr="001D200E">
        <w:t>w pkt 2</w:t>
      </w:r>
      <w:r w:rsidR="00D50FDF" w:rsidRPr="001D200E">
        <w:t>.1</w:t>
      </w:r>
      <w:r w:rsidR="00776D98" w:rsidRPr="001D200E">
        <w:t>.</w:t>
      </w:r>
    </w:p>
    <w:p w:rsidR="00776D98" w:rsidRPr="00B660DF" w:rsidRDefault="00776D98" w:rsidP="00776D98"/>
    <w:p w:rsidR="005B49A9" w:rsidRDefault="00776D98" w:rsidP="00776D98">
      <w:pPr>
        <w:rPr>
          <w:rStyle w:val="Ppogrubienie"/>
        </w:rPr>
      </w:pPr>
      <w:bookmarkStart w:id="2" w:name="_Toc528068356"/>
      <w:r w:rsidRPr="00776D98">
        <w:rPr>
          <w:rStyle w:val="Ppogrubienie"/>
        </w:rPr>
        <w:t>2.</w:t>
      </w:r>
      <w:r w:rsidRPr="00776D98">
        <w:rPr>
          <w:rStyle w:val="Ppogrubienie"/>
        </w:rPr>
        <w:tab/>
      </w:r>
      <w:r w:rsidR="005B49A9">
        <w:rPr>
          <w:rStyle w:val="Ppogrubienie"/>
        </w:rPr>
        <w:t>N</w:t>
      </w:r>
      <w:r w:rsidR="00D052D3">
        <w:rPr>
          <w:rStyle w:val="Ppogrubienie"/>
        </w:rPr>
        <w:t>orm</w:t>
      </w:r>
      <w:r w:rsidR="005B49A9">
        <w:rPr>
          <w:rStyle w:val="Ppogrubienie"/>
        </w:rPr>
        <w:t>y</w:t>
      </w:r>
      <w:r w:rsidR="00D052D3">
        <w:rPr>
          <w:rStyle w:val="Ppogrubienie"/>
        </w:rPr>
        <w:t xml:space="preserve"> i dokument</w:t>
      </w:r>
      <w:r w:rsidR="005B49A9">
        <w:rPr>
          <w:rStyle w:val="Ppogrubienie"/>
        </w:rPr>
        <w:t>y</w:t>
      </w:r>
    </w:p>
    <w:p w:rsidR="00776D98" w:rsidRPr="00776D98" w:rsidRDefault="005B49A9" w:rsidP="00776D98">
      <w:pPr>
        <w:rPr>
          <w:rStyle w:val="Ppogrubienie"/>
        </w:rPr>
      </w:pPr>
      <w:r>
        <w:rPr>
          <w:rStyle w:val="Ppogrubienie"/>
        </w:rPr>
        <w:t xml:space="preserve">2.1 </w:t>
      </w:r>
      <w:bookmarkEnd w:id="2"/>
      <w:r>
        <w:rPr>
          <w:rStyle w:val="Ppogrubienie"/>
        </w:rPr>
        <w:t xml:space="preserve"> Wykaz </w:t>
      </w:r>
      <w:r w:rsidR="00650146">
        <w:rPr>
          <w:rStyle w:val="Ppogrubienie"/>
        </w:rPr>
        <w:t>norm i dokumentów powołanych w niniejszym z</w:t>
      </w:r>
      <w:r>
        <w:rPr>
          <w:rStyle w:val="Ppogrubienie"/>
        </w:rPr>
        <w:t>ałączniku</w:t>
      </w:r>
    </w:p>
    <w:p w:rsidR="00776D98" w:rsidRPr="00B660DF" w:rsidRDefault="00C46839" w:rsidP="00776D98">
      <w:pPr>
        <w:pStyle w:val="NIEARTTEKSTtekstnieartykuowanynppodstprawnarozplubpreambua"/>
      </w:pPr>
      <w:bookmarkStart w:id="3" w:name="_Ref383151620"/>
      <w:r>
        <w:t>[</w:t>
      </w:r>
      <w:r w:rsidR="00776D98" w:rsidRPr="00B660DF">
        <w:t>1</w:t>
      </w:r>
      <w:r>
        <w:t xml:space="preserve">] </w:t>
      </w:r>
      <w:r w:rsidR="00776D98" w:rsidRPr="00B660DF">
        <w:tab/>
        <w:t>PN-ETSI EN 300 401 V2.1.1:2017-08 Sys</w:t>
      </w:r>
      <w:r w:rsidR="005054D3">
        <w:t>temy radiodyfuzji – Radiofonia c</w:t>
      </w:r>
      <w:r w:rsidR="00776D98" w:rsidRPr="00B660DF">
        <w:t>yfrowa (DAB) do odbi</w:t>
      </w:r>
      <w:r w:rsidR="00776D98">
        <w:t>orników ruchomych, przenośnych i</w:t>
      </w:r>
      <w:r w:rsidR="00776D98" w:rsidRPr="00B660DF">
        <w:t xml:space="preserve"> stacjonarnych </w:t>
      </w:r>
      <w:bookmarkEnd w:id="3"/>
    </w:p>
    <w:p w:rsidR="002A0BDE" w:rsidRPr="00BE3EB9" w:rsidRDefault="005054D3" w:rsidP="002A0BDE">
      <w:pPr>
        <w:pStyle w:val="NIEARTTEKSTtekstnieartykuowanynppodstprawnarozplubpreambua"/>
        <w:rPr>
          <w:lang w:val="en-US"/>
        </w:rPr>
      </w:pPr>
      <w:bookmarkStart w:id="4" w:name="_Ref383329528"/>
      <w:r w:rsidRPr="00BE3EB9">
        <w:rPr>
          <w:lang w:val="en-US"/>
        </w:rPr>
        <w:t xml:space="preserve">[2] </w:t>
      </w:r>
      <w:r w:rsidRPr="00BE3EB9">
        <w:rPr>
          <w:lang w:val="en-US"/>
        </w:rPr>
        <w:tab/>
        <w:t>ETSI TS 101 499 V</w:t>
      </w:r>
      <w:r w:rsidR="002A0BDE" w:rsidRPr="00BE3EB9">
        <w:rPr>
          <w:lang w:val="en-US"/>
        </w:rPr>
        <w:t xml:space="preserve">3.1.1:2015-01 Hybrid Digital Audio (DAB, DRM, </w:t>
      </w:r>
      <w:proofErr w:type="spellStart"/>
      <w:r w:rsidR="002A0BDE" w:rsidRPr="00BE3EB9">
        <w:rPr>
          <w:lang w:val="en-US"/>
        </w:rPr>
        <w:t>RadioDNS</w:t>
      </w:r>
      <w:proofErr w:type="spellEnd"/>
      <w:r w:rsidR="002A0BDE" w:rsidRPr="00BE3EB9">
        <w:rPr>
          <w:lang w:val="en-US"/>
        </w:rPr>
        <w:t xml:space="preserve">); </w:t>
      </w:r>
      <w:proofErr w:type="spellStart"/>
      <w:r w:rsidR="002A0BDE" w:rsidRPr="00BE3EB9">
        <w:rPr>
          <w:lang w:val="en-US"/>
        </w:rPr>
        <w:t>SlideShow</w:t>
      </w:r>
      <w:proofErr w:type="spellEnd"/>
      <w:r w:rsidR="002A0BDE" w:rsidRPr="00BE3EB9">
        <w:rPr>
          <w:lang w:val="en-US"/>
        </w:rPr>
        <w:t>; User Application Specification</w:t>
      </w:r>
    </w:p>
    <w:p w:rsidR="002A0BDE" w:rsidRPr="00882A4C" w:rsidRDefault="002A0BDE" w:rsidP="002A0BDE">
      <w:pPr>
        <w:pStyle w:val="NIEARTTEKSTtekstnieartykuowanynppodstprawnarozplubpreambua"/>
        <w:rPr>
          <w:lang w:val="en-US"/>
        </w:rPr>
      </w:pPr>
      <w:r w:rsidRPr="00882A4C">
        <w:rPr>
          <w:lang w:val="en-US"/>
        </w:rPr>
        <w:t>[3]</w:t>
      </w:r>
      <w:r w:rsidRPr="00882A4C">
        <w:rPr>
          <w:lang w:val="en-US"/>
        </w:rPr>
        <w:tab/>
        <w:t>ETSI TS 101 756 V2.2.1:2017-08 Digital Audio Broadcasting (DAB); Registered Tables</w:t>
      </w:r>
    </w:p>
    <w:p w:rsidR="002A0BDE" w:rsidRPr="00882A4C" w:rsidRDefault="002A0BDE" w:rsidP="002A0BDE">
      <w:pPr>
        <w:pStyle w:val="NIEARTTEKSTtekstnieartykuowanynppodstprawnarozplubpreambua"/>
        <w:rPr>
          <w:lang w:val="en-US"/>
        </w:rPr>
      </w:pPr>
      <w:r w:rsidRPr="00882A4C">
        <w:rPr>
          <w:lang w:val="en-US"/>
        </w:rPr>
        <w:lastRenderedPageBreak/>
        <w:t>[4]</w:t>
      </w:r>
      <w:r w:rsidRPr="00882A4C">
        <w:rPr>
          <w:lang w:val="en-US"/>
        </w:rPr>
        <w:tab/>
        <w:t xml:space="preserve">ETSI TS 102 371 V3.2.1:2016-05 Digital Audio Broadcasting (DAB); Digital Radio </w:t>
      </w:r>
      <w:proofErr w:type="spellStart"/>
      <w:r w:rsidRPr="00882A4C">
        <w:rPr>
          <w:lang w:val="en-US"/>
        </w:rPr>
        <w:t>Mondiale</w:t>
      </w:r>
      <w:proofErr w:type="spellEnd"/>
      <w:r w:rsidRPr="00882A4C">
        <w:rPr>
          <w:lang w:val="en-US"/>
        </w:rPr>
        <w:t xml:space="preserve"> (DRM); Transportation and Binary Encoding Specification for Service and </w:t>
      </w:r>
      <w:proofErr w:type="spellStart"/>
      <w:r w:rsidRPr="00882A4C">
        <w:rPr>
          <w:lang w:val="en-US"/>
        </w:rPr>
        <w:t>Programme</w:t>
      </w:r>
      <w:proofErr w:type="spellEnd"/>
      <w:r w:rsidRPr="00882A4C">
        <w:rPr>
          <w:lang w:val="en-US"/>
        </w:rPr>
        <w:t xml:space="preserve"> Information (SPI)</w:t>
      </w:r>
    </w:p>
    <w:p w:rsidR="002A0BDE" w:rsidRPr="00882A4C" w:rsidRDefault="002A0BDE" w:rsidP="002A0BDE">
      <w:pPr>
        <w:pStyle w:val="NIEARTTEKSTtekstnieartykuowanynppodstprawnarozplubpreambua"/>
        <w:rPr>
          <w:lang w:val="en-US"/>
        </w:rPr>
      </w:pPr>
      <w:r w:rsidRPr="00882A4C">
        <w:rPr>
          <w:lang w:val="en-US"/>
        </w:rPr>
        <w:t>[5]</w:t>
      </w:r>
      <w:r w:rsidRPr="00882A4C">
        <w:rPr>
          <w:lang w:val="en-US"/>
        </w:rPr>
        <w:tab/>
        <w:t>ETSI TS 102 563 V2.1.1:2017-01 Digital Audio Broadcasting (DAB); DAB+ audio coding (MPEG HE-AACv2)</w:t>
      </w:r>
    </w:p>
    <w:p w:rsidR="002A0BDE" w:rsidRPr="00882A4C" w:rsidRDefault="002A0BDE" w:rsidP="002A0BDE">
      <w:pPr>
        <w:pStyle w:val="NIEARTTEKSTtekstnieartykuowanynppodstprawnarozplubpreambua"/>
        <w:rPr>
          <w:lang w:val="en-US"/>
        </w:rPr>
      </w:pPr>
      <w:r w:rsidRPr="00882A4C">
        <w:rPr>
          <w:lang w:val="en-US"/>
        </w:rPr>
        <w:t>[6]</w:t>
      </w:r>
      <w:r w:rsidRPr="00882A4C">
        <w:rPr>
          <w:lang w:val="en-US"/>
        </w:rPr>
        <w:tab/>
        <w:t xml:space="preserve">ETSI TS 102 818 V3.1.1:2015-01 Hybrid Digital Radio (DAB, DRM, </w:t>
      </w:r>
      <w:proofErr w:type="spellStart"/>
      <w:r w:rsidRPr="00882A4C">
        <w:rPr>
          <w:lang w:val="en-US"/>
        </w:rPr>
        <w:t>RadioDNS</w:t>
      </w:r>
      <w:proofErr w:type="spellEnd"/>
      <w:r w:rsidRPr="00882A4C">
        <w:rPr>
          <w:lang w:val="en-US"/>
        </w:rPr>
        <w:t xml:space="preserve">); XML Specification for Service and </w:t>
      </w:r>
      <w:proofErr w:type="spellStart"/>
      <w:r w:rsidRPr="00882A4C">
        <w:rPr>
          <w:lang w:val="en-US"/>
        </w:rPr>
        <w:t>Programme</w:t>
      </w:r>
      <w:proofErr w:type="spellEnd"/>
      <w:r w:rsidRPr="00882A4C">
        <w:rPr>
          <w:lang w:val="en-US"/>
        </w:rPr>
        <w:t xml:space="preserve"> Information (SPI)</w:t>
      </w:r>
    </w:p>
    <w:p w:rsidR="002A0BDE" w:rsidRDefault="002A0BDE" w:rsidP="002A0BDE">
      <w:pPr>
        <w:pStyle w:val="NIEARTTEKSTtekstnieartykuowanynppodstprawnarozplubpreambua"/>
        <w:rPr>
          <w:lang w:val="en-US"/>
        </w:rPr>
      </w:pPr>
      <w:r>
        <w:rPr>
          <w:lang w:val="en-US"/>
        </w:rPr>
        <w:t>[7]</w:t>
      </w:r>
      <w:r>
        <w:rPr>
          <w:lang w:val="en-US"/>
        </w:rPr>
        <w:tab/>
        <w:t xml:space="preserve">ETSI TS 102 979 V1.1.1:2008-06 Digital Audio Broadcasting (DAB); </w:t>
      </w:r>
      <w:proofErr w:type="spellStart"/>
      <w:r>
        <w:rPr>
          <w:lang w:val="en-US"/>
        </w:rPr>
        <w:t>Journaline</w:t>
      </w:r>
      <w:proofErr w:type="spellEnd"/>
      <w:r>
        <w:rPr>
          <w:lang w:val="en-US"/>
        </w:rPr>
        <w:t>; User application specification</w:t>
      </w:r>
    </w:p>
    <w:p w:rsidR="002A0BDE" w:rsidRDefault="002A0BDE" w:rsidP="002A0BDE">
      <w:pPr>
        <w:pStyle w:val="NIEARTTEKSTtekstnieartykuowanynppodstprawnarozplubpreambua"/>
        <w:rPr>
          <w:lang w:val="en-US"/>
        </w:rPr>
      </w:pPr>
      <w:r>
        <w:rPr>
          <w:lang w:val="en-US"/>
        </w:rPr>
        <w:t>[8]</w:t>
      </w:r>
      <w:r>
        <w:rPr>
          <w:lang w:val="en-US"/>
        </w:rPr>
        <w:tab/>
        <w:t>ETSI TS 102 980 V2.1.1:2017-01 Digital Audio Broadcasting (DAB); Dynamic Label Plus (DL Plus); Application specification</w:t>
      </w:r>
    </w:p>
    <w:p w:rsidR="002A0BDE" w:rsidRDefault="002A0BDE" w:rsidP="002A0BDE">
      <w:pPr>
        <w:pStyle w:val="NIEARTTEKSTtekstnieartykuowanynppodstprawnarozplubpreambua"/>
        <w:rPr>
          <w:lang w:val="en-US"/>
        </w:rPr>
      </w:pPr>
      <w:r>
        <w:rPr>
          <w:lang w:val="en-US"/>
        </w:rPr>
        <w:t>[9]</w:t>
      </w:r>
      <w:r>
        <w:rPr>
          <w:lang w:val="en-US"/>
        </w:rPr>
        <w:tab/>
        <w:t>ETSI TS 103 176 V2.</w:t>
      </w:r>
      <w:r w:rsidR="003F7410">
        <w:rPr>
          <w:lang w:val="en-US"/>
        </w:rPr>
        <w:t>2</w:t>
      </w:r>
      <w:r>
        <w:rPr>
          <w:lang w:val="en-US"/>
        </w:rPr>
        <w:t>.1:2017-08 Digital Audio Broadcasting (DAB); Rules of implementation; Service information features</w:t>
      </w:r>
    </w:p>
    <w:p w:rsidR="002A0BDE" w:rsidRDefault="002A0BDE" w:rsidP="002A0BDE">
      <w:pPr>
        <w:pStyle w:val="ARTartustawynprozporzdzenia"/>
        <w:rPr>
          <w:lang w:val="en-US"/>
        </w:rPr>
      </w:pPr>
      <w:r>
        <w:rPr>
          <w:lang w:val="en-US"/>
        </w:rPr>
        <w:t>[10] ETSI TS 103 461 V1.1.1:2017-08 Digital Audio Broadcasting (DAB); Domestic and in-vehicle digital radio receivers; Minimum requirements and Test specifications for technologies and products</w:t>
      </w:r>
    </w:p>
    <w:p w:rsidR="002A0BDE" w:rsidRDefault="002A0BDE" w:rsidP="002A0BDE">
      <w:pPr>
        <w:pStyle w:val="NIEARTTEKSTtekstnieartykuowanynppodstprawnarozplubpreambua"/>
        <w:rPr>
          <w:lang w:val="en-US"/>
        </w:rPr>
      </w:pPr>
      <w:r>
        <w:rPr>
          <w:lang w:val="en-US"/>
        </w:rPr>
        <w:t>[11]</w:t>
      </w:r>
      <w:r>
        <w:rPr>
          <w:lang w:val="en-US"/>
        </w:rPr>
        <w:tab/>
        <w:t>IEC 62104:2015-07 Characteristics of DAB receivers</w:t>
      </w:r>
    </w:p>
    <w:p w:rsidR="002A0BDE" w:rsidRDefault="002A0BDE" w:rsidP="002A0BDE">
      <w:pPr>
        <w:pStyle w:val="NIEARTTEKSTtekstnieartykuowanynppodstprawnarozplubpreambua"/>
        <w:rPr>
          <w:lang w:val="en-US"/>
        </w:rPr>
      </w:pPr>
      <w:r>
        <w:rPr>
          <w:lang w:val="en-US"/>
        </w:rPr>
        <w:t>[12]</w:t>
      </w:r>
      <w:r>
        <w:rPr>
          <w:lang w:val="en-US"/>
        </w:rPr>
        <w:tab/>
        <w:t xml:space="preserve">IEC 62106-2:2018 Radio data system (RDS) - VHF/FM sound broadcasting in the frequency range from 64,0 MHz to 108,0 MHz </w:t>
      </w:r>
      <w:r w:rsidR="00383298">
        <w:rPr>
          <w:lang w:val="en-US"/>
        </w:rPr>
        <w:t xml:space="preserve">– </w:t>
      </w:r>
      <w:r>
        <w:rPr>
          <w:lang w:val="en-US"/>
        </w:rPr>
        <w:t xml:space="preserve">Part 2: Message format: Coding and definition of RDS features </w:t>
      </w:r>
    </w:p>
    <w:p w:rsidR="002A0BDE" w:rsidRDefault="002A0BDE" w:rsidP="002A0BDE">
      <w:pPr>
        <w:pStyle w:val="NIEARTTEKSTtekstnieartykuowanynppodstprawnarozplubpreambua"/>
        <w:rPr>
          <w:lang w:val="en-US"/>
        </w:rPr>
      </w:pPr>
      <w:r>
        <w:rPr>
          <w:lang w:val="en-US"/>
        </w:rPr>
        <w:t>[13]</w:t>
      </w:r>
      <w:r>
        <w:rPr>
          <w:lang w:val="en-US"/>
        </w:rPr>
        <w:tab/>
        <w:t>ISO/IEC 14496-3:2009 Information technology – Coding of audio-visual objects – Part 3: Audio</w:t>
      </w:r>
    </w:p>
    <w:p w:rsidR="002A0BDE" w:rsidRPr="00771861" w:rsidRDefault="002A0BDE" w:rsidP="002A0BDE">
      <w:pPr>
        <w:pStyle w:val="NIEARTTEKSTtekstnieartykuowanynppodstprawnarozplubpreambua"/>
        <w:rPr>
          <w:lang w:val="en-US"/>
        </w:rPr>
      </w:pPr>
      <w:r w:rsidRPr="00771861">
        <w:rPr>
          <w:lang w:val="en-US"/>
        </w:rPr>
        <w:t xml:space="preserve">[14] </w:t>
      </w:r>
      <w:r w:rsidRPr="00771861">
        <w:rPr>
          <w:lang w:val="en-US"/>
        </w:rPr>
        <w:tab/>
        <w:t>ISO/IEC 23003-1:2007 Information technology – MPEG audio technologies – Part 1: MPEG Surround</w:t>
      </w:r>
    </w:p>
    <w:p w:rsidR="002A0BDE" w:rsidRPr="00771861" w:rsidRDefault="002A0BDE" w:rsidP="002A0BDE">
      <w:pPr>
        <w:pStyle w:val="NIEARTTEKSTtekstnieartykuowanynppodstprawnarozplubpreambua"/>
        <w:rPr>
          <w:lang w:val="en-US"/>
        </w:rPr>
      </w:pPr>
      <w:r w:rsidRPr="00771861">
        <w:rPr>
          <w:lang w:val="en-US"/>
        </w:rPr>
        <w:t>[15] ISO/TS 18234-1:2013 Intelligent transport systems -- Traffic and travel information via transport protocol experts group, generation 1 (TPEG1) binary data format -- Part 1: Introduction, numbering and versions (TPEG1-INV)</w:t>
      </w:r>
    </w:p>
    <w:p w:rsidR="002A0BDE" w:rsidRPr="00771861" w:rsidRDefault="002A0BDE" w:rsidP="002A0BDE">
      <w:pPr>
        <w:pStyle w:val="NIEARTTEKSTtekstnieartykuowanynppodstprawnarozplubpreambua"/>
        <w:rPr>
          <w:lang w:val="en-US"/>
        </w:rPr>
      </w:pPr>
      <w:r w:rsidRPr="00771861">
        <w:rPr>
          <w:lang w:val="en-US"/>
        </w:rPr>
        <w:lastRenderedPageBreak/>
        <w:t>[16] ISO/TS 18234-2:2013 Intelligent transport systems -- Traffic and travel information via transport protocol experts group, generation 1 (TPEG1) binary data format -- Part 2: Syntax, semantics and framing structure (TPEG1-SSF)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[17] ISO/TS 18234-3:2013 Intelligent transport systems -- Traffic and travel information via transport protocol experts group, generation 1 (TPEG1) binary data format -- Part 3: Service and network information (TPEG1-SNI)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[18] ISO/TS 18234-4:2006 Traffic and Travel Information (TTI) -- TTI via Transport Protocol Expert Group (TPEG) data-streams -- Part 4: Road Traffic Message (RTM) application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[19] ISO/TS 18234-5:2006 Traffic and Travel Information (TTI) -- TTI via Transport Protocol Expert Group (TPEG) data-streams -- Part 5: Public Transport Information (PTI) application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[20] ISO/TS 18234-6:2006  Traffic and Travel Information (TTI) - TTI via Transport Protocol Expert Group (TPEG) data-streams -- Part 6: Location referencing applications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[21] ISO/TS 18234-7:2013 Intelligent transport systems -- Traffic and travel information via transport protocol experts group, generation 1 (TPEG1) binary data format -- Part 7: Parking information (TPEG1-PKI)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[22] ISO/TS 18234-8:2012  Intelligent transport systems -- Traffic and travel information via transport protocol experts group, generation 1 (TPEG1) binary data format -- Part 8: Congestion and Travel Time application (TPEG1-CTT)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[23] ISO/TS 18234-9:2013 Intelligent transport systems -- Traffic and travel information via transport protocol experts group, generation 1 (TPEG1) binary data format -- Part 9: Traffic event compact (TPEG1-TEC)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[24] ISO/TS 18234-10:2013 Intelligent transport systems -- Traffic and travel information via transport protocol experts group, generation 1 (TPEG1) binary data format -- Part 10: Conditional access information (TPEG1-CAI)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t>[25] ISO/TS 18234-11:2013 Intelligent transport systems -- Traffic and Travel Information (TTI) via transport protocol experts group, generation 1 (TPEG1) binary data format -- Part 11: Location Referencing Container (TPEG1-LRC)</w:t>
      </w:r>
    </w:p>
    <w:p w:rsidR="002A0BDE" w:rsidRPr="00BE3EB9" w:rsidRDefault="002A0BDE" w:rsidP="002A0BDE">
      <w:pPr>
        <w:pStyle w:val="NIEARTTEKSTtekstnieartykuowanynppodstprawnarozplubpreambua"/>
        <w:rPr>
          <w:lang w:val="en-US"/>
        </w:rPr>
      </w:pPr>
      <w:r w:rsidRPr="00BE3EB9">
        <w:rPr>
          <w:lang w:val="en-US"/>
        </w:rPr>
        <w:lastRenderedPageBreak/>
        <w:t>[26]</w:t>
      </w:r>
      <w:r w:rsidRPr="00BE3EB9">
        <w:rPr>
          <w:lang w:val="en-US"/>
        </w:rPr>
        <w:tab/>
        <w:t>Recommendation ITU-R BS.450-3 (11/2001) Transmission standards for FM sound broadcasting at VHF</w:t>
      </w:r>
    </w:p>
    <w:bookmarkEnd w:id="4"/>
    <w:p w:rsidR="006643F1" w:rsidRPr="00981A82" w:rsidRDefault="00155907" w:rsidP="00981A82">
      <w:pPr>
        <w:pStyle w:val="NIEARTTEKSTtekstnieartykuowanynppodstprawnarozplubpreambua"/>
      </w:pPr>
      <w:r w:rsidRPr="00981A82">
        <w:t>2.</w:t>
      </w:r>
      <w:r w:rsidR="005B49A9">
        <w:t>2</w:t>
      </w:r>
      <w:r w:rsidR="00E153CD">
        <w:t>.</w:t>
      </w:r>
      <w:r w:rsidRPr="00981A82">
        <w:tab/>
      </w:r>
      <w:r w:rsidR="006643F1" w:rsidRPr="00981A82">
        <w:t xml:space="preserve">W przypadku gdy wykaz, o którym mowa w </w:t>
      </w:r>
      <w:r w:rsidR="006643F1" w:rsidRPr="00B754D5">
        <w:t>pkt 2</w:t>
      </w:r>
      <w:r w:rsidR="005B49A9" w:rsidRPr="00B754D5">
        <w:t>.</w:t>
      </w:r>
      <w:r w:rsidR="005B49A9">
        <w:t>1</w:t>
      </w:r>
      <w:r w:rsidR="006643F1" w:rsidRPr="00981A82">
        <w:t xml:space="preserve"> zawiera odesłanie do konkretnej wersji dokumentu (identyfikowanej przez datę publikacji, numer edycji, numer wersji, itd.), nie stosuje się kolejnych wersji tego dokumentu.</w:t>
      </w:r>
    </w:p>
    <w:p w:rsidR="006643F1" w:rsidRPr="00981A82" w:rsidRDefault="00155907" w:rsidP="00981A82">
      <w:pPr>
        <w:pStyle w:val="NIEARTTEKSTtekstnieartykuowanynppodstprawnarozplubpreambua"/>
      </w:pPr>
      <w:r w:rsidRPr="00981A82">
        <w:t>2.</w:t>
      </w:r>
      <w:r w:rsidR="005B49A9">
        <w:t>3</w:t>
      </w:r>
      <w:r w:rsidR="00E153CD">
        <w:t>.</w:t>
      </w:r>
      <w:r w:rsidRPr="00981A82">
        <w:tab/>
      </w:r>
      <w:r w:rsidR="006643F1" w:rsidRPr="00981A82">
        <w:t xml:space="preserve">W przypadku, gdy wykaz, o którym mowa w </w:t>
      </w:r>
      <w:r w:rsidR="006643F1" w:rsidRPr="00B754D5">
        <w:t>pkt 2</w:t>
      </w:r>
      <w:r w:rsidR="005B49A9">
        <w:t>.1</w:t>
      </w:r>
      <w:r w:rsidR="006643F1" w:rsidRPr="00981A82">
        <w:t xml:space="preserve"> nie zawiera odesłania do konkretnej wersji dokumentu, stosuje się najnowszą wersję tego dokumentu.</w:t>
      </w:r>
    </w:p>
    <w:p w:rsidR="006643F1" w:rsidRPr="00981A82" w:rsidRDefault="00155907" w:rsidP="00981A82">
      <w:pPr>
        <w:pStyle w:val="NIEARTTEKSTtekstnieartykuowanynppodstprawnarozplubpreambua"/>
      </w:pPr>
      <w:r w:rsidRPr="00981A82">
        <w:t>2.</w:t>
      </w:r>
      <w:r w:rsidR="005B49A9">
        <w:t>4</w:t>
      </w:r>
      <w:r w:rsidR="00E153CD">
        <w:t>.</w:t>
      </w:r>
      <w:r w:rsidRPr="00981A82">
        <w:tab/>
      </w:r>
      <w:r w:rsidR="006643F1" w:rsidRPr="00981A82">
        <w:t xml:space="preserve">Dokumenty, o których mowa w </w:t>
      </w:r>
      <w:r w:rsidR="00F93238" w:rsidRPr="00B754D5">
        <w:t>pkt 2</w:t>
      </w:r>
      <w:r w:rsidR="005B49A9">
        <w:t>.1</w:t>
      </w:r>
      <w:r w:rsidR="00F93238">
        <w:t xml:space="preserve">, w </w:t>
      </w:r>
      <w:r w:rsidR="006643F1" w:rsidRPr="00981A82">
        <w:t>jednostkach redakcyjnych [1]</w:t>
      </w:r>
      <w:r w:rsidR="00E153CD" w:rsidRPr="00E153CD">
        <w:t>–</w:t>
      </w:r>
      <w:r w:rsidR="006643F1" w:rsidRPr="00981A82">
        <w:t xml:space="preserve">[10] są dostępne na stronie Europejskiego Instytutu Norm Telekomunikacyjnych </w:t>
      </w:r>
      <w:r w:rsidR="00CA438A">
        <w:t>(</w:t>
      </w:r>
      <w:r w:rsidR="006643F1" w:rsidRPr="00981A82">
        <w:t>ETSI</w:t>
      </w:r>
      <w:r w:rsidR="00CA438A">
        <w:t>)</w:t>
      </w:r>
      <w:r w:rsidR="006643F1" w:rsidRPr="00981A82">
        <w:t xml:space="preserve"> </w:t>
      </w:r>
      <w:r w:rsidR="00CA438A">
        <w:t xml:space="preserve">– </w:t>
      </w:r>
      <w:r w:rsidR="006643F1" w:rsidRPr="00981A82">
        <w:t>www.etsi.org.</w:t>
      </w:r>
    </w:p>
    <w:p w:rsidR="006643F1" w:rsidRDefault="00155907" w:rsidP="00981A82">
      <w:pPr>
        <w:pStyle w:val="NIEARTTEKSTtekstnieartykuowanynppodstprawnarozplubpreambua"/>
      </w:pPr>
      <w:r w:rsidRPr="00981A82">
        <w:t>2.</w:t>
      </w:r>
      <w:r w:rsidR="005B49A9">
        <w:t>5</w:t>
      </w:r>
      <w:r w:rsidR="00E153CD">
        <w:t>.</w:t>
      </w:r>
      <w:r w:rsidRPr="00981A82">
        <w:tab/>
      </w:r>
      <w:r w:rsidR="006643F1" w:rsidRPr="00981A82">
        <w:t xml:space="preserve">Dokumenty, o których mowa w </w:t>
      </w:r>
      <w:r w:rsidR="00F93238" w:rsidRPr="00B754D5">
        <w:t>pkt 2</w:t>
      </w:r>
      <w:r w:rsidR="005B49A9">
        <w:t>.1</w:t>
      </w:r>
      <w:r w:rsidR="00F93238">
        <w:t xml:space="preserve">, w </w:t>
      </w:r>
      <w:r w:rsidR="006643F1" w:rsidRPr="00981A82">
        <w:t>jednostkach redakcyjnych [1</w:t>
      </w:r>
      <w:r w:rsidR="00F93238">
        <w:t>1</w:t>
      </w:r>
      <w:r w:rsidR="006643F1" w:rsidRPr="00981A82">
        <w:t>]</w:t>
      </w:r>
      <w:r w:rsidR="00E153CD">
        <w:t>–</w:t>
      </w:r>
      <w:r w:rsidR="006643F1" w:rsidRPr="00981A82">
        <w:t>[1</w:t>
      </w:r>
      <w:r w:rsidR="00F93238">
        <w:t>4</w:t>
      </w:r>
      <w:r w:rsidR="006643F1" w:rsidRPr="00981A82">
        <w:t xml:space="preserve">], są dostępne (odpłatnie) na stronie Międzynarodowej Komisji Elektrotechnicznej </w:t>
      </w:r>
      <w:r w:rsidR="00CA438A">
        <w:t>(</w:t>
      </w:r>
      <w:r w:rsidR="006643F1" w:rsidRPr="00981A82">
        <w:t>IEC</w:t>
      </w:r>
      <w:r w:rsidR="00CA438A">
        <w:t xml:space="preserve">) </w:t>
      </w:r>
      <w:r w:rsidR="00CA438A" w:rsidRPr="00CA438A">
        <w:t>–</w:t>
      </w:r>
      <w:r w:rsidR="006643F1" w:rsidRPr="00981A82">
        <w:t xml:space="preserve"> </w:t>
      </w:r>
      <w:r w:rsidR="00F93238" w:rsidRPr="00882A4C">
        <w:t>www.iec.ch</w:t>
      </w:r>
      <w:r w:rsidR="006643F1" w:rsidRPr="00981A82">
        <w:t>.</w:t>
      </w:r>
    </w:p>
    <w:p w:rsidR="00F93238" w:rsidRPr="00F93238" w:rsidRDefault="00F93238" w:rsidP="00626603">
      <w:pPr>
        <w:pStyle w:val="ARTartustawynprozporzdzenia"/>
      </w:pPr>
      <w:r>
        <w:t>2.</w:t>
      </w:r>
      <w:r w:rsidR="005B49A9">
        <w:t>6</w:t>
      </w:r>
      <w:r w:rsidR="00E153CD">
        <w:t>.</w:t>
      </w:r>
      <w:r>
        <w:t xml:space="preserve"> Dokumenty, o których mowa w </w:t>
      </w:r>
      <w:r w:rsidRPr="00B754D5">
        <w:t>pkt 2</w:t>
      </w:r>
      <w:r w:rsidR="005B49A9">
        <w:t>.1</w:t>
      </w:r>
      <w:r>
        <w:t>, w jednostkach redakcyjnych [15]</w:t>
      </w:r>
      <w:r w:rsidR="00E153CD" w:rsidRPr="00E153CD">
        <w:t>–</w:t>
      </w:r>
      <w:r>
        <w:t>[25], są dostępne (odpłatnie) na stronie</w:t>
      </w:r>
      <w:r w:rsidR="00626603">
        <w:t xml:space="preserve"> Międzynarodowej Organizacji Normalizacyjnej</w:t>
      </w:r>
      <w:r>
        <w:t xml:space="preserve"> </w:t>
      </w:r>
      <w:r w:rsidR="00B148D8">
        <w:t xml:space="preserve">(ISO) – </w:t>
      </w:r>
      <w:r w:rsidRPr="00F93238">
        <w:t>www.iso.org</w:t>
      </w:r>
      <w:r w:rsidR="00626603">
        <w:t>.</w:t>
      </w:r>
    </w:p>
    <w:p w:rsidR="00811C70" w:rsidRDefault="00155907" w:rsidP="00CC1864">
      <w:pPr>
        <w:pStyle w:val="NIEARTTEKSTtekstnieartykuowanynppodstprawnarozplubpreambua"/>
      </w:pPr>
      <w:r w:rsidRPr="00981A82">
        <w:t>2.</w:t>
      </w:r>
      <w:r w:rsidR="005B49A9">
        <w:t>7</w:t>
      </w:r>
      <w:r w:rsidR="00E153CD">
        <w:t>.</w:t>
      </w:r>
      <w:r w:rsidRPr="00981A82">
        <w:tab/>
      </w:r>
      <w:r w:rsidR="006643F1" w:rsidRPr="00981A82">
        <w:t>Dokument, o któ</w:t>
      </w:r>
      <w:r>
        <w:t>rym</w:t>
      </w:r>
      <w:r w:rsidR="006643F1" w:rsidRPr="00981A82">
        <w:t xml:space="preserve"> mowa </w:t>
      </w:r>
      <w:r w:rsidR="00E153CD">
        <w:t xml:space="preserve">w </w:t>
      </w:r>
      <w:r w:rsidR="00E153CD" w:rsidRPr="00B754D5">
        <w:t>pkt 2</w:t>
      </w:r>
      <w:r w:rsidR="005B49A9">
        <w:t>.1</w:t>
      </w:r>
      <w:r w:rsidR="00E153CD">
        <w:t xml:space="preserve">, </w:t>
      </w:r>
      <w:r w:rsidR="006643F1" w:rsidRPr="00981A82">
        <w:t>w jednostce redakcyjnej [26] jest dostępny na stronie Międzynarodowego Związku Telekomunikacyjnego (</w:t>
      </w:r>
      <w:r w:rsidR="00B148D8">
        <w:t xml:space="preserve">ITU) – </w:t>
      </w:r>
      <w:r w:rsidR="00CC1864" w:rsidRPr="00CC1864">
        <w:t>www.itu.int</w:t>
      </w:r>
      <w:r w:rsidR="006643F1" w:rsidRPr="00981A82">
        <w:t>.</w:t>
      </w:r>
    </w:p>
    <w:p w:rsidR="00CC1864" w:rsidRPr="00CC1864" w:rsidRDefault="00CC1864" w:rsidP="00CC1864">
      <w:pPr>
        <w:pStyle w:val="ARTartustawynprozporzdzenia"/>
      </w:pPr>
    </w:p>
    <w:p w:rsidR="00776D98" w:rsidRPr="00811C70" w:rsidRDefault="00776D98" w:rsidP="00776D98">
      <w:pPr>
        <w:rPr>
          <w:b/>
        </w:rPr>
      </w:pPr>
      <w:bookmarkStart w:id="5" w:name="_Toc528068357"/>
      <w:r w:rsidRPr="00776D98">
        <w:rPr>
          <w:rStyle w:val="Ppogrubienie"/>
        </w:rPr>
        <w:t>3.</w:t>
      </w:r>
      <w:r w:rsidRPr="00776D98">
        <w:rPr>
          <w:rStyle w:val="Ppogrubienie"/>
        </w:rPr>
        <w:tab/>
        <w:t>Definicje</w:t>
      </w:r>
      <w:bookmarkEnd w:id="5"/>
    </w:p>
    <w:p w:rsidR="00776D98" w:rsidRDefault="00776D98" w:rsidP="00776D98">
      <w:pPr>
        <w:pStyle w:val="NIEARTTEKSTtekstnieartykuowanynppodstprawnarozplubpreambua"/>
      </w:pPr>
      <w:r w:rsidRPr="00B660DF">
        <w:t xml:space="preserve">Określenia użyte w </w:t>
      </w:r>
      <w:r w:rsidR="001D5113">
        <w:t>niniejszym załączniku</w:t>
      </w:r>
      <w:r w:rsidR="001D5113" w:rsidRPr="00B660DF">
        <w:t xml:space="preserve"> </w:t>
      </w:r>
      <w:r w:rsidRPr="00B660DF">
        <w:t>oznaczają:</w:t>
      </w:r>
    </w:p>
    <w:p w:rsidR="00776D98" w:rsidRPr="0033435B" w:rsidRDefault="00776D98" w:rsidP="00776D98">
      <w:pPr>
        <w:pStyle w:val="NIEARTTEKSTtekstnieartykuowanynppodstprawnarozplubpreambua"/>
      </w:pPr>
      <w:r w:rsidRPr="00776D98">
        <w:t xml:space="preserve">3.1 Odbiornik </w:t>
      </w:r>
      <w:r w:rsidR="001F4616">
        <w:t>radiofonii</w:t>
      </w:r>
      <w:r w:rsidR="001F4616" w:rsidRPr="00776D98">
        <w:t xml:space="preserve"> </w:t>
      </w:r>
      <w:r w:rsidRPr="00776D98">
        <w:t>DAB+</w:t>
      </w:r>
      <w:r w:rsidRPr="0033435B">
        <w:t xml:space="preserve"> – urządzenie </w:t>
      </w:r>
      <w:r w:rsidR="00650146">
        <w:t xml:space="preserve">konsumenckie służące </w:t>
      </w:r>
      <w:r w:rsidR="00650146" w:rsidRPr="00B660DF">
        <w:t xml:space="preserve">do odbioru cyfrowych transmisji radiofonicznych </w:t>
      </w:r>
      <w:r w:rsidRPr="0033435B">
        <w:t xml:space="preserve">DAB+ </w:t>
      </w:r>
      <w:r w:rsidR="00E47DBE">
        <w:t xml:space="preserve">wykorzystujących </w:t>
      </w:r>
      <w:r w:rsidRPr="0033435B">
        <w:t>nadawan</w:t>
      </w:r>
      <w:r w:rsidR="00E47DBE">
        <w:t>ie</w:t>
      </w:r>
      <w:r w:rsidRPr="0033435B">
        <w:t xml:space="preserve"> zgodnie z norm</w:t>
      </w:r>
      <w:r w:rsidR="00E47DBE">
        <w:t>ami</w:t>
      </w:r>
      <w:r w:rsidRPr="0033435B">
        <w:t xml:space="preserve"> PN-ETSI EN 300 401 V2.1.1</w:t>
      </w:r>
      <w:r w:rsidR="00D24078">
        <w:t>:2017-8</w:t>
      </w:r>
      <w:r w:rsidRPr="0033435B">
        <w:t xml:space="preserve"> </w:t>
      </w:r>
      <w:r w:rsidRPr="0033435B">
        <w:fldChar w:fldCharType="begin"/>
      </w:r>
      <w:r w:rsidRPr="0033435B">
        <w:instrText xml:space="preserve"> REF _Ref383151620 \r \h  \* MERGEFORMAT </w:instrText>
      </w:r>
      <w:r w:rsidRPr="0033435B">
        <w:fldChar w:fldCharType="separate"/>
      </w:r>
      <w:r w:rsidRPr="0033435B">
        <w:t>[1]</w:t>
      </w:r>
      <w:r w:rsidRPr="0033435B">
        <w:fldChar w:fldCharType="end"/>
      </w:r>
      <w:r w:rsidRPr="0033435B">
        <w:t xml:space="preserve"> i ETSI TS 102 563 V2.1.1</w:t>
      </w:r>
      <w:r w:rsidR="00D24078">
        <w:t>:2017-01</w:t>
      </w:r>
      <w:r w:rsidRPr="0033435B">
        <w:t xml:space="preserve"> </w:t>
      </w:r>
      <w:r w:rsidRPr="0033435B">
        <w:fldChar w:fldCharType="begin"/>
      </w:r>
      <w:r w:rsidRPr="0033435B">
        <w:instrText xml:space="preserve"> REF _Ref383438523 \r \h  \* MERGEFORMAT </w:instrText>
      </w:r>
      <w:r w:rsidRPr="0033435B">
        <w:fldChar w:fldCharType="separate"/>
      </w:r>
      <w:r w:rsidRPr="0033435B">
        <w:t>[5]</w:t>
      </w:r>
      <w:r w:rsidRPr="0033435B">
        <w:fldChar w:fldCharType="end"/>
      </w:r>
      <w:r w:rsidRPr="0033435B">
        <w:t>.</w:t>
      </w:r>
    </w:p>
    <w:p w:rsidR="00776D98" w:rsidRPr="00B660DF" w:rsidRDefault="00776D98" w:rsidP="00776D98">
      <w:pPr>
        <w:pStyle w:val="NIEARTTEKSTtekstnieartykuowanynppodstprawnarozplubpreambua"/>
      </w:pPr>
      <w:r w:rsidRPr="00776D98">
        <w:t>3.2 Odbiornik standardowy</w:t>
      </w:r>
      <w:r w:rsidRPr="00B660DF">
        <w:t xml:space="preserve"> – odbiornik </w:t>
      </w:r>
      <w:r w:rsidR="00642EEF">
        <w:t>radiofonii</w:t>
      </w:r>
      <w:r w:rsidR="00642EEF" w:rsidRPr="00B660DF">
        <w:t xml:space="preserve"> </w:t>
      </w:r>
      <w:r w:rsidRPr="00B660DF">
        <w:t xml:space="preserve">DAB+ </w:t>
      </w:r>
      <w:r w:rsidR="00BA3E87">
        <w:t>służący</w:t>
      </w:r>
      <w:r w:rsidR="00500AEE" w:rsidRPr="00B660DF">
        <w:t xml:space="preserve"> </w:t>
      </w:r>
      <w:r w:rsidRPr="00B660DF">
        <w:t xml:space="preserve">do odbioru </w:t>
      </w:r>
      <w:r w:rsidR="006452AD">
        <w:t xml:space="preserve">cyfrowych transmisji </w:t>
      </w:r>
      <w:r w:rsidR="00E47DBE">
        <w:t>radiofonicznych</w:t>
      </w:r>
      <w:r w:rsidRPr="00B660DF">
        <w:t>, wyposażony w co najmniej wyświetlacz alfanumeryczny.</w:t>
      </w:r>
    </w:p>
    <w:p w:rsidR="00776D98" w:rsidRPr="00B660DF" w:rsidRDefault="00776D98" w:rsidP="00776D98">
      <w:pPr>
        <w:pStyle w:val="NIEARTTEKSTtekstnieartykuowanynppodstprawnarozplubpreambua"/>
      </w:pPr>
      <w:r w:rsidRPr="00776D98">
        <w:t>3.3</w:t>
      </w:r>
      <w:r w:rsidR="00D60D2D">
        <w:t>.</w:t>
      </w:r>
      <w:r w:rsidRPr="00776D98">
        <w:t xml:space="preserve"> Odbiornik multimedialny</w:t>
      </w:r>
      <w:r w:rsidRPr="00B660DF">
        <w:t xml:space="preserve"> – odbiornik </w:t>
      </w:r>
      <w:r w:rsidR="00E67746">
        <w:t>radiofonii</w:t>
      </w:r>
      <w:r w:rsidR="00E67746" w:rsidRPr="00B660DF">
        <w:t xml:space="preserve"> </w:t>
      </w:r>
      <w:r w:rsidRPr="00B660DF">
        <w:t xml:space="preserve">DAB+ </w:t>
      </w:r>
      <w:r w:rsidR="00BA3E87">
        <w:t>służący</w:t>
      </w:r>
      <w:r w:rsidR="00500AEE" w:rsidRPr="00B660DF">
        <w:t xml:space="preserve"> </w:t>
      </w:r>
      <w:r w:rsidRPr="00B660DF">
        <w:t xml:space="preserve">do odbioru </w:t>
      </w:r>
      <w:r w:rsidR="006452AD">
        <w:t>cyfrowych transmisji</w:t>
      </w:r>
      <w:r w:rsidR="006452AD" w:rsidRPr="00B660DF">
        <w:t xml:space="preserve"> </w:t>
      </w:r>
      <w:r w:rsidRPr="00B660DF">
        <w:t>radiofonicznych</w:t>
      </w:r>
      <w:r w:rsidR="00655544">
        <w:t>,</w:t>
      </w:r>
      <w:r w:rsidRPr="00B660DF">
        <w:t xml:space="preserve"> wyposażony w kolorowy wyświetlacz o ro</w:t>
      </w:r>
      <w:r w:rsidRPr="00776D98">
        <w:t>z</w:t>
      </w:r>
      <w:r w:rsidRPr="00B660DF">
        <w:t>dzielczości co najmniej 320 x 240 pikseli i rozdzielczości koloru co najmniej 8 bitów.</w:t>
      </w:r>
    </w:p>
    <w:p w:rsidR="00776D98" w:rsidRDefault="00776D98" w:rsidP="00776D98">
      <w:pPr>
        <w:pStyle w:val="NIEARTTEKSTtekstnieartykuowanynppodstprawnarozplubpreambua"/>
      </w:pPr>
      <w:r w:rsidRPr="00776D98">
        <w:lastRenderedPageBreak/>
        <w:t>3.4</w:t>
      </w:r>
      <w:r w:rsidR="00D60D2D">
        <w:t>.</w:t>
      </w:r>
      <w:r w:rsidRPr="00776D98">
        <w:t xml:space="preserve"> Adapter </w:t>
      </w:r>
      <w:r w:rsidRPr="00B660DF">
        <w:t xml:space="preserve">– odbiornik </w:t>
      </w:r>
      <w:r w:rsidR="00E67746">
        <w:t>radiofonii</w:t>
      </w:r>
      <w:r w:rsidR="00E67746" w:rsidRPr="00B660DF">
        <w:t xml:space="preserve"> </w:t>
      </w:r>
      <w:r w:rsidRPr="00B660DF">
        <w:t xml:space="preserve">DAB+ przetwarzający sygnał DAB+ na UKF FM, Bluetooth, </w:t>
      </w:r>
      <w:r w:rsidR="00E47DBE">
        <w:t xml:space="preserve">wyposażony w </w:t>
      </w:r>
      <w:r w:rsidRPr="00B660DF">
        <w:t>wyjście audio AUX lub inne rozwiązania techniczne.</w:t>
      </w:r>
    </w:p>
    <w:p w:rsidR="00A934C6" w:rsidRPr="000605D5" w:rsidRDefault="00A934C6" w:rsidP="00A934C6">
      <w:pPr>
        <w:pStyle w:val="NIEARTTEKSTtekstnieartykuowanynppodstprawnarozplubpreambua"/>
        <w:rPr>
          <w:rFonts w:eastAsia="Times New Roman"/>
          <w:color w:val="FF0000"/>
        </w:rPr>
      </w:pPr>
      <w:r>
        <w:t>3.5</w:t>
      </w:r>
      <w:r w:rsidR="00D60D2D">
        <w:t>.</w:t>
      </w:r>
      <w:r>
        <w:t xml:space="preserve"> Odbiornik samochodowy – </w:t>
      </w:r>
      <w:r w:rsidR="00650146" w:rsidRPr="00B660DF">
        <w:t xml:space="preserve">odbiornik </w:t>
      </w:r>
      <w:r w:rsidR="00650146">
        <w:t>radiofonii</w:t>
      </w:r>
      <w:r w:rsidR="00650146" w:rsidRPr="00B660DF">
        <w:t xml:space="preserve"> DAB+</w:t>
      </w:r>
      <w:r w:rsidR="00650146">
        <w:t xml:space="preserve"> </w:t>
      </w:r>
      <w:r w:rsidR="008C7458">
        <w:t>wbudowany</w:t>
      </w:r>
      <w:r w:rsidRPr="009D0321">
        <w:t xml:space="preserve"> do pojazdów kategorii M</w:t>
      </w:r>
      <w:r>
        <w:t>, o których mowa</w:t>
      </w:r>
      <w:r w:rsidRPr="009D0321">
        <w:t xml:space="preserve"> w pkt 1 </w:t>
      </w:r>
      <w:r>
        <w:t>z</w:t>
      </w:r>
      <w:r w:rsidRPr="009D0321">
        <w:t xml:space="preserve">ałącznika </w:t>
      </w:r>
      <w:r w:rsidR="00D60D2D">
        <w:t xml:space="preserve">nr </w:t>
      </w:r>
      <w:r w:rsidRPr="009D0321">
        <w:t xml:space="preserve">2 do ustawy z dnia 20 czerwca 1997 r. – </w:t>
      </w:r>
      <w:r w:rsidR="00D60D2D">
        <w:t>P</w:t>
      </w:r>
      <w:r w:rsidRPr="009D0321">
        <w:t>rawo o ruchu drogowym.</w:t>
      </w:r>
    </w:p>
    <w:p w:rsidR="00A934C6" w:rsidRPr="00A934C6" w:rsidRDefault="00A934C6" w:rsidP="00882A4C">
      <w:pPr>
        <w:pStyle w:val="ARTartustawynprozporzdzenia"/>
      </w:pPr>
    </w:p>
    <w:p w:rsidR="00776D98" w:rsidRPr="00B660DF" w:rsidRDefault="00776D98" w:rsidP="00776D98">
      <w:bookmarkStart w:id="6" w:name="_Toc528068358"/>
      <w:r w:rsidRPr="00776D98">
        <w:rPr>
          <w:rStyle w:val="Ppogrubienie"/>
        </w:rPr>
        <w:t>4.</w:t>
      </w:r>
      <w:r w:rsidRPr="00776D98">
        <w:rPr>
          <w:rStyle w:val="Ppogrubienie"/>
        </w:rPr>
        <w:tab/>
        <w:t>Skróty i akronimy</w:t>
      </w:r>
      <w:bookmarkEnd w:id="6"/>
    </w:p>
    <w:p w:rsidR="00776D98" w:rsidRPr="009D0321" w:rsidRDefault="00776D98" w:rsidP="000C7239">
      <w:pPr>
        <w:jc w:val="both"/>
        <w:rPr>
          <w:bCs/>
        </w:rPr>
      </w:pPr>
      <w:r w:rsidRPr="00776D98">
        <w:t>AAC</w:t>
      </w:r>
      <w:r w:rsidR="004426D0">
        <w:tab/>
      </w:r>
      <w:r w:rsidR="004426D0">
        <w:tab/>
      </w:r>
      <w:r w:rsidR="004426D0">
        <w:tab/>
      </w:r>
      <w:r w:rsidRPr="00776D98">
        <w:t xml:space="preserve">Advanced Audio </w:t>
      </w:r>
      <w:proofErr w:type="spellStart"/>
      <w:r w:rsidRPr="00776D98">
        <w:t>Coding</w:t>
      </w:r>
      <w:proofErr w:type="spellEnd"/>
      <w:r w:rsidRPr="00776D98">
        <w:t xml:space="preserve"> (Zaawansowane kodowanie fonii) zgodnie z</w:t>
      </w:r>
      <w:r w:rsidR="00E47DBE">
        <w:t xml:space="preserve"> </w:t>
      </w:r>
      <w:r w:rsidR="00F728CD" w:rsidRPr="009D0321">
        <w:rPr>
          <w:bCs/>
        </w:rPr>
        <w:t xml:space="preserve">ISO/IEC 14496-3:2009 </w:t>
      </w:r>
      <w:r w:rsidRPr="00776D98">
        <w:fldChar w:fldCharType="begin"/>
      </w:r>
      <w:r w:rsidRPr="00776D98">
        <w:instrText xml:space="preserve"> REF _Ref383439138 \r \h  \* MERGEFORMAT </w:instrText>
      </w:r>
      <w:r w:rsidRPr="00776D98">
        <w:fldChar w:fldCharType="separate"/>
      </w:r>
      <w:r w:rsidRPr="00776D98">
        <w:t>[13]</w:t>
      </w:r>
      <w:r w:rsidRPr="00776D98">
        <w:fldChar w:fldCharType="end"/>
      </w:r>
      <w:r w:rsidR="00D41E8D" w:rsidRPr="009D0321">
        <w:t xml:space="preserve"> </w:t>
      </w:r>
    </w:p>
    <w:p w:rsidR="00776D98" w:rsidRPr="00776D98" w:rsidRDefault="00776D98" w:rsidP="000C7239">
      <w:pPr>
        <w:jc w:val="both"/>
      </w:pPr>
      <w:r w:rsidRPr="00776D98">
        <w:t>CU</w:t>
      </w:r>
      <w:r w:rsidRPr="00776D98">
        <w:tab/>
      </w:r>
      <w:r w:rsidR="004426D0">
        <w:tab/>
      </w:r>
      <w:r w:rsidR="004426D0">
        <w:tab/>
      </w:r>
      <w:r w:rsidR="004426D0">
        <w:tab/>
      </w:r>
      <w:proofErr w:type="spellStart"/>
      <w:r w:rsidRPr="00776D98">
        <w:t>Capacity</w:t>
      </w:r>
      <w:proofErr w:type="spellEnd"/>
      <w:r w:rsidRPr="00776D98">
        <w:t xml:space="preserve"> Unit (Jednostka pojemności)</w:t>
      </w:r>
    </w:p>
    <w:p w:rsidR="00776D98" w:rsidRPr="00776D98" w:rsidRDefault="00776D98" w:rsidP="000C7239">
      <w:pPr>
        <w:jc w:val="both"/>
        <w:rPr>
          <w:lang w:val="en-US"/>
        </w:rPr>
      </w:pPr>
      <w:r w:rsidRPr="00776D98">
        <w:rPr>
          <w:lang w:val="en-US"/>
        </w:rPr>
        <w:t>DAB</w:t>
      </w:r>
      <w:r w:rsidR="004426D0">
        <w:rPr>
          <w:lang w:val="en-US"/>
        </w:rPr>
        <w:tab/>
      </w:r>
      <w:r w:rsidRPr="00776D98">
        <w:rPr>
          <w:lang w:val="en-US"/>
        </w:rPr>
        <w:tab/>
      </w:r>
      <w:r w:rsidR="004426D0">
        <w:rPr>
          <w:lang w:val="en-US"/>
        </w:rPr>
        <w:tab/>
      </w:r>
      <w:r w:rsidRPr="00776D98">
        <w:rPr>
          <w:lang w:val="en-US"/>
        </w:rPr>
        <w:t>Digital Audio Broadcasting (</w:t>
      </w:r>
      <w:proofErr w:type="spellStart"/>
      <w:r w:rsidRPr="00776D98">
        <w:rPr>
          <w:lang w:val="en-US"/>
        </w:rPr>
        <w:t>Radiofonia</w:t>
      </w:r>
      <w:proofErr w:type="spellEnd"/>
      <w:r w:rsidRPr="00776D98">
        <w:rPr>
          <w:lang w:val="en-US"/>
        </w:rPr>
        <w:t xml:space="preserve"> </w:t>
      </w:r>
      <w:proofErr w:type="spellStart"/>
      <w:r w:rsidRPr="00776D98">
        <w:rPr>
          <w:lang w:val="en-US"/>
        </w:rPr>
        <w:t>cyfrowa</w:t>
      </w:r>
      <w:proofErr w:type="spellEnd"/>
      <w:r w:rsidRPr="00776D98">
        <w:rPr>
          <w:lang w:val="en-US"/>
        </w:rPr>
        <w:t xml:space="preserve"> DAB)</w:t>
      </w:r>
    </w:p>
    <w:p w:rsidR="00776D98" w:rsidRPr="00776D98" w:rsidRDefault="00776D98" w:rsidP="000C7239">
      <w:pPr>
        <w:jc w:val="both"/>
      </w:pPr>
      <w:r w:rsidRPr="00776D98">
        <w:t>DAB+</w:t>
      </w:r>
      <w:r w:rsidRPr="00776D98">
        <w:tab/>
      </w:r>
      <w:r w:rsidR="004426D0">
        <w:tab/>
      </w:r>
      <w:r w:rsidRPr="00776D98">
        <w:t>Radiofonia cyfrowa wykorzystująca kodowanie fonii MPEG-4 HE AACv2 zgodnie z ETSI TS 102 563 V2.1.1</w:t>
      </w:r>
      <w:r w:rsidR="002A0DF0">
        <w:t>:2017-01</w:t>
      </w:r>
      <w:r w:rsidRPr="00776D98" w:rsidDel="00601BE0">
        <w:t xml:space="preserve"> </w:t>
      </w:r>
      <w:r w:rsidRPr="00776D98">
        <w:t>[5]</w:t>
      </w:r>
    </w:p>
    <w:p w:rsidR="00776D98" w:rsidRPr="00776D98" w:rsidRDefault="00776D98" w:rsidP="000C7239">
      <w:pPr>
        <w:jc w:val="both"/>
      </w:pPr>
      <w:r w:rsidRPr="00776D98">
        <w:t>DL</w:t>
      </w:r>
      <w:r w:rsidR="004426D0">
        <w:tab/>
      </w:r>
      <w:r w:rsidR="004426D0">
        <w:tab/>
      </w:r>
      <w:r w:rsidR="004426D0">
        <w:tab/>
      </w:r>
      <w:proofErr w:type="spellStart"/>
      <w:r w:rsidRPr="00776D98">
        <w:t>Dynamic</w:t>
      </w:r>
      <w:proofErr w:type="spellEnd"/>
      <w:r w:rsidRPr="00776D98">
        <w:t xml:space="preserve"> </w:t>
      </w:r>
      <w:proofErr w:type="spellStart"/>
      <w:r w:rsidRPr="00776D98">
        <w:t>Label</w:t>
      </w:r>
      <w:proofErr w:type="spellEnd"/>
      <w:r w:rsidRPr="00776D98">
        <w:t xml:space="preserve"> (Etykieta dynamiczna)</w:t>
      </w:r>
    </w:p>
    <w:p w:rsidR="00776D98" w:rsidRPr="00776D98" w:rsidRDefault="004426D0" w:rsidP="000C7239">
      <w:pPr>
        <w:jc w:val="both"/>
        <w:rPr>
          <w:lang w:val="fr-FR"/>
        </w:rPr>
      </w:pPr>
      <w:r>
        <w:rPr>
          <w:lang w:val="fr-FR"/>
        </w:rPr>
        <w:t>EN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776D98" w:rsidRPr="00776D98">
        <w:rPr>
          <w:lang w:val="fr-FR"/>
        </w:rPr>
        <w:t>European Norm (Norma Europejska)</w:t>
      </w:r>
    </w:p>
    <w:p w:rsidR="00776D98" w:rsidRPr="00776D98" w:rsidRDefault="004426D0" w:rsidP="000C7239">
      <w:pPr>
        <w:jc w:val="both"/>
      </w:pPr>
      <w:r>
        <w:t>EPG</w:t>
      </w:r>
      <w:r>
        <w:tab/>
      </w:r>
      <w:r>
        <w:tab/>
      </w:r>
      <w:proofErr w:type="spellStart"/>
      <w:r w:rsidR="00776D98" w:rsidRPr="00776D98">
        <w:t>Electronic</w:t>
      </w:r>
      <w:proofErr w:type="spellEnd"/>
      <w:r w:rsidR="00776D98" w:rsidRPr="00776D98">
        <w:t xml:space="preserve"> Program Guide (Elektroniczny przewodnik po programach)</w:t>
      </w:r>
    </w:p>
    <w:p w:rsidR="00776D98" w:rsidRPr="00776D98" w:rsidRDefault="00776D98" w:rsidP="000C7239">
      <w:pPr>
        <w:jc w:val="both"/>
      </w:pPr>
      <w:r w:rsidRPr="00776D98">
        <w:t>ETSI</w:t>
      </w:r>
      <w:r w:rsidRPr="00776D98">
        <w:tab/>
      </w:r>
      <w:r w:rsidR="004426D0">
        <w:tab/>
      </w:r>
      <w:proofErr w:type="spellStart"/>
      <w:r w:rsidRPr="00776D98">
        <w:t>European</w:t>
      </w:r>
      <w:proofErr w:type="spellEnd"/>
      <w:r w:rsidRPr="00776D98">
        <w:t xml:space="preserve"> </w:t>
      </w:r>
      <w:proofErr w:type="spellStart"/>
      <w:r w:rsidRPr="00776D98">
        <w:t>Telecommunications</w:t>
      </w:r>
      <w:proofErr w:type="spellEnd"/>
      <w:r w:rsidRPr="00776D98">
        <w:t xml:space="preserve"> </w:t>
      </w:r>
      <w:proofErr w:type="spellStart"/>
      <w:r w:rsidRPr="00776D98">
        <w:t>Standards</w:t>
      </w:r>
      <w:proofErr w:type="spellEnd"/>
      <w:r w:rsidRPr="00776D98">
        <w:t xml:space="preserve"> </w:t>
      </w:r>
      <w:proofErr w:type="spellStart"/>
      <w:r w:rsidRPr="00776D98">
        <w:t>Institute</w:t>
      </w:r>
      <w:proofErr w:type="spellEnd"/>
      <w:r w:rsidRPr="00776D98">
        <w:t xml:space="preserve"> (Europejski Instytut Norm Telekomunikacyjnych)</w:t>
      </w:r>
    </w:p>
    <w:p w:rsidR="00776D98" w:rsidRPr="00776D98" w:rsidRDefault="00776D98" w:rsidP="000C7239">
      <w:pPr>
        <w:jc w:val="both"/>
      </w:pPr>
      <w:r w:rsidRPr="00776D98">
        <w:t>FM</w:t>
      </w:r>
      <w:r w:rsidRPr="00776D98">
        <w:tab/>
      </w:r>
      <w:r w:rsidR="004426D0">
        <w:tab/>
      </w:r>
      <w:proofErr w:type="spellStart"/>
      <w:r w:rsidRPr="00776D98">
        <w:t>Frequency</w:t>
      </w:r>
      <w:proofErr w:type="spellEnd"/>
      <w:r w:rsidRPr="00776D98">
        <w:t xml:space="preserve"> </w:t>
      </w:r>
      <w:proofErr w:type="spellStart"/>
      <w:r w:rsidRPr="00776D98">
        <w:t>Modulation</w:t>
      </w:r>
      <w:proofErr w:type="spellEnd"/>
      <w:r w:rsidRPr="00776D98">
        <w:t xml:space="preserve"> (Modulacja częstotliwości)</w:t>
      </w:r>
    </w:p>
    <w:p w:rsidR="002C00A7" w:rsidRPr="009D0321" w:rsidRDefault="002C00A7" w:rsidP="000C7239">
      <w:pPr>
        <w:jc w:val="both"/>
        <w:rPr>
          <w:bCs/>
        </w:rPr>
      </w:pPr>
      <w:r w:rsidRPr="002C00A7">
        <w:t xml:space="preserve">HE AACv2 High </w:t>
      </w:r>
      <w:proofErr w:type="spellStart"/>
      <w:r w:rsidRPr="002C00A7">
        <w:t>Efficient</w:t>
      </w:r>
      <w:proofErr w:type="spellEnd"/>
      <w:r w:rsidRPr="002C00A7">
        <w:t xml:space="preserve"> Advanced Audio </w:t>
      </w:r>
      <w:proofErr w:type="spellStart"/>
      <w:r w:rsidRPr="002C00A7">
        <w:t>Coding</w:t>
      </w:r>
      <w:proofErr w:type="spellEnd"/>
      <w:r w:rsidRPr="00882A4C">
        <w:t xml:space="preserve"> </w:t>
      </w:r>
      <w:r w:rsidRPr="00776D98">
        <w:t>(</w:t>
      </w:r>
      <w:r>
        <w:t>Profil 2 o wysokiej efektywności</w:t>
      </w:r>
      <w:r w:rsidR="00995D55">
        <w:t xml:space="preserve"> HE</w:t>
      </w:r>
      <w:r>
        <w:t xml:space="preserve"> z</w:t>
      </w:r>
      <w:r w:rsidRPr="00776D98">
        <w:t>aawansowane</w:t>
      </w:r>
      <w:r>
        <w:t>go kodowania</w:t>
      </w:r>
      <w:r w:rsidRPr="00776D98">
        <w:t xml:space="preserve"> fonii</w:t>
      </w:r>
      <w:r w:rsidR="00995D55">
        <w:t xml:space="preserve"> AAC</w:t>
      </w:r>
      <w:r w:rsidRPr="00776D98">
        <w:t xml:space="preserve">) </w:t>
      </w:r>
      <w:r>
        <w:t xml:space="preserve">zdefiniowany w normie </w:t>
      </w:r>
      <w:r w:rsidRPr="009D0321">
        <w:rPr>
          <w:bCs/>
        </w:rPr>
        <w:t>ISO/IEC 14496-3:2009</w:t>
      </w:r>
      <w:r w:rsidRPr="00776D98">
        <w:fldChar w:fldCharType="begin"/>
      </w:r>
      <w:r w:rsidRPr="00776D98">
        <w:instrText xml:space="preserve"> REF _Ref383439138 \r \h  \* MERGEFORMAT </w:instrText>
      </w:r>
      <w:r w:rsidRPr="00776D98">
        <w:fldChar w:fldCharType="separate"/>
      </w:r>
      <w:r w:rsidRPr="00776D98">
        <w:t>[13]</w:t>
      </w:r>
      <w:r w:rsidRPr="00776D98">
        <w:fldChar w:fldCharType="end"/>
      </w:r>
      <w:r w:rsidRPr="009D0321">
        <w:t xml:space="preserve"> </w:t>
      </w:r>
    </w:p>
    <w:p w:rsidR="00776D98" w:rsidRPr="00995D55" w:rsidRDefault="00776D98" w:rsidP="000C7239">
      <w:pPr>
        <w:jc w:val="both"/>
      </w:pPr>
      <w:r w:rsidRPr="00995D55">
        <w:t>IEC</w:t>
      </w:r>
      <w:r w:rsidRPr="00995D55">
        <w:tab/>
      </w:r>
      <w:r w:rsidR="004426D0" w:rsidRPr="00995D55">
        <w:tab/>
      </w:r>
      <w:r w:rsidRPr="00995D55">
        <w:t xml:space="preserve">International </w:t>
      </w:r>
      <w:proofErr w:type="spellStart"/>
      <w:r w:rsidRPr="00995D55">
        <w:t>Electrotechnical</w:t>
      </w:r>
      <w:proofErr w:type="spellEnd"/>
      <w:r w:rsidRPr="00995D55">
        <w:t xml:space="preserve"> </w:t>
      </w:r>
      <w:proofErr w:type="spellStart"/>
      <w:r w:rsidRPr="00995D55">
        <w:t>Commission</w:t>
      </w:r>
      <w:proofErr w:type="spellEnd"/>
      <w:r w:rsidRPr="00995D55">
        <w:t xml:space="preserve"> (Międzynarodowa Komisja Elektrotechniczna)</w:t>
      </w:r>
    </w:p>
    <w:p w:rsidR="00776D98" w:rsidRPr="00776D98" w:rsidRDefault="00776D98" w:rsidP="000C7239">
      <w:pPr>
        <w:jc w:val="both"/>
      </w:pPr>
      <w:r w:rsidRPr="00776D98">
        <w:t>ISO</w:t>
      </w:r>
      <w:r w:rsidRPr="00776D98">
        <w:tab/>
      </w:r>
      <w:r w:rsidR="004426D0">
        <w:tab/>
      </w:r>
      <w:r w:rsidR="00655544">
        <w:t>International Organiz</w:t>
      </w:r>
      <w:r w:rsidRPr="00776D98">
        <w:t xml:space="preserve">ation for </w:t>
      </w:r>
      <w:proofErr w:type="spellStart"/>
      <w:r w:rsidRPr="00776D98">
        <w:t>Standardi</w:t>
      </w:r>
      <w:r w:rsidR="00457DE8">
        <w:t>z</w:t>
      </w:r>
      <w:r w:rsidRPr="00776D98">
        <w:t>ation</w:t>
      </w:r>
      <w:proofErr w:type="spellEnd"/>
      <w:r w:rsidRPr="00776D98">
        <w:t xml:space="preserve"> (Międzynarodowa Organizacja Normalizacyjna)</w:t>
      </w:r>
    </w:p>
    <w:p w:rsidR="00776D98" w:rsidRPr="00776D98" w:rsidRDefault="00776D98" w:rsidP="000C7239">
      <w:pPr>
        <w:jc w:val="both"/>
      </w:pPr>
      <w:r w:rsidRPr="00776D98">
        <w:t>ITU</w:t>
      </w:r>
      <w:r w:rsidRPr="00776D98">
        <w:tab/>
      </w:r>
      <w:r w:rsidR="004426D0">
        <w:tab/>
      </w:r>
      <w:r w:rsidRPr="00776D98">
        <w:t xml:space="preserve">International </w:t>
      </w:r>
      <w:proofErr w:type="spellStart"/>
      <w:r w:rsidRPr="00776D98">
        <w:t>Telecommunication</w:t>
      </w:r>
      <w:proofErr w:type="spellEnd"/>
      <w:r w:rsidRPr="00776D98">
        <w:t xml:space="preserve"> Union (Międzynarodowy Związek Telekomunikacyjny)</w:t>
      </w:r>
    </w:p>
    <w:p w:rsidR="00776D98" w:rsidRPr="001C61AF" w:rsidRDefault="00776D98" w:rsidP="000C7239">
      <w:pPr>
        <w:jc w:val="both"/>
      </w:pPr>
      <w:r w:rsidRPr="001C61AF">
        <w:t>ITU-R</w:t>
      </w:r>
      <w:r w:rsidRPr="001C61AF">
        <w:tab/>
        <w:t xml:space="preserve">ITU </w:t>
      </w:r>
      <w:proofErr w:type="spellStart"/>
      <w:r w:rsidRPr="001C61AF">
        <w:t>Radiocommunications</w:t>
      </w:r>
      <w:proofErr w:type="spellEnd"/>
      <w:r w:rsidRPr="001C61AF">
        <w:t xml:space="preserve"> </w:t>
      </w:r>
      <w:proofErr w:type="spellStart"/>
      <w:r w:rsidRPr="001C61AF">
        <w:t>Sector</w:t>
      </w:r>
      <w:proofErr w:type="spellEnd"/>
      <w:r w:rsidRPr="001C61AF">
        <w:t xml:space="preserve"> (Sektor Radiokomunikacyjny ITU)</w:t>
      </w:r>
    </w:p>
    <w:p w:rsidR="00776D98" w:rsidRPr="00776D98" w:rsidRDefault="00776D98" w:rsidP="000C7239">
      <w:pPr>
        <w:jc w:val="both"/>
      </w:pPr>
      <w:r w:rsidRPr="00882A4C">
        <w:t>MPEG</w:t>
      </w:r>
      <w:r w:rsidRPr="00882A4C">
        <w:tab/>
      </w:r>
      <w:r w:rsidR="004426D0" w:rsidRPr="00882A4C">
        <w:tab/>
      </w:r>
      <w:r w:rsidR="00142EAB">
        <w:t>zestaw</w:t>
      </w:r>
      <w:r w:rsidR="003A20F6" w:rsidRPr="003A20F6">
        <w:t xml:space="preserve"> standardów kodowania obrazu i towarzyszącego im dźwięku</w:t>
      </w:r>
      <w:r w:rsidR="003A20F6">
        <w:t xml:space="preserve"> </w:t>
      </w:r>
      <w:r w:rsidR="003A20F6" w:rsidRPr="003A20F6">
        <w:t>zatwierdzon</w:t>
      </w:r>
      <w:r w:rsidR="002A0DF0">
        <w:t>y</w:t>
      </w:r>
      <w:r w:rsidR="003A20F6" w:rsidRPr="003A20F6">
        <w:t xml:space="preserve"> przez </w:t>
      </w:r>
      <w:r w:rsidR="00B754D5" w:rsidRPr="00B754D5">
        <w:t>Grupę Ekspertów do spraw Obrazów Ruchomych</w:t>
      </w:r>
      <w:r w:rsidR="003A20F6" w:rsidRPr="003A20F6">
        <w:t xml:space="preserve"> (ang. </w:t>
      </w:r>
      <w:proofErr w:type="spellStart"/>
      <w:r w:rsidR="003A20F6" w:rsidRPr="003A20F6">
        <w:t>Moving</w:t>
      </w:r>
      <w:proofErr w:type="spellEnd"/>
      <w:r w:rsidR="003A20F6" w:rsidRPr="003A20F6">
        <w:t xml:space="preserve"> Picture </w:t>
      </w:r>
      <w:proofErr w:type="spellStart"/>
      <w:r w:rsidR="003A20F6" w:rsidRPr="003A20F6">
        <w:t>Experts</w:t>
      </w:r>
      <w:proofErr w:type="spellEnd"/>
      <w:r w:rsidR="003A20F6" w:rsidRPr="003A20F6">
        <w:t xml:space="preserve"> </w:t>
      </w:r>
      <w:proofErr w:type="spellStart"/>
      <w:r w:rsidR="003A20F6" w:rsidRPr="003A20F6">
        <w:t>Group</w:t>
      </w:r>
      <w:proofErr w:type="spellEnd"/>
      <w:r w:rsidRPr="00776D98">
        <w:t>)</w:t>
      </w:r>
    </w:p>
    <w:p w:rsidR="00776D98" w:rsidRPr="00776D98" w:rsidRDefault="00776D98" w:rsidP="000C7239">
      <w:pPr>
        <w:jc w:val="both"/>
      </w:pPr>
      <w:r w:rsidRPr="00776D98">
        <w:t>MPEG-4</w:t>
      </w:r>
      <w:r w:rsidR="004426D0">
        <w:tab/>
      </w:r>
      <w:r w:rsidR="002A0DF0">
        <w:t xml:space="preserve">zestaw </w:t>
      </w:r>
      <w:r w:rsidRPr="00776D98">
        <w:t>standardów kodowania wizji i fonii MPEG opisana normą ISO/IEC 14496</w:t>
      </w:r>
      <w:r w:rsidR="00FE498C">
        <w:t>-3</w:t>
      </w:r>
      <w:r w:rsidRPr="00776D98">
        <w:t>:2009</w:t>
      </w:r>
      <w:r w:rsidR="002C00A7">
        <w:t xml:space="preserve"> [13]</w:t>
      </w:r>
    </w:p>
    <w:p w:rsidR="00776D98" w:rsidRPr="00776D98" w:rsidRDefault="00776D98" w:rsidP="000C7239">
      <w:pPr>
        <w:jc w:val="both"/>
      </w:pPr>
      <w:r w:rsidRPr="00776D98">
        <w:lastRenderedPageBreak/>
        <w:t>MSC</w:t>
      </w:r>
      <w:r w:rsidRPr="00776D98">
        <w:tab/>
      </w:r>
      <w:r w:rsidR="004426D0">
        <w:tab/>
      </w:r>
      <w:r w:rsidR="004426D0">
        <w:tab/>
      </w:r>
      <w:proofErr w:type="spellStart"/>
      <w:r w:rsidRPr="00776D98">
        <w:t>Main</w:t>
      </w:r>
      <w:proofErr w:type="spellEnd"/>
      <w:r w:rsidRPr="00776D98">
        <w:t xml:space="preserve"> Service Channel (Główny kanał usług)</w:t>
      </w:r>
    </w:p>
    <w:p w:rsidR="00776D98" w:rsidRPr="00776D98" w:rsidRDefault="004426D0" w:rsidP="000C7239">
      <w:pPr>
        <w:jc w:val="both"/>
      </w:pPr>
      <w:r>
        <w:t>RDS</w:t>
      </w:r>
      <w:r>
        <w:tab/>
      </w:r>
      <w:r>
        <w:tab/>
      </w:r>
      <w:r>
        <w:tab/>
      </w:r>
      <w:r w:rsidR="00776D98" w:rsidRPr="00776D98">
        <w:t>Radio Data System (System danych dla radia UKF FM)</w:t>
      </w:r>
    </w:p>
    <w:p w:rsidR="00776D98" w:rsidRPr="001C61AF" w:rsidRDefault="00776D98" w:rsidP="000C7239">
      <w:pPr>
        <w:jc w:val="both"/>
      </w:pPr>
      <w:r w:rsidRPr="00882A4C">
        <w:t>TPEG</w:t>
      </w:r>
      <w:r w:rsidR="004426D0" w:rsidRPr="00882A4C">
        <w:tab/>
      </w:r>
      <w:r w:rsidR="004426D0" w:rsidRPr="00882A4C">
        <w:tab/>
      </w:r>
      <w:r w:rsidR="00882ADD" w:rsidRPr="00882ADD">
        <w:t xml:space="preserve">zestaw protokołów danych dla ruchu i informacji związanych z podróżami </w:t>
      </w:r>
      <w:r w:rsidR="00882ADD">
        <w:t xml:space="preserve">zatwierdzony przez </w:t>
      </w:r>
      <w:r w:rsidR="00B754D5" w:rsidRPr="00B754D5">
        <w:t xml:space="preserve">Grupę Ekspertów do spraw Protokołu Transportowego </w:t>
      </w:r>
      <w:r w:rsidR="00B754D5">
        <w:t xml:space="preserve">(ang. </w:t>
      </w:r>
      <w:r w:rsidRPr="001C61AF">
        <w:t>T</w:t>
      </w:r>
      <w:r w:rsidR="00B754D5" w:rsidRPr="001C61AF">
        <w:t xml:space="preserve">ransport </w:t>
      </w:r>
      <w:proofErr w:type="spellStart"/>
      <w:r w:rsidR="00B754D5" w:rsidRPr="001C61AF">
        <w:t>Protocol</w:t>
      </w:r>
      <w:proofErr w:type="spellEnd"/>
      <w:r w:rsidR="00B754D5" w:rsidRPr="001C61AF">
        <w:t xml:space="preserve"> </w:t>
      </w:r>
      <w:proofErr w:type="spellStart"/>
      <w:r w:rsidR="00B754D5" w:rsidRPr="001C61AF">
        <w:t>Expert</w:t>
      </w:r>
      <w:proofErr w:type="spellEnd"/>
      <w:r w:rsidR="00B754D5" w:rsidRPr="001C61AF">
        <w:t xml:space="preserve"> </w:t>
      </w:r>
      <w:proofErr w:type="spellStart"/>
      <w:r w:rsidR="00B754D5" w:rsidRPr="001C61AF">
        <w:t>Group</w:t>
      </w:r>
      <w:proofErr w:type="spellEnd"/>
      <w:r w:rsidR="00B754D5" w:rsidRPr="001C61AF">
        <w:t>)</w:t>
      </w:r>
    </w:p>
    <w:p w:rsidR="00776D98" w:rsidRPr="001C61AF" w:rsidRDefault="004426D0" w:rsidP="000C7239">
      <w:pPr>
        <w:jc w:val="both"/>
      </w:pPr>
      <w:r w:rsidRPr="001C61AF">
        <w:t>TTI</w:t>
      </w:r>
      <w:r w:rsidRPr="001C61AF">
        <w:tab/>
      </w:r>
      <w:r w:rsidRPr="001C61AF">
        <w:tab/>
      </w:r>
      <w:r w:rsidRPr="001C61AF">
        <w:tab/>
      </w:r>
      <w:proofErr w:type="spellStart"/>
      <w:r w:rsidR="00776D98" w:rsidRPr="001C61AF">
        <w:t>Traffic</w:t>
      </w:r>
      <w:proofErr w:type="spellEnd"/>
      <w:r w:rsidR="00776D98" w:rsidRPr="001C61AF">
        <w:t xml:space="preserve"> and Travel Information (Informacja o podróży i ruchu drogowym)</w:t>
      </w:r>
    </w:p>
    <w:p w:rsidR="00776D98" w:rsidRPr="00776D98" w:rsidRDefault="004426D0" w:rsidP="000C7239">
      <w:pPr>
        <w:jc w:val="both"/>
      </w:pPr>
      <w:r>
        <w:t>TS</w:t>
      </w:r>
      <w:r>
        <w:tab/>
      </w:r>
      <w:r>
        <w:tab/>
      </w:r>
      <w:r>
        <w:tab/>
      </w:r>
      <w:r>
        <w:tab/>
      </w:r>
      <w:r w:rsidR="00776D98" w:rsidRPr="00776D98">
        <w:t xml:space="preserve">Technical </w:t>
      </w:r>
      <w:proofErr w:type="spellStart"/>
      <w:r w:rsidR="00776D98" w:rsidRPr="00776D98">
        <w:t>Specification</w:t>
      </w:r>
      <w:proofErr w:type="spellEnd"/>
      <w:r w:rsidR="00776D98" w:rsidRPr="00776D98">
        <w:t xml:space="preserve"> (Specyfikacja techniczna)</w:t>
      </w:r>
    </w:p>
    <w:p w:rsidR="00776D98" w:rsidRPr="00776D98" w:rsidRDefault="004426D0" w:rsidP="000C7239">
      <w:pPr>
        <w:jc w:val="both"/>
      </w:pPr>
      <w:r>
        <w:t>VHF</w:t>
      </w:r>
      <w:r>
        <w:tab/>
      </w:r>
      <w:r>
        <w:tab/>
      </w:r>
      <w:r>
        <w:tab/>
      </w:r>
      <w:proofErr w:type="spellStart"/>
      <w:r w:rsidR="00776D98" w:rsidRPr="00776D98">
        <w:t>Very</w:t>
      </w:r>
      <w:proofErr w:type="spellEnd"/>
      <w:r w:rsidR="00776D98" w:rsidRPr="00776D98">
        <w:t xml:space="preserve">-High </w:t>
      </w:r>
      <w:proofErr w:type="spellStart"/>
      <w:r w:rsidR="00776D98" w:rsidRPr="00776D98">
        <w:t>Frequency</w:t>
      </w:r>
      <w:proofErr w:type="spellEnd"/>
      <w:r w:rsidR="00776D98" w:rsidRPr="00776D98">
        <w:t xml:space="preserve"> (Zakres bardzo wysokich częstotliwości 30-300 MHz)</w:t>
      </w:r>
    </w:p>
    <w:p w:rsidR="00776D98" w:rsidRPr="00776D98" w:rsidRDefault="00776D98" w:rsidP="000C7239">
      <w:pPr>
        <w:spacing w:after="240"/>
        <w:jc w:val="both"/>
      </w:pPr>
      <w:r w:rsidRPr="00776D98">
        <w:t>UKF</w:t>
      </w:r>
      <w:r w:rsidRPr="00776D98">
        <w:tab/>
      </w:r>
      <w:r w:rsidR="004426D0">
        <w:tab/>
      </w:r>
      <w:r w:rsidR="004426D0">
        <w:tab/>
      </w:r>
      <w:r w:rsidRPr="00776D98">
        <w:t>Radiofonia analogowa FM w zakresie 87,5</w:t>
      </w:r>
      <w:r w:rsidR="00395556" w:rsidRPr="00395556">
        <w:t>–</w:t>
      </w:r>
      <w:r w:rsidRPr="00776D98">
        <w:t>108 MHz</w:t>
      </w:r>
    </w:p>
    <w:p w:rsidR="00776D98" w:rsidRPr="00776D98" w:rsidRDefault="00776D98" w:rsidP="000C7239">
      <w:pPr>
        <w:jc w:val="both"/>
        <w:rPr>
          <w:rStyle w:val="Ppogrubienie"/>
        </w:rPr>
      </w:pPr>
      <w:bookmarkStart w:id="7" w:name="_Toc528068359"/>
      <w:r w:rsidRPr="00776D98">
        <w:rPr>
          <w:rStyle w:val="Ppogrubienie"/>
        </w:rPr>
        <w:t>5.</w:t>
      </w:r>
      <w:r w:rsidRPr="00776D98">
        <w:rPr>
          <w:rStyle w:val="Ppogrubienie"/>
        </w:rPr>
        <w:tab/>
        <w:t>Możliwości odbiorcze</w:t>
      </w:r>
      <w:bookmarkEnd w:id="7"/>
    </w:p>
    <w:p w:rsidR="00776D98" w:rsidRPr="00B660DF" w:rsidRDefault="00776D98" w:rsidP="000C7239">
      <w:pPr>
        <w:spacing w:after="240"/>
        <w:jc w:val="both"/>
      </w:pPr>
      <w:r w:rsidRPr="00B660DF">
        <w:t xml:space="preserve">Odbiornik </w:t>
      </w:r>
      <w:r w:rsidR="00642EEF">
        <w:t>radiofonii</w:t>
      </w:r>
      <w:r w:rsidR="00642EEF" w:rsidRPr="00B660DF">
        <w:t xml:space="preserve"> </w:t>
      </w:r>
      <w:r w:rsidRPr="00B660DF">
        <w:t xml:space="preserve">DAB+ zapewnia odbiór sygnałów DAB+ </w:t>
      </w:r>
      <w:r w:rsidR="00BB67FD">
        <w:t xml:space="preserve">spełniających wymagania wynikające z </w:t>
      </w:r>
      <w:r w:rsidRPr="00B660DF">
        <w:t>PN-ETSI EN 300 401 V2.1.1</w:t>
      </w:r>
      <w:r w:rsidR="00786A0D">
        <w:t>:2017-08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_Ref383151620 \r \h  \* MERGEFORMAT </w:instrText>
      </w:r>
      <w:r w:rsidRPr="00B660DF">
        <w:fldChar w:fldCharType="separate"/>
      </w:r>
      <w:r w:rsidRPr="00B660DF">
        <w:t>[1]</w:t>
      </w:r>
      <w:r w:rsidRPr="00B660DF">
        <w:fldChar w:fldCharType="end"/>
      </w:r>
      <w:r w:rsidRPr="00B660DF">
        <w:t xml:space="preserve"> oraz ETSI TS 102 563 V2.1.1</w:t>
      </w:r>
      <w:r w:rsidR="00786A0D">
        <w:t>:2017-01</w:t>
      </w:r>
      <w:r w:rsidRPr="00B660DF" w:rsidDel="00601BE0">
        <w:t xml:space="preserve"> </w:t>
      </w:r>
      <w:r w:rsidRPr="00B660DF">
        <w:t>[5] nadawanych w paśmie III zakresu VHF (174</w:t>
      </w:r>
      <w:r w:rsidR="00395556" w:rsidRPr="00395556">
        <w:t>–</w:t>
      </w:r>
      <w:r w:rsidRPr="00B660DF">
        <w:t xml:space="preserve">240 MHz). </w:t>
      </w:r>
    </w:p>
    <w:p w:rsidR="00776D98" w:rsidRPr="00776D98" w:rsidRDefault="00776D98" w:rsidP="000C7239">
      <w:pPr>
        <w:jc w:val="both"/>
        <w:rPr>
          <w:rStyle w:val="Ppogrubienie"/>
        </w:rPr>
      </w:pPr>
      <w:bookmarkStart w:id="8" w:name="_Toc528068360"/>
      <w:r w:rsidRPr="00776D98">
        <w:rPr>
          <w:rStyle w:val="Ppogrubienie"/>
        </w:rPr>
        <w:t>6.</w:t>
      </w:r>
      <w:r w:rsidRPr="00776D98">
        <w:rPr>
          <w:rStyle w:val="Ppogrubienie"/>
        </w:rPr>
        <w:tab/>
        <w:t>Dostęp do usług</w:t>
      </w:r>
      <w:bookmarkEnd w:id="8"/>
    </w:p>
    <w:p w:rsidR="00776D98" w:rsidRPr="00B660DF" w:rsidRDefault="00776D98" w:rsidP="000C7239">
      <w:pPr>
        <w:jc w:val="both"/>
      </w:pPr>
      <w:r>
        <w:t xml:space="preserve">6.1. </w:t>
      </w:r>
      <w:r w:rsidRPr="00B660DF">
        <w:t xml:space="preserve">Odbiornik </w:t>
      </w:r>
      <w:r w:rsidR="00A00B8F">
        <w:t>radiofonii</w:t>
      </w:r>
      <w:r w:rsidR="00A00B8F" w:rsidRPr="00B660DF">
        <w:t xml:space="preserve"> </w:t>
      </w:r>
      <w:r w:rsidRPr="00B660DF">
        <w:t>DAB+ zapewnia  dostęp do następujących usług:</w:t>
      </w:r>
    </w:p>
    <w:p w:rsidR="00776D98" w:rsidRPr="00B660DF" w:rsidRDefault="00776D98" w:rsidP="000C7239">
      <w:pPr>
        <w:jc w:val="both"/>
      </w:pPr>
      <w:r w:rsidRPr="00B660DF">
        <w:t>a)</w:t>
      </w:r>
      <w:r w:rsidRPr="00B660DF">
        <w:tab/>
        <w:t>odbiór programów</w:t>
      </w:r>
      <w:r>
        <w:t xml:space="preserve"> </w:t>
      </w:r>
      <w:r w:rsidR="00D24078">
        <w:t>niekodowanych</w:t>
      </w:r>
      <w:r w:rsidR="002A0DF0">
        <w:t>,</w:t>
      </w:r>
      <w:r w:rsidR="00D24078">
        <w:t xml:space="preserve"> </w:t>
      </w:r>
      <w:r w:rsidR="000A74AF">
        <w:t xml:space="preserve">dostępnych dla każdego </w:t>
      </w:r>
      <w:r w:rsidRPr="00B660DF">
        <w:t>FTA</w:t>
      </w:r>
      <w:r w:rsidR="000A74AF">
        <w:t xml:space="preserve"> (</w:t>
      </w:r>
      <w:proofErr w:type="spellStart"/>
      <w:r w:rsidR="000A74AF">
        <w:t>Free</w:t>
      </w:r>
      <w:proofErr w:type="spellEnd"/>
      <w:r w:rsidR="000A74AF">
        <w:t>-To-</w:t>
      </w:r>
      <w:proofErr w:type="spellStart"/>
      <w:r w:rsidR="000A74AF">
        <w:t>Air</w:t>
      </w:r>
      <w:proofErr w:type="spellEnd"/>
      <w:r w:rsidR="000A74AF">
        <w:t>)</w:t>
      </w:r>
      <w:r w:rsidR="00395556">
        <w:t>,</w:t>
      </w:r>
    </w:p>
    <w:p w:rsidR="00776D98" w:rsidRPr="00B660DF" w:rsidRDefault="00776D98" w:rsidP="000C7239">
      <w:pPr>
        <w:jc w:val="both"/>
      </w:pPr>
      <w:r w:rsidRPr="00B660DF">
        <w:t>b)</w:t>
      </w:r>
      <w:r w:rsidRPr="00B660DF">
        <w:tab/>
        <w:t>odbiór komunikatów tekstowych: nazwa stacji i DL</w:t>
      </w:r>
      <w:r w:rsidR="00395556">
        <w:t>,</w:t>
      </w:r>
    </w:p>
    <w:p w:rsidR="00776D98" w:rsidRPr="00B660DF" w:rsidRDefault="00776D98" w:rsidP="000C7239">
      <w:pPr>
        <w:jc w:val="both"/>
      </w:pPr>
      <w:r w:rsidRPr="00B660DF">
        <w:t>c)</w:t>
      </w:r>
      <w:r w:rsidRPr="00B660DF">
        <w:tab/>
        <w:t>w przypadku</w:t>
      </w:r>
      <w:r w:rsidRPr="00B660DF" w:rsidDel="008F38F8">
        <w:t xml:space="preserve"> </w:t>
      </w:r>
      <w:r w:rsidRPr="00B660DF">
        <w:t>odbiorników samochodowych, w samochodach wyposażonych w system nawigacji, odbiór komunikatów drogowych TPEG zgodnie z</w:t>
      </w:r>
      <w:r w:rsidR="002A0DF0">
        <w:t>:</w:t>
      </w:r>
      <w:r w:rsidRPr="00B660DF">
        <w:t xml:space="preserve"> </w:t>
      </w:r>
      <w:r w:rsidR="00521D91" w:rsidRPr="00B754D5">
        <w:t>ISO/TS 18234-1:2013 [15]</w:t>
      </w:r>
      <w:r w:rsidR="00521D91">
        <w:t xml:space="preserve">, </w:t>
      </w:r>
      <w:r w:rsidR="00521D91" w:rsidRPr="00B754D5">
        <w:t>ISO/TS 18234-2:2013</w:t>
      </w:r>
      <w:r w:rsidR="00521D91">
        <w:t xml:space="preserve"> [16], </w:t>
      </w:r>
      <w:r w:rsidR="00521D91" w:rsidRPr="00B754D5">
        <w:t>ISO/TS 18234-3:2013</w:t>
      </w:r>
      <w:r w:rsidR="00521D91">
        <w:t xml:space="preserve"> [17], </w:t>
      </w:r>
      <w:r w:rsidR="00521D91" w:rsidRPr="00B754D5">
        <w:t>ISO/TS 18234-4:2006</w:t>
      </w:r>
      <w:r w:rsidR="00521D91">
        <w:t xml:space="preserve"> [18], </w:t>
      </w:r>
      <w:r w:rsidR="00521D91" w:rsidRPr="00B754D5">
        <w:t>ISO/TS 18234-5:2006 [19], ISO/TS 18234-6:2006 [20], ISO/TS 18234-7:2013[21]</w:t>
      </w:r>
      <w:r w:rsidR="00521D91">
        <w:t xml:space="preserve">, </w:t>
      </w:r>
      <w:r w:rsidR="00521D91" w:rsidRPr="00B754D5">
        <w:t>ISO/TS 18234-8:2012</w:t>
      </w:r>
      <w:r w:rsidR="00521D91">
        <w:t xml:space="preserve"> [22], </w:t>
      </w:r>
      <w:r w:rsidR="00521D91" w:rsidRPr="00B754D5">
        <w:t>ISO/TS 18234-9:2013 [23],</w:t>
      </w:r>
      <w:r w:rsidR="00521D91">
        <w:t xml:space="preserve"> </w:t>
      </w:r>
      <w:r w:rsidR="00521D91" w:rsidRPr="00B754D5">
        <w:t>ISO/TS 18234-10:2013</w:t>
      </w:r>
      <w:r w:rsidR="00521D91">
        <w:t xml:space="preserve"> [24], </w:t>
      </w:r>
      <w:r w:rsidR="00521D91" w:rsidRPr="00B754D5">
        <w:t xml:space="preserve">ISO/TS 18234-11:2013 [25];  </w:t>
      </w:r>
      <w:r w:rsidRPr="00B660DF">
        <w:t xml:space="preserve"> </w:t>
      </w:r>
    </w:p>
    <w:p w:rsidR="00776D98" w:rsidRPr="00B660DF" w:rsidRDefault="00776D98" w:rsidP="000C7239">
      <w:pPr>
        <w:jc w:val="both"/>
      </w:pPr>
      <w:r w:rsidRPr="00B660DF">
        <w:t>d)</w:t>
      </w:r>
      <w:r w:rsidRPr="00B660DF">
        <w:tab/>
        <w:t xml:space="preserve">w przypadku odbiorników samochodowych odbiór </w:t>
      </w:r>
      <w:proofErr w:type="spellStart"/>
      <w:r w:rsidRPr="00882A4C">
        <w:rPr>
          <w:i/>
        </w:rPr>
        <w:t>announcement</w:t>
      </w:r>
      <w:proofErr w:type="spellEnd"/>
      <w:r w:rsidR="00816169">
        <w:rPr>
          <w:i/>
        </w:rPr>
        <w:t xml:space="preserve"> </w:t>
      </w:r>
      <w:r w:rsidR="00BD499F" w:rsidRPr="00BD499F">
        <w:t>(</w:t>
      </w:r>
      <w:r w:rsidR="002C27CA">
        <w:t>ogłoszenia</w:t>
      </w:r>
      <w:r w:rsidR="00BD499F" w:rsidRPr="00BD499F">
        <w:t>)</w:t>
      </w:r>
      <w:r w:rsidR="006979D2" w:rsidRPr="00BD499F">
        <w:t>,</w:t>
      </w:r>
      <w:r w:rsidRPr="00B660DF">
        <w:t xml:space="preserve"> zdefiniowanych w pkt 6.11 norm</w:t>
      </w:r>
      <w:r w:rsidR="006979D2">
        <w:t>y</w:t>
      </w:r>
      <w:r w:rsidRPr="00B660DF">
        <w:t xml:space="preserve"> ETSI TS 103 461 V1.1.1</w:t>
      </w:r>
      <w:r w:rsidR="00786A0D">
        <w:t>:2017-08</w:t>
      </w:r>
      <w:r w:rsidRPr="00B660DF" w:rsidDel="00601BE0">
        <w:t xml:space="preserve"> </w:t>
      </w:r>
      <w:r w:rsidRPr="00B660DF">
        <w:t>[1</w:t>
      </w:r>
      <w:r w:rsidR="00D052D3">
        <w:t>0</w:t>
      </w:r>
      <w:r w:rsidRPr="00B660DF">
        <w:t>]</w:t>
      </w:r>
      <w:r>
        <w:t>.</w:t>
      </w:r>
    </w:p>
    <w:p w:rsidR="00776D98" w:rsidRPr="00B660DF" w:rsidRDefault="00776D98" w:rsidP="000C7239">
      <w:pPr>
        <w:jc w:val="both"/>
      </w:pPr>
      <w:r>
        <w:t xml:space="preserve">6.2. </w:t>
      </w:r>
      <w:r w:rsidRPr="00B660DF">
        <w:t>Ponadto odbiornik multimedialny zapewnia dostęp do następujących usług:</w:t>
      </w:r>
    </w:p>
    <w:p w:rsidR="00776D98" w:rsidRPr="00B660DF" w:rsidRDefault="00776D98" w:rsidP="000C7239">
      <w:pPr>
        <w:jc w:val="both"/>
      </w:pPr>
      <w:r w:rsidRPr="00B660DF">
        <w:t>a)</w:t>
      </w:r>
      <w:r w:rsidRPr="00B660DF">
        <w:tab/>
        <w:t>odbiór profilu zaawansowanego EPG zgodnie z ETSI TS 102 818 V3.1.1</w:t>
      </w:r>
      <w:r w:rsidR="00786A0D">
        <w:t>:2015-01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_Ref383329288 \r \h  \* MERGEFORMAT </w:instrText>
      </w:r>
      <w:r w:rsidRPr="00B660DF">
        <w:fldChar w:fldCharType="separate"/>
      </w:r>
      <w:r w:rsidRPr="00B660DF">
        <w:t>[6]</w:t>
      </w:r>
      <w:r w:rsidRPr="00B660DF">
        <w:fldChar w:fldCharType="end"/>
      </w:r>
      <w:r w:rsidR="006573DD">
        <w:t>,</w:t>
      </w:r>
    </w:p>
    <w:p w:rsidR="00776D98" w:rsidRPr="00B660DF" w:rsidRDefault="00776D98" w:rsidP="000C7239">
      <w:pPr>
        <w:jc w:val="both"/>
      </w:pPr>
      <w:r w:rsidRPr="00B660DF">
        <w:t>b)</w:t>
      </w:r>
      <w:r w:rsidRPr="00B660DF">
        <w:tab/>
        <w:t>odbiór komunikatów DL Plus zgodnie z ETSI TS 102 980 V2.1.1</w:t>
      </w:r>
      <w:r w:rsidR="00786A0D">
        <w:t>:2017-01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_Ref383329480 \r \h  \* MERGEFORMAT </w:instrText>
      </w:r>
      <w:r w:rsidRPr="00B660DF">
        <w:fldChar w:fldCharType="separate"/>
      </w:r>
      <w:r w:rsidRPr="00B660DF">
        <w:t>[8]</w:t>
      </w:r>
      <w:r w:rsidRPr="00B660DF">
        <w:fldChar w:fldCharType="end"/>
      </w:r>
      <w:r w:rsidRPr="00B660DF">
        <w:t xml:space="preserve"> i pokazu slajd</w:t>
      </w:r>
      <w:r w:rsidR="003471E3">
        <w:t xml:space="preserve">ów zgodnie z </w:t>
      </w:r>
      <w:r w:rsidR="00C46F6E">
        <w:t>ETSI TS 101 499 V</w:t>
      </w:r>
      <w:r w:rsidRPr="00B660DF">
        <w:t>3.1.1</w:t>
      </w:r>
      <w:r w:rsidR="00786A0D">
        <w:t>:2015-01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_Ref383329528 \r \h  \* MERGEFORMAT </w:instrText>
      </w:r>
      <w:r w:rsidRPr="00B660DF">
        <w:fldChar w:fldCharType="separate"/>
      </w:r>
      <w:r w:rsidRPr="00B660DF">
        <w:t>[2]</w:t>
      </w:r>
      <w:r w:rsidRPr="00B660DF">
        <w:fldChar w:fldCharType="end"/>
      </w:r>
      <w:r>
        <w:t>.</w:t>
      </w:r>
    </w:p>
    <w:p w:rsidR="00776D98" w:rsidRPr="00B660DF" w:rsidRDefault="00776D98" w:rsidP="000C7239">
      <w:pPr>
        <w:jc w:val="both"/>
      </w:pPr>
      <w:r>
        <w:t xml:space="preserve">6.3. </w:t>
      </w:r>
      <w:r w:rsidRPr="00B660DF">
        <w:t>Jeśli występują w odbiorniku</w:t>
      </w:r>
      <w:r w:rsidR="00650146">
        <w:t xml:space="preserve"> radiofonii DAB+</w:t>
      </w:r>
      <w:r w:rsidRPr="00B660DF">
        <w:t xml:space="preserve"> funkcje EPG, </w:t>
      </w:r>
      <w:proofErr w:type="spellStart"/>
      <w:r w:rsidRPr="00882A4C">
        <w:rPr>
          <w:i/>
        </w:rPr>
        <w:t>Journaline</w:t>
      </w:r>
      <w:proofErr w:type="spellEnd"/>
      <w:r w:rsidR="006979D2">
        <w:t xml:space="preserve"> </w:t>
      </w:r>
      <w:r w:rsidRPr="00B660DF">
        <w:t xml:space="preserve">i </w:t>
      </w:r>
      <w:proofErr w:type="spellStart"/>
      <w:r w:rsidRPr="000A264C">
        <w:rPr>
          <w:i/>
        </w:rPr>
        <w:t>announcement</w:t>
      </w:r>
      <w:proofErr w:type="spellEnd"/>
      <w:r w:rsidR="00C46F6E">
        <w:t xml:space="preserve"> </w:t>
      </w:r>
      <w:r w:rsidR="00D03786" w:rsidRPr="00D03786">
        <w:t>(</w:t>
      </w:r>
      <w:r w:rsidR="002C27CA">
        <w:t>ogłoszenia</w:t>
      </w:r>
      <w:r w:rsidR="00D03786" w:rsidRPr="00D03786">
        <w:t>)</w:t>
      </w:r>
      <w:r w:rsidRPr="00D03786">
        <w:t>,</w:t>
      </w:r>
      <w:r w:rsidRPr="00B660DF">
        <w:t xml:space="preserve"> odbiornik realizuje je </w:t>
      </w:r>
      <w:r w:rsidR="006979D2">
        <w:t>według</w:t>
      </w:r>
      <w:r w:rsidR="006979D2" w:rsidRPr="00B660DF">
        <w:t xml:space="preserve"> </w:t>
      </w:r>
      <w:r w:rsidRPr="00B660DF">
        <w:t>następujących zasad:</w:t>
      </w:r>
    </w:p>
    <w:p w:rsidR="00776D98" w:rsidRPr="00B660DF" w:rsidRDefault="00776D98" w:rsidP="000C7239">
      <w:pPr>
        <w:jc w:val="both"/>
      </w:pPr>
      <w:r w:rsidRPr="00B660DF">
        <w:t>a)</w:t>
      </w:r>
      <w:r w:rsidRPr="00B660DF">
        <w:tab/>
        <w:t xml:space="preserve">odbiór profilu podstawowego </w:t>
      </w:r>
      <w:r>
        <w:t xml:space="preserve">EPG </w:t>
      </w:r>
      <w:r w:rsidRPr="00B660DF">
        <w:t xml:space="preserve">dla odbiorników standardowych zgodnie z ETSI TS 102 </w:t>
      </w:r>
      <w:r w:rsidRPr="00B660DF">
        <w:lastRenderedPageBreak/>
        <w:t>818 V3.1.1</w:t>
      </w:r>
      <w:r w:rsidR="00786A0D">
        <w:t>:2015-01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_Ref383329288 \r \h  \* MERGEFORMAT </w:instrText>
      </w:r>
      <w:r w:rsidRPr="00B660DF">
        <w:fldChar w:fldCharType="separate"/>
      </w:r>
      <w:r w:rsidRPr="00B660DF">
        <w:t>[6]</w:t>
      </w:r>
      <w:r w:rsidRPr="00B660DF">
        <w:fldChar w:fldCharType="end"/>
      </w:r>
      <w:r>
        <w:t>,</w:t>
      </w:r>
    </w:p>
    <w:p w:rsidR="00776D98" w:rsidRPr="00B660DF" w:rsidRDefault="00776D98" w:rsidP="000C7239">
      <w:pPr>
        <w:jc w:val="both"/>
      </w:pPr>
      <w:r w:rsidRPr="00B660DF">
        <w:t>b)</w:t>
      </w:r>
      <w:r w:rsidRPr="00B660DF">
        <w:tab/>
        <w:t xml:space="preserve">odbiór </w:t>
      </w:r>
      <w:proofErr w:type="spellStart"/>
      <w:r w:rsidRPr="00F84594">
        <w:rPr>
          <w:i/>
        </w:rPr>
        <w:t>Journaline</w:t>
      </w:r>
      <w:proofErr w:type="spellEnd"/>
      <w:r w:rsidRPr="00B660DF">
        <w:t xml:space="preserve"> zgodnie z ETSI TS 102 979 V1.1.1</w:t>
      </w:r>
      <w:r w:rsidR="00786A0D">
        <w:t>:2008-06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_Ref383800748 \r \h  \* MERGEFORMAT </w:instrText>
      </w:r>
      <w:r w:rsidRPr="00B660DF">
        <w:fldChar w:fldCharType="separate"/>
      </w:r>
      <w:r w:rsidRPr="00B660DF">
        <w:t>[7]</w:t>
      </w:r>
      <w:r w:rsidRPr="00B660DF">
        <w:fldChar w:fldCharType="end"/>
      </w:r>
      <w:r>
        <w:t>,</w:t>
      </w:r>
    </w:p>
    <w:p w:rsidR="00776D98" w:rsidRPr="00B660DF" w:rsidRDefault="0011760D" w:rsidP="000C7239">
      <w:pPr>
        <w:spacing w:after="240"/>
        <w:jc w:val="both"/>
      </w:pPr>
      <w:r>
        <w:t>c)</w:t>
      </w:r>
      <w:r>
        <w:tab/>
        <w:t>odbiór</w:t>
      </w:r>
      <w:r w:rsidR="00776D98" w:rsidRPr="00B660DF">
        <w:t xml:space="preserve"> </w:t>
      </w:r>
      <w:proofErr w:type="spellStart"/>
      <w:r w:rsidR="00776D98" w:rsidRPr="00F84594">
        <w:rPr>
          <w:i/>
        </w:rPr>
        <w:t>announcement</w:t>
      </w:r>
      <w:proofErr w:type="spellEnd"/>
      <w:r w:rsidR="006979D2">
        <w:t xml:space="preserve"> </w:t>
      </w:r>
      <w:r w:rsidR="00D03786">
        <w:t>(</w:t>
      </w:r>
      <w:r w:rsidR="002C27CA">
        <w:t>ogłoszenia</w:t>
      </w:r>
      <w:r w:rsidR="00D03786">
        <w:t>)</w:t>
      </w:r>
      <w:r w:rsidR="006979D2" w:rsidRPr="00B660DF">
        <w:t>,</w:t>
      </w:r>
      <w:r w:rsidR="00776D98" w:rsidRPr="00B660DF">
        <w:t xml:space="preserve"> zdefiniowanych w pkt 6.11 norm</w:t>
      </w:r>
      <w:r w:rsidR="006979D2">
        <w:t>y</w:t>
      </w:r>
      <w:r w:rsidR="00776D98" w:rsidRPr="00B660DF">
        <w:t xml:space="preserve"> ETSI TS 103 461 V1.1.1</w:t>
      </w:r>
      <w:r w:rsidR="00786A0D">
        <w:t>:2017-08</w:t>
      </w:r>
      <w:r w:rsidR="00776D98" w:rsidRPr="00B660DF" w:rsidDel="00BB154B">
        <w:t xml:space="preserve"> </w:t>
      </w:r>
      <w:r w:rsidR="00776D98" w:rsidRPr="00B660DF">
        <w:t>[1</w:t>
      </w:r>
      <w:r w:rsidR="00D052D3">
        <w:t>0</w:t>
      </w:r>
      <w:r w:rsidR="00776D98" w:rsidRPr="00B660DF">
        <w:t>]</w:t>
      </w:r>
      <w:r w:rsidR="00015C81">
        <w:t>.</w:t>
      </w:r>
    </w:p>
    <w:p w:rsidR="00776D98" w:rsidRPr="00776D98" w:rsidRDefault="00776D98" w:rsidP="000C7239">
      <w:pPr>
        <w:jc w:val="both"/>
        <w:rPr>
          <w:rStyle w:val="Ppogrubienie"/>
        </w:rPr>
      </w:pPr>
      <w:bookmarkStart w:id="9" w:name="_Toc388612397"/>
      <w:bookmarkStart w:id="10" w:name="_Toc528068361"/>
      <w:r w:rsidRPr="00776D98">
        <w:rPr>
          <w:rStyle w:val="Ppogrubienie"/>
        </w:rPr>
        <w:t>7.</w:t>
      </w:r>
      <w:r w:rsidRPr="00776D98">
        <w:rPr>
          <w:rStyle w:val="Ppogrubienie"/>
        </w:rPr>
        <w:tab/>
      </w:r>
      <w:r w:rsidR="006307B8">
        <w:rPr>
          <w:rStyle w:val="Ppogrubienie"/>
        </w:rPr>
        <w:t xml:space="preserve">Wymagania dla </w:t>
      </w:r>
      <w:r w:rsidRPr="00776D98">
        <w:rPr>
          <w:rStyle w:val="Ppogrubienie"/>
        </w:rPr>
        <w:t xml:space="preserve">interfejsu radiowego i zasady strojenia odbiornika </w:t>
      </w:r>
      <w:r w:rsidR="00BA3E87">
        <w:rPr>
          <w:rStyle w:val="Ppogrubienie"/>
        </w:rPr>
        <w:t xml:space="preserve">radiofonii </w:t>
      </w:r>
      <w:r w:rsidRPr="00776D98">
        <w:rPr>
          <w:rStyle w:val="Ppogrubienie"/>
        </w:rPr>
        <w:t>DAB+</w:t>
      </w:r>
      <w:bookmarkEnd w:id="9"/>
      <w:bookmarkEnd w:id="10"/>
    </w:p>
    <w:p w:rsidR="00776D98" w:rsidRPr="00B660DF" w:rsidRDefault="00776D98" w:rsidP="000C7239">
      <w:pPr>
        <w:jc w:val="both"/>
      </w:pPr>
      <w:bookmarkStart w:id="11" w:name="_Toc388612398"/>
      <w:bookmarkStart w:id="12" w:name="_Toc528068362"/>
      <w:r w:rsidRPr="00B660DF">
        <w:t>7.1.</w:t>
      </w:r>
      <w:r w:rsidRPr="00B660DF">
        <w:tab/>
        <w:t>Zakres odbieranych częstotliwości</w:t>
      </w:r>
      <w:bookmarkEnd w:id="11"/>
      <w:bookmarkEnd w:id="12"/>
      <w:r w:rsidRPr="00B660DF">
        <w:t xml:space="preserve"> </w:t>
      </w:r>
    </w:p>
    <w:p w:rsidR="00776D98" w:rsidRDefault="00776D98" w:rsidP="000C7239">
      <w:pPr>
        <w:jc w:val="both"/>
      </w:pPr>
      <w:r w:rsidRPr="00B660DF">
        <w:t>Częstotliwości środkowe zakresu 174</w:t>
      </w:r>
      <w:r w:rsidR="00956EEB">
        <w:t>–</w:t>
      </w:r>
      <w:r w:rsidRPr="00B660DF">
        <w:t xml:space="preserve">240 MHz dla poszczególnych bloków częstotliwości DAB podane są </w:t>
      </w:r>
      <w:r w:rsidR="00A60C9F">
        <w:t>w tabeli poniżej</w:t>
      </w:r>
      <w:r w:rsidRPr="00B660DF">
        <w:t>.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26"/>
        <w:gridCol w:w="2410"/>
        <w:gridCol w:w="2693"/>
      </w:tblGrid>
      <w:tr w:rsidR="00A60C9F" w:rsidTr="00162554">
        <w:trPr>
          <w:trHeight w:hRule="exact" w:val="887"/>
          <w:jc w:val="center"/>
        </w:trPr>
        <w:tc>
          <w:tcPr>
            <w:tcW w:w="2126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0C9F" w:rsidRDefault="00A60C9F" w:rsidP="0011754E">
            <w:pPr>
              <w:pStyle w:val="TableParagraph"/>
              <w:spacing w:before="3" w:line="250" w:lineRule="auto"/>
              <w:ind w:left="363" w:right="159" w:hanging="20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pacing w:val="-1"/>
                <w:sz w:val="18"/>
              </w:rPr>
              <w:t>Numer</w:t>
            </w:r>
            <w:proofErr w:type="spellEnd"/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18"/>
              </w:rPr>
              <w:t>bloku</w:t>
            </w:r>
            <w:proofErr w:type="spellEnd"/>
            <w:r>
              <w:rPr>
                <w:rFonts w:ascii="Arial"/>
                <w:b/>
                <w:spacing w:val="-1"/>
                <w:sz w:val="18"/>
              </w:rPr>
              <w:t xml:space="preserve"> DAB</w:t>
            </w:r>
            <w:r>
              <w:rPr>
                <w:rFonts w:ascii="Arial"/>
                <w:b/>
                <w:sz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0C9F" w:rsidRPr="00162554" w:rsidRDefault="00A60C9F" w:rsidP="00162554">
            <w:pPr>
              <w:pStyle w:val="TableParagraph"/>
              <w:spacing w:before="3" w:line="250" w:lineRule="auto"/>
              <w:ind w:left="363" w:right="159" w:hanging="209"/>
              <w:rPr>
                <w:rFonts w:ascii="Arial"/>
                <w:b/>
                <w:spacing w:val="-1"/>
                <w:sz w:val="18"/>
              </w:rPr>
            </w:pPr>
            <w:proofErr w:type="spellStart"/>
            <w:r>
              <w:rPr>
                <w:rFonts w:ascii="Arial"/>
                <w:b/>
                <w:spacing w:val="-1"/>
                <w:sz w:val="18"/>
              </w:rPr>
              <w:t>Cz</w:t>
            </w:r>
            <w:r>
              <w:rPr>
                <w:rFonts w:ascii="Arial"/>
                <w:b/>
                <w:spacing w:val="-1"/>
                <w:sz w:val="18"/>
              </w:rPr>
              <w:t>ę</w:t>
            </w:r>
            <w:r>
              <w:rPr>
                <w:rFonts w:ascii="Arial"/>
                <w:b/>
                <w:spacing w:val="-1"/>
                <w:sz w:val="18"/>
              </w:rPr>
              <w:t>stotliwo</w:t>
            </w:r>
            <w:r>
              <w:rPr>
                <w:rFonts w:ascii="Arial"/>
                <w:b/>
                <w:spacing w:val="-1"/>
                <w:sz w:val="18"/>
              </w:rPr>
              <w:t>ść</w:t>
            </w:r>
            <w:proofErr w:type="spellEnd"/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18"/>
              </w:rPr>
              <w:t>ś</w:t>
            </w:r>
            <w:r>
              <w:rPr>
                <w:rFonts w:ascii="Arial"/>
                <w:b/>
                <w:spacing w:val="-1"/>
                <w:sz w:val="18"/>
              </w:rPr>
              <w:t>rodkowa</w:t>
            </w:r>
            <w:proofErr w:type="spellEnd"/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 w:rsidRPr="00162554">
              <w:rPr>
                <w:rFonts w:ascii="Arial"/>
                <w:b/>
                <w:spacing w:val="-1"/>
                <w:sz w:val="18"/>
              </w:rPr>
              <w:t>(MHz)</w:t>
            </w:r>
          </w:p>
        </w:tc>
        <w:tc>
          <w:tcPr>
            <w:tcW w:w="269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0C9F" w:rsidRPr="00162554" w:rsidRDefault="00A60C9F" w:rsidP="00162554">
            <w:pPr>
              <w:pStyle w:val="TableParagraph"/>
              <w:spacing w:before="3" w:line="250" w:lineRule="auto"/>
              <w:ind w:left="363" w:right="159" w:hanging="209"/>
              <w:rPr>
                <w:rFonts w:ascii="Arial"/>
                <w:b/>
                <w:spacing w:val="-1"/>
                <w:sz w:val="18"/>
              </w:rPr>
            </w:pPr>
            <w:proofErr w:type="spellStart"/>
            <w:r w:rsidRPr="00162554">
              <w:rPr>
                <w:rFonts w:ascii="Arial"/>
                <w:b/>
                <w:spacing w:val="-1"/>
                <w:sz w:val="18"/>
              </w:rPr>
              <w:t>Zakres</w:t>
            </w:r>
            <w:proofErr w:type="spellEnd"/>
            <w:r w:rsidRPr="00162554">
              <w:rPr>
                <w:rFonts w:ascii="Arial"/>
                <w:b/>
                <w:spacing w:val="-1"/>
                <w:sz w:val="18"/>
              </w:rPr>
              <w:t xml:space="preserve"> </w:t>
            </w:r>
            <w:proofErr w:type="spellStart"/>
            <w:r w:rsidRPr="00162554">
              <w:rPr>
                <w:rFonts w:ascii="Arial"/>
                <w:b/>
                <w:spacing w:val="-1"/>
                <w:sz w:val="18"/>
              </w:rPr>
              <w:t>cz</w:t>
            </w:r>
            <w:r w:rsidRPr="00162554">
              <w:rPr>
                <w:rFonts w:ascii="Arial"/>
                <w:b/>
                <w:spacing w:val="-1"/>
                <w:sz w:val="18"/>
              </w:rPr>
              <w:t>ę</w:t>
            </w:r>
            <w:r w:rsidRPr="00162554">
              <w:rPr>
                <w:rFonts w:ascii="Arial"/>
                <w:b/>
                <w:spacing w:val="-1"/>
                <w:sz w:val="18"/>
              </w:rPr>
              <w:t>stotliwo</w:t>
            </w:r>
            <w:r w:rsidRPr="00162554">
              <w:rPr>
                <w:rFonts w:ascii="Arial"/>
                <w:b/>
                <w:spacing w:val="-1"/>
                <w:sz w:val="18"/>
              </w:rPr>
              <w:t>ś</w:t>
            </w:r>
            <w:r w:rsidRPr="00162554">
              <w:rPr>
                <w:rFonts w:ascii="Arial"/>
                <w:b/>
                <w:spacing w:val="-1"/>
                <w:sz w:val="18"/>
              </w:rPr>
              <w:t>ci</w:t>
            </w:r>
            <w:proofErr w:type="spellEnd"/>
            <w:r w:rsidRPr="00162554">
              <w:rPr>
                <w:rFonts w:ascii="Arial"/>
                <w:b/>
                <w:spacing w:val="-1"/>
                <w:sz w:val="18"/>
              </w:rPr>
              <w:t xml:space="preserve">  (MHz)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5A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174.928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174.160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175.696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5B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176.640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175.872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177.408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5C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178.352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177.584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179.120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5D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180.064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179.296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180.832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6A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181.936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181.168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182.704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6B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183.648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182.880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184.416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6C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185.360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184.592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186.128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6D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187.072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186.304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187.840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7A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188.928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188.160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189.696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7B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190.640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189.872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191.408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7C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192.352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191.584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193.120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7D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194.064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193.296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194.832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8A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195.936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195.168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196.704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8B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197.648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196.880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198.416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8C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199.360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198.592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200.128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8D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201.072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200.304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201.840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9A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202.928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202.160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203.696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9B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204.640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203.872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205.408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9C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206.352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205.584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207.120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9D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208.064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207.296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208.832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10A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209.936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209.168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210.704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10B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211.648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210.880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212.416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10C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213.360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212.592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214.128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10D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215.072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214.304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215.840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11A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216.928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216.160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217.696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11B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218.640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217.872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219.408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11C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220.352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219.584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221.120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11D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222.064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221.296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222.832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12A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223.936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223.168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224.704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12B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225.648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224.880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226.416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12C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227.360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226.592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228.128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12D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229.072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228.304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229.840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13A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230.784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230.016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231.552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13B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232.496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231.728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233.264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13C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234.208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233.440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234.976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13D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235.776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235.008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236.544</w:t>
            </w:r>
          </w:p>
        </w:tc>
      </w:tr>
      <w:tr w:rsidR="00A60C9F" w:rsidTr="00162554">
        <w:trPr>
          <w:trHeight w:hRule="exact" w:val="226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13E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237.488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236.720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238.256</w:t>
            </w:r>
          </w:p>
        </w:tc>
      </w:tr>
      <w:tr w:rsidR="00A60C9F" w:rsidTr="00162554">
        <w:trPr>
          <w:trHeight w:hRule="exact" w:val="233"/>
          <w:jc w:val="center"/>
        </w:trPr>
        <w:tc>
          <w:tcPr>
            <w:tcW w:w="2126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right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13F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60C9F" w:rsidRDefault="00A60C9F" w:rsidP="00B754D5">
            <w:pPr>
              <w:pStyle w:val="TableParagraph"/>
              <w:spacing w:line="206" w:lineRule="exact"/>
              <w:ind w:left="4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1"/>
                <w:sz w:val="18"/>
              </w:rPr>
              <w:t>239.200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60C9F" w:rsidRDefault="00A60C9F" w:rsidP="00A60C9F">
            <w:pPr>
              <w:pStyle w:val="TableParagraph"/>
              <w:spacing w:line="206" w:lineRule="exact"/>
              <w:ind w:left="7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238.432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- </w:t>
            </w:r>
            <w:r>
              <w:rPr>
                <w:rFonts w:ascii="Times New Roman"/>
                <w:spacing w:val="1"/>
                <w:sz w:val="18"/>
              </w:rPr>
              <w:t>239.968</w:t>
            </w:r>
          </w:p>
        </w:tc>
      </w:tr>
    </w:tbl>
    <w:p w:rsidR="00A60C9F" w:rsidRDefault="00A60C9F" w:rsidP="000C7239">
      <w:pPr>
        <w:jc w:val="both"/>
      </w:pPr>
    </w:p>
    <w:p w:rsidR="00A60C9F" w:rsidRPr="00B660DF" w:rsidRDefault="00A60C9F" w:rsidP="000C7239">
      <w:pPr>
        <w:jc w:val="both"/>
      </w:pPr>
    </w:p>
    <w:p w:rsidR="00776D98" w:rsidRPr="00B660DF" w:rsidRDefault="00776D98" w:rsidP="000C7239">
      <w:pPr>
        <w:jc w:val="both"/>
      </w:pPr>
      <w:bookmarkStart w:id="13" w:name="_Toc388612399"/>
      <w:r w:rsidRPr="00B660DF">
        <w:t>7.2.</w:t>
      </w:r>
      <w:r w:rsidRPr="00B660DF">
        <w:tab/>
        <w:t xml:space="preserve"> </w:t>
      </w:r>
      <w:bookmarkStart w:id="14" w:name="_Toc528068363"/>
      <w:r w:rsidRPr="00B660DF">
        <w:t>Strojenie i wybieranie usług</w:t>
      </w:r>
      <w:bookmarkEnd w:id="13"/>
      <w:bookmarkEnd w:id="14"/>
      <w:r w:rsidRPr="00B660DF">
        <w:t xml:space="preserve"> </w:t>
      </w:r>
    </w:p>
    <w:p w:rsidR="00776D98" w:rsidRPr="00B660DF" w:rsidRDefault="00776D98" w:rsidP="00EE38A6">
      <w:pPr>
        <w:jc w:val="both"/>
      </w:pPr>
      <w:r w:rsidRPr="00B660DF">
        <w:t xml:space="preserve">Odbiornik </w:t>
      </w:r>
      <w:r w:rsidR="00E67746">
        <w:t>radiofonii</w:t>
      </w:r>
      <w:r w:rsidR="00E67746" w:rsidRPr="00B660DF">
        <w:t xml:space="preserve"> </w:t>
      </w:r>
      <w:r w:rsidRPr="00B660DF">
        <w:t xml:space="preserve">DAB+ umożliwia automatyczne przeszukanie całego zakresu częstotliwości podanego w </w:t>
      </w:r>
      <w:r w:rsidR="006979D2">
        <w:t>pkt</w:t>
      </w:r>
      <w:r w:rsidR="006979D2" w:rsidRPr="00B660DF">
        <w:t xml:space="preserve"> </w:t>
      </w:r>
      <w:r w:rsidRPr="00B660DF">
        <w:t>7.1 oraz dostrojeni</w:t>
      </w:r>
      <w:r>
        <w:t>e</w:t>
      </w:r>
      <w:r w:rsidRPr="00B660DF">
        <w:t xml:space="preserve"> do prawidłowe</w:t>
      </w:r>
      <w:r w:rsidR="00AD4487">
        <w:t>go</w:t>
      </w:r>
      <w:r w:rsidRPr="00B660DF">
        <w:t xml:space="preserve"> bloku </w:t>
      </w:r>
      <w:r w:rsidR="00AD4487">
        <w:t xml:space="preserve">częstotliwości </w:t>
      </w:r>
      <w:r w:rsidRPr="00B660DF">
        <w:t>DAB</w:t>
      </w:r>
      <w:r>
        <w:t>+</w:t>
      </w:r>
      <w:r w:rsidRPr="00B660DF">
        <w:t xml:space="preserve"> w celu utworzenia listy dostępnych usług. Odbiornik </w:t>
      </w:r>
      <w:r w:rsidR="00E67746">
        <w:t>radiofonii</w:t>
      </w:r>
      <w:r w:rsidR="00E67746" w:rsidRPr="00B660DF">
        <w:t xml:space="preserve"> </w:t>
      </w:r>
      <w:r w:rsidRPr="00B660DF">
        <w:t xml:space="preserve">DAB+ zapewnia funkcję przeszukania pasma za pomocą osobnego przycisku lub funkcji na najwyższym </w:t>
      </w:r>
      <w:r>
        <w:t xml:space="preserve">lub drugim </w:t>
      </w:r>
      <w:r w:rsidRPr="00B660DF">
        <w:t>poziomie w menu.</w:t>
      </w:r>
    </w:p>
    <w:p w:rsidR="00776D98" w:rsidRPr="007C5B9D" w:rsidRDefault="00776D98" w:rsidP="00EE38A6">
      <w:pPr>
        <w:jc w:val="both"/>
      </w:pPr>
      <w:r w:rsidRPr="007C5B9D">
        <w:t xml:space="preserve">Odbiornik samochodowy przemieszczający się między różnymi obszarami </w:t>
      </w:r>
      <w:r w:rsidR="003F7410" w:rsidRPr="007C5B9D">
        <w:t xml:space="preserve"> </w:t>
      </w:r>
      <w:r w:rsidR="00D77D25" w:rsidRPr="007C5B9D">
        <w:t>zasięgu</w:t>
      </w:r>
      <w:r w:rsidRPr="007C5B9D">
        <w:t xml:space="preserve"> </w:t>
      </w:r>
      <w:r w:rsidR="003F7410" w:rsidRPr="007C5B9D">
        <w:t xml:space="preserve">różnych </w:t>
      </w:r>
      <w:r w:rsidR="00AD4487" w:rsidRPr="007C5B9D">
        <w:t xml:space="preserve">częstotliwości </w:t>
      </w:r>
      <w:r w:rsidRPr="007C5B9D">
        <w:t>automatycznie przełącza się do bloku częstotliwości DAB+</w:t>
      </w:r>
      <w:r w:rsidR="00AD4487" w:rsidRPr="007C5B9D">
        <w:t xml:space="preserve"> na sąsiednim obszarze, realizującego transmisję tej samej grupy programów, </w:t>
      </w:r>
      <w:r w:rsidRPr="007C5B9D">
        <w:t>w celu utrzymania ciągłości odbioru wybranej usługi, jeżeli odbierane strumienie danych zawierają sy</w:t>
      </w:r>
      <w:r w:rsidR="00F84594" w:rsidRPr="007C5B9D">
        <w:t xml:space="preserve">gnalizację </w:t>
      </w:r>
      <w:r w:rsidRPr="007C5B9D">
        <w:t xml:space="preserve">Service </w:t>
      </w:r>
      <w:proofErr w:type="spellStart"/>
      <w:r w:rsidRPr="007C5B9D">
        <w:t>following</w:t>
      </w:r>
      <w:proofErr w:type="spellEnd"/>
      <w:r w:rsidR="006979D2" w:rsidRPr="007C5B9D">
        <w:t xml:space="preserve"> </w:t>
      </w:r>
      <w:r w:rsidR="00F84594" w:rsidRPr="007C5B9D">
        <w:t>(podążanie usługi</w:t>
      </w:r>
      <w:r w:rsidR="006979D2" w:rsidRPr="007C5B9D">
        <w:t>)</w:t>
      </w:r>
      <w:r w:rsidRPr="007C5B9D">
        <w:t xml:space="preserve"> transmitowaną zgodnie z ETSI TS 103 176 V2.2.1</w:t>
      </w:r>
      <w:r w:rsidR="00786A0D" w:rsidRPr="007C5B9D">
        <w:t>:2017-08</w:t>
      </w:r>
      <w:r w:rsidRPr="007C5B9D">
        <w:t xml:space="preserve"> </w:t>
      </w:r>
      <w:r w:rsidRPr="007C5B9D">
        <w:fldChar w:fldCharType="begin"/>
      </w:r>
      <w:r w:rsidRPr="007C5B9D">
        <w:instrText xml:space="preserve"> REF _Ref387487902 \r \h  \* MERGEFORMAT </w:instrText>
      </w:r>
      <w:r w:rsidRPr="007C5B9D">
        <w:fldChar w:fldCharType="separate"/>
      </w:r>
      <w:r w:rsidRPr="007C5B9D">
        <w:t>[9]</w:t>
      </w:r>
      <w:r w:rsidRPr="007C5B9D">
        <w:fldChar w:fldCharType="end"/>
      </w:r>
      <w:r w:rsidRPr="007C5B9D">
        <w:t>.</w:t>
      </w:r>
    </w:p>
    <w:p w:rsidR="00776D98" w:rsidRPr="007C5B9D" w:rsidRDefault="00776D98" w:rsidP="00EE38A6">
      <w:pPr>
        <w:jc w:val="both"/>
      </w:pPr>
      <w:r w:rsidRPr="007C5B9D">
        <w:t>Odbiornik samochodowy odbierający również radiofonię analogową UKF FM w zakresie 87,5</w:t>
      </w:r>
      <w:r w:rsidR="00956EEB" w:rsidRPr="007C5B9D">
        <w:t>–</w:t>
      </w:r>
      <w:r w:rsidRPr="007C5B9D">
        <w:t xml:space="preserve">108 MHz zgodnie z </w:t>
      </w:r>
      <w:r w:rsidR="006979D2" w:rsidRPr="007C5B9D">
        <w:t xml:space="preserve">zaleceniem </w:t>
      </w:r>
      <w:r w:rsidRPr="007C5B9D">
        <w:t>ITU-R BS.450-</w:t>
      </w:r>
      <w:r w:rsidR="000C3FD6" w:rsidRPr="007C5B9D">
        <w:t xml:space="preserve">3 (11/2001) </w:t>
      </w:r>
      <w:r w:rsidRPr="007C5B9D">
        <w:fldChar w:fldCharType="begin"/>
      </w:r>
      <w:r w:rsidRPr="007C5B9D">
        <w:instrText xml:space="preserve"> REF _Ref383262860 \r \h  \* MERGEFORMAT </w:instrText>
      </w:r>
      <w:r w:rsidRPr="007C5B9D">
        <w:fldChar w:fldCharType="separate"/>
      </w:r>
      <w:r w:rsidRPr="007C5B9D">
        <w:t>[</w:t>
      </w:r>
      <w:r w:rsidR="003F7410" w:rsidRPr="007C5B9D">
        <w:t>2</w:t>
      </w:r>
      <w:r w:rsidRPr="007C5B9D">
        <w:t>6]</w:t>
      </w:r>
      <w:r w:rsidRPr="007C5B9D">
        <w:fldChar w:fldCharType="end"/>
      </w:r>
      <w:r w:rsidRPr="007C5B9D">
        <w:t xml:space="preserve"> i wyposażony w dekoder RDS zgodnie z normą IEC 62106-2:2018 </w:t>
      </w:r>
      <w:r w:rsidRPr="007C5B9D">
        <w:fldChar w:fldCharType="begin"/>
      </w:r>
      <w:r w:rsidRPr="007C5B9D">
        <w:instrText xml:space="preserve"> REF _Ref383253067 \r \h  \* MERGEFORMAT </w:instrText>
      </w:r>
      <w:r w:rsidRPr="007C5B9D">
        <w:fldChar w:fldCharType="separate"/>
      </w:r>
      <w:r w:rsidRPr="007C5B9D">
        <w:t>[1</w:t>
      </w:r>
      <w:r w:rsidR="00D052D3" w:rsidRPr="007C5B9D">
        <w:t>2</w:t>
      </w:r>
      <w:r w:rsidRPr="007C5B9D">
        <w:t>]</w:t>
      </w:r>
      <w:r w:rsidRPr="007C5B9D">
        <w:fldChar w:fldCharType="end"/>
      </w:r>
      <w:r w:rsidRPr="007C5B9D">
        <w:t xml:space="preserve">  zapewnia automatyczne przełączanie na odbiór UKF FM po opuszczeniu obszaru objętego zasięgiem sygnału DAB+ i odwrotnie, jeżeli odbierane strumienie </w:t>
      </w:r>
      <w:r w:rsidR="008016D1" w:rsidRPr="007C5B9D">
        <w:t xml:space="preserve">danych zawierają sygnalizację </w:t>
      </w:r>
      <w:r w:rsidRPr="007C5B9D">
        <w:t xml:space="preserve">Service </w:t>
      </w:r>
      <w:proofErr w:type="spellStart"/>
      <w:r w:rsidRPr="007C5B9D">
        <w:t>following</w:t>
      </w:r>
      <w:proofErr w:type="spellEnd"/>
      <w:r w:rsidRPr="007C5B9D">
        <w:t xml:space="preserve"> </w:t>
      </w:r>
      <w:r w:rsidR="006979D2" w:rsidRPr="007C5B9D">
        <w:t>(</w:t>
      </w:r>
      <w:r w:rsidR="005247CC" w:rsidRPr="007C5B9D">
        <w:t>podążanie usługi</w:t>
      </w:r>
      <w:r w:rsidR="006979D2" w:rsidRPr="007C5B9D">
        <w:t xml:space="preserve">) </w:t>
      </w:r>
      <w:r w:rsidRPr="007C5B9D">
        <w:t>transmitowaną zgodnie z ETSI TS 103 176 V2.2.1</w:t>
      </w:r>
      <w:r w:rsidR="00786A0D" w:rsidRPr="007C5B9D">
        <w:t>:2017-08</w:t>
      </w:r>
      <w:r w:rsidRPr="007C5B9D">
        <w:t xml:space="preserve"> </w:t>
      </w:r>
      <w:r w:rsidRPr="007C5B9D">
        <w:fldChar w:fldCharType="begin"/>
      </w:r>
      <w:r w:rsidRPr="007C5B9D">
        <w:instrText xml:space="preserve"> REF _Ref387487902 \r \h  \* MERGEFORMAT </w:instrText>
      </w:r>
      <w:r w:rsidRPr="007C5B9D">
        <w:fldChar w:fldCharType="separate"/>
      </w:r>
      <w:r w:rsidRPr="007C5B9D">
        <w:t>[9]</w:t>
      </w:r>
      <w:r w:rsidRPr="007C5B9D">
        <w:fldChar w:fldCharType="end"/>
      </w:r>
      <w:r w:rsidRPr="007C5B9D">
        <w:t>. W przypadku możliwości odbioru tego samego programu za pomocą UKF FM i DAB+</w:t>
      </w:r>
      <w:r w:rsidR="006979D2" w:rsidRPr="007C5B9D">
        <w:t>,</w:t>
      </w:r>
      <w:r w:rsidRPr="007C5B9D">
        <w:t xml:space="preserve"> odbiór DAB+ jest preferowany.</w:t>
      </w:r>
    </w:p>
    <w:p w:rsidR="00776D98" w:rsidRPr="007C5B9D" w:rsidRDefault="00776D98" w:rsidP="007C5B9D">
      <w:pPr>
        <w:pStyle w:val="USTustnpkodeksu"/>
      </w:pPr>
      <w:bookmarkStart w:id="15" w:name="_Toc388612400"/>
      <w:bookmarkStart w:id="16" w:name="_Toc528068364"/>
      <w:r w:rsidRPr="007C5B9D">
        <w:t>7.3.</w:t>
      </w:r>
      <w:r w:rsidRPr="007C5B9D">
        <w:tab/>
        <w:t>Wskaźnik jakości odbioru</w:t>
      </w:r>
      <w:bookmarkEnd w:id="15"/>
      <w:bookmarkEnd w:id="16"/>
    </w:p>
    <w:p w:rsidR="00776D98" w:rsidRPr="007C5B9D" w:rsidRDefault="00776D98" w:rsidP="00EE38A6">
      <w:pPr>
        <w:spacing w:after="240"/>
        <w:jc w:val="both"/>
      </w:pPr>
      <w:r w:rsidRPr="007C5B9D">
        <w:t xml:space="preserve">W przypadku gdy odbiornik </w:t>
      </w:r>
      <w:r w:rsidR="009D419C" w:rsidRPr="007C5B9D">
        <w:t xml:space="preserve">radiofonii </w:t>
      </w:r>
      <w:r w:rsidRPr="007C5B9D">
        <w:t>DAB+ jest wyposażony we wskaźnik jakości odbioru</w:t>
      </w:r>
      <w:r w:rsidR="006979D2" w:rsidRPr="007C5B9D">
        <w:t>,</w:t>
      </w:r>
      <w:r w:rsidRPr="007C5B9D">
        <w:t xml:space="preserve"> ma on wykorzystywać wyliczoną </w:t>
      </w:r>
      <w:r w:rsidR="000A74AF" w:rsidRPr="007C5B9D">
        <w:t xml:space="preserve">Bitową Stopę Błędów </w:t>
      </w:r>
      <w:r w:rsidRPr="007C5B9D">
        <w:t xml:space="preserve">BER </w:t>
      </w:r>
      <w:r w:rsidR="003F7410" w:rsidRPr="007C5B9D">
        <w:t xml:space="preserve">(Bit Error </w:t>
      </w:r>
      <w:proofErr w:type="spellStart"/>
      <w:r w:rsidR="003F7410" w:rsidRPr="007C5B9D">
        <w:t>Rate</w:t>
      </w:r>
      <w:proofErr w:type="spellEnd"/>
      <w:r w:rsidR="000A74AF" w:rsidRPr="007C5B9D">
        <w:t xml:space="preserve">) </w:t>
      </w:r>
      <w:r w:rsidRPr="007C5B9D">
        <w:t>w kanale MSC. Sposób prezentowania informacji ułatwia użytkownikowi optymalizację ustawienia anteny odbiorczej.</w:t>
      </w:r>
    </w:p>
    <w:p w:rsidR="00776D98" w:rsidRPr="00776D98" w:rsidRDefault="00776D98" w:rsidP="00776D98">
      <w:pPr>
        <w:rPr>
          <w:rStyle w:val="Ppogrubienie"/>
        </w:rPr>
      </w:pPr>
      <w:bookmarkStart w:id="17" w:name="_Toc388612401"/>
      <w:bookmarkStart w:id="18" w:name="_Toc528068365"/>
      <w:r w:rsidRPr="00776D98">
        <w:rPr>
          <w:rStyle w:val="Ppogrubienie"/>
        </w:rPr>
        <w:t>8.</w:t>
      </w:r>
      <w:r w:rsidRPr="00776D98">
        <w:rPr>
          <w:rStyle w:val="Ppogrubienie"/>
        </w:rPr>
        <w:tab/>
      </w:r>
      <w:r w:rsidR="006307B8">
        <w:rPr>
          <w:rStyle w:val="Ppogrubienie"/>
        </w:rPr>
        <w:t xml:space="preserve">Wymagania dla </w:t>
      </w:r>
      <w:r w:rsidRPr="00776D98">
        <w:rPr>
          <w:rStyle w:val="Ppogrubienie"/>
        </w:rPr>
        <w:t xml:space="preserve">dekodera odbiornika </w:t>
      </w:r>
      <w:r w:rsidR="00E67746">
        <w:rPr>
          <w:rStyle w:val="Ppogrubienie"/>
        </w:rPr>
        <w:t>radiofonii</w:t>
      </w:r>
      <w:r w:rsidR="00E67746" w:rsidRPr="00776D98">
        <w:rPr>
          <w:rStyle w:val="Ppogrubienie"/>
        </w:rPr>
        <w:t xml:space="preserve"> </w:t>
      </w:r>
      <w:r w:rsidRPr="00776D98">
        <w:rPr>
          <w:rStyle w:val="Ppogrubienie"/>
        </w:rPr>
        <w:t>DAB+</w:t>
      </w:r>
      <w:bookmarkEnd w:id="17"/>
      <w:bookmarkEnd w:id="18"/>
      <w:r w:rsidRPr="00776D98">
        <w:rPr>
          <w:rStyle w:val="Ppogrubienie"/>
        </w:rPr>
        <w:t xml:space="preserve"> </w:t>
      </w:r>
    </w:p>
    <w:p w:rsidR="00776D98" w:rsidRPr="00B660DF" w:rsidRDefault="00776D98" w:rsidP="00776D98">
      <w:bookmarkStart w:id="19" w:name="_Toc388612402"/>
      <w:bookmarkStart w:id="20" w:name="_Toc528068366"/>
      <w:r w:rsidRPr="00B660DF">
        <w:t>8.1.</w:t>
      </w:r>
      <w:r w:rsidRPr="00B660DF">
        <w:tab/>
        <w:t>Dekoder kanałowy</w:t>
      </w:r>
      <w:bookmarkEnd w:id="19"/>
      <w:bookmarkEnd w:id="20"/>
      <w:r w:rsidRPr="00B660DF">
        <w:t xml:space="preserve"> </w:t>
      </w:r>
    </w:p>
    <w:p w:rsidR="00776D98" w:rsidRPr="00B660DF" w:rsidRDefault="00776D98" w:rsidP="00776D98">
      <w:r w:rsidRPr="00B660DF">
        <w:t>Zgodnie z rozdz. 4.3 EN 62104:2015</w:t>
      </w:r>
      <w:r w:rsidR="00786A0D">
        <w:t>-07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_Ref383265511 \r \h  \* MERGEFORMAT </w:instrText>
      </w:r>
      <w:r w:rsidRPr="00B660DF">
        <w:fldChar w:fldCharType="separate"/>
      </w:r>
      <w:r w:rsidRPr="00B660DF">
        <w:t>[1</w:t>
      </w:r>
      <w:r w:rsidR="00D052D3">
        <w:t>1</w:t>
      </w:r>
      <w:r w:rsidRPr="00B660DF">
        <w:t>]</w:t>
      </w:r>
      <w:r w:rsidRPr="00B660DF">
        <w:fldChar w:fldCharType="end"/>
      </w:r>
      <w:r w:rsidRPr="00B660DF">
        <w:t>:</w:t>
      </w:r>
    </w:p>
    <w:p w:rsidR="00776D98" w:rsidRPr="00B660DF" w:rsidRDefault="00776D98" w:rsidP="00EE38A6">
      <w:pPr>
        <w:jc w:val="both"/>
      </w:pPr>
      <w:r w:rsidRPr="00776D98">
        <w:t>a)</w:t>
      </w:r>
      <w:r w:rsidRPr="00776D98">
        <w:tab/>
      </w:r>
      <w:r w:rsidRPr="00B660DF">
        <w:t>dekoder kanałowy odbiornika standardowego dekoduje co najmniej jeden kanał składowy MSC i jest  w stanie zdekodować co najmniej 144 CU (tj. 256 kbps@EEP3B, 192 kbps@EEP3A, 96 kbps@EEP1A)</w:t>
      </w:r>
      <w:r w:rsidR="00427328">
        <w:t>,</w:t>
      </w:r>
    </w:p>
    <w:p w:rsidR="00776D98" w:rsidRPr="00B660DF" w:rsidRDefault="00776D98" w:rsidP="00EE38A6">
      <w:pPr>
        <w:jc w:val="both"/>
      </w:pPr>
      <w:r w:rsidRPr="00776D98">
        <w:t>b)</w:t>
      </w:r>
      <w:r w:rsidRPr="00776D98">
        <w:tab/>
      </w:r>
      <w:r w:rsidRPr="00B660DF">
        <w:t>dekoder kanałowy odbiornika multimedialnego jest w stanie dekodować jednocześnie co najmniej cztery kanały składowe MSC i zdekodować co najmniej 288 CU.</w:t>
      </w:r>
    </w:p>
    <w:p w:rsidR="00776D98" w:rsidRPr="00B660DF" w:rsidRDefault="00776D98" w:rsidP="00EE38A6">
      <w:pPr>
        <w:jc w:val="both"/>
      </w:pPr>
      <w:bookmarkStart w:id="21" w:name="_Toc388612403"/>
      <w:bookmarkStart w:id="22" w:name="_Toc528068367"/>
      <w:r w:rsidRPr="00B660DF">
        <w:lastRenderedPageBreak/>
        <w:t>8.2.</w:t>
      </w:r>
      <w:r w:rsidRPr="00B660DF">
        <w:tab/>
        <w:t>Dekoder fonii</w:t>
      </w:r>
      <w:bookmarkEnd w:id="21"/>
      <w:bookmarkEnd w:id="22"/>
      <w:r w:rsidRPr="00B660DF">
        <w:t xml:space="preserve"> </w:t>
      </w:r>
    </w:p>
    <w:p w:rsidR="00776D98" w:rsidRPr="00B660DF" w:rsidRDefault="00776D98" w:rsidP="00EE38A6">
      <w:pPr>
        <w:jc w:val="both"/>
      </w:pPr>
      <w:r w:rsidRPr="00B660DF">
        <w:t>Zgodnie z rozdz. 4.6</w:t>
      </w:r>
      <w:r w:rsidR="00427328">
        <w:t xml:space="preserve"> IEC</w:t>
      </w:r>
      <w:r w:rsidRPr="00B660DF">
        <w:t> 62104:2015</w:t>
      </w:r>
      <w:r w:rsidR="00786A0D">
        <w:t>-07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_Ref383265511 \r \h  \* MERGEFORMAT </w:instrText>
      </w:r>
      <w:r w:rsidRPr="00B660DF">
        <w:fldChar w:fldCharType="separate"/>
      </w:r>
      <w:r w:rsidRPr="00B660DF">
        <w:t>[1</w:t>
      </w:r>
      <w:r w:rsidR="00D052D3">
        <w:t>1</w:t>
      </w:r>
      <w:r w:rsidRPr="00B660DF">
        <w:t>]</w:t>
      </w:r>
      <w:r w:rsidRPr="00B660DF">
        <w:fldChar w:fldCharType="end"/>
      </w:r>
      <w:r w:rsidRPr="00B660DF">
        <w:t xml:space="preserve"> dekoder umożliwia prawidłowe dekodowanie sygnałów fonicznych MPEG-4 AAC</w:t>
      </w:r>
      <w:r>
        <w:t xml:space="preserve"> </w:t>
      </w:r>
      <w:r w:rsidRPr="00B660DF">
        <w:t xml:space="preserve">zgodnie z normą ISO/IEC 14496-3:2009 </w:t>
      </w:r>
      <w:r w:rsidRPr="00B660DF">
        <w:fldChar w:fldCharType="begin"/>
      </w:r>
      <w:r w:rsidRPr="00B660DF">
        <w:instrText xml:space="preserve"> REF _Ref383439138 \r \h  \* MERGEFORMAT </w:instrText>
      </w:r>
      <w:r w:rsidRPr="00B660DF">
        <w:fldChar w:fldCharType="separate"/>
      </w:r>
      <w:r w:rsidRPr="00B660DF">
        <w:t>[13]</w:t>
      </w:r>
      <w:r w:rsidRPr="00B660DF">
        <w:fldChar w:fldCharType="end"/>
      </w:r>
      <w:r w:rsidRPr="00B660DF">
        <w:t xml:space="preserve"> z ograniczeniami podanymi w ETSI TS 102 563 V2.1.1</w:t>
      </w:r>
      <w:r w:rsidR="00786A0D">
        <w:t>:2017-01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_Ref383438523 \r \h  \* MERGEFORMAT </w:instrText>
      </w:r>
      <w:r w:rsidRPr="00B660DF">
        <w:fldChar w:fldCharType="separate"/>
      </w:r>
      <w:r w:rsidRPr="00B660DF">
        <w:t>[5]</w:t>
      </w:r>
      <w:r w:rsidRPr="00B660DF">
        <w:fldChar w:fldCharType="end"/>
      </w:r>
      <w:r w:rsidRPr="00B660DF">
        <w:t>.</w:t>
      </w:r>
    </w:p>
    <w:p w:rsidR="00776D98" w:rsidRDefault="00776D98" w:rsidP="00EE38A6">
      <w:pPr>
        <w:jc w:val="both"/>
      </w:pPr>
      <w:r w:rsidRPr="00B660DF">
        <w:t xml:space="preserve">Dekoder umożliwia prawidłową obsługę strumieni fonicznych zawierających </w:t>
      </w:r>
      <w:r w:rsidR="00F44360">
        <w:t>dźwięk</w:t>
      </w:r>
      <w:r w:rsidR="00F44360" w:rsidRPr="00B660DF">
        <w:t xml:space="preserve"> </w:t>
      </w:r>
      <w:r w:rsidRPr="00B660DF">
        <w:t>dookóln</w:t>
      </w:r>
      <w:r w:rsidR="00F44360">
        <w:t>y</w:t>
      </w:r>
      <w:r w:rsidRPr="00B660DF">
        <w:t xml:space="preserve"> opisan</w:t>
      </w:r>
      <w:r w:rsidR="00F44360">
        <w:t>ych</w:t>
      </w:r>
      <w:r w:rsidRPr="00B660DF">
        <w:t xml:space="preserve"> w ISO/IEC 23003-1:2007 </w:t>
      </w:r>
      <w:r w:rsidRPr="00B660DF">
        <w:fldChar w:fldCharType="begin"/>
      </w:r>
      <w:r w:rsidRPr="00B660DF">
        <w:instrText xml:space="preserve"> REF _Ref387488791 \r \h  \* MERGEFORMAT </w:instrText>
      </w:r>
      <w:r w:rsidRPr="00B660DF">
        <w:fldChar w:fldCharType="separate"/>
      </w:r>
      <w:r w:rsidRPr="00B660DF">
        <w:t>[14]</w:t>
      </w:r>
      <w:r w:rsidRPr="00B660DF">
        <w:fldChar w:fldCharType="end"/>
      </w:r>
      <w:r w:rsidRPr="00B660DF">
        <w:t xml:space="preserve"> (MPEG </w:t>
      </w:r>
      <w:proofErr w:type="spellStart"/>
      <w:r w:rsidRPr="00B660DF">
        <w:t>Surround</w:t>
      </w:r>
      <w:proofErr w:type="spellEnd"/>
      <w:r w:rsidRPr="00B660DF">
        <w:t>). Jeżeli dekodowanie pe</w:t>
      </w:r>
      <w:r w:rsidRPr="00776D98">
        <w:t>ł</w:t>
      </w:r>
      <w:r w:rsidRPr="00B660DF">
        <w:t>nego dźwięku dookólnego nie jest możliwe, to dekoder prawidłowo dekod</w:t>
      </w:r>
      <w:r w:rsidR="00F44360">
        <w:t>uje</w:t>
      </w:r>
      <w:r w:rsidRPr="00B660DF">
        <w:t xml:space="preserve"> takie sygnały jako m</w:t>
      </w:r>
      <w:r w:rsidRPr="00776D98">
        <w:t>o</w:t>
      </w:r>
      <w:r w:rsidRPr="00B660DF">
        <w:t>no- lub stereofoniczne.</w:t>
      </w:r>
    </w:p>
    <w:p w:rsidR="00776D98" w:rsidRPr="00B660DF" w:rsidRDefault="00F44360" w:rsidP="00EE38A6">
      <w:pPr>
        <w:spacing w:after="240"/>
        <w:jc w:val="both"/>
      </w:pPr>
      <w:r>
        <w:t>D</w:t>
      </w:r>
      <w:r w:rsidR="00776D98" w:rsidRPr="004F76EC">
        <w:t xml:space="preserve">ekoder </w:t>
      </w:r>
      <w:r>
        <w:t xml:space="preserve">maskuje </w:t>
      </w:r>
      <w:r w:rsidR="00776D98" w:rsidRPr="004F76EC">
        <w:t>błędy transmisji, a w razie niemożliwości odtworzenia sygnału, wycisza wyjście fonii</w:t>
      </w:r>
      <w:r w:rsidR="00776D98">
        <w:t>.</w:t>
      </w:r>
    </w:p>
    <w:p w:rsidR="00776D98" w:rsidRPr="00776D98" w:rsidRDefault="00776D98" w:rsidP="00776D98">
      <w:pPr>
        <w:rPr>
          <w:rStyle w:val="Ppogrubienie"/>
        </w:rPr>
      </w:pPr>
      <w:bookmarkStart w:id="23" w:name="_Toc388612404"/>
      <w:bookmarkStart w:id="24" w:name="_Toc528068368"/>
      <w:r w:rsidRPr="00776D98">
        <w:rPr>
          <w:rStyle w:val="Ppogrubienie"/>
        </w:rPr>
        <w:t>9.</w:t>
      </w:r>
      <w:r w:rsidRPr="00776D98">
        <w:rPr>
          <w:rStyle w:val="Ppogrubienie"/>
        </w:rPr>
        <w:tab/>
        <w:t>Odbiór radiofonii analogowej</w:t>
      </w:r>
      <w:bookmarkEnd w:id="23"/>
      <w:bookmarkEnd w:id="24"/>
      <w:r w:rsidRPr="00776D98">
        <w:rPr>
          <w:rStyle w:val="Ppogrubienie"/>
        </w:rPr>
        <w:t xml:space="preserve"> </w:t>
      </w:r>
    </w:p>
    <w:p w:rsidR="00776D98" w:rsidRPr="00B660DF" w:rsidRDefault="00776D98" w:rsidP="00EE38A6">
      <w:pPr>
        <w:spacing w:after="240"/>
        <w:jc w:val="both"/>
      </w:pPr>
      <w:r w:rsidRPr="00B660DF">
        <w:t xml:space="preserve">Wszystkie odbiorniki </w:t>
      </w:r>
      <w:r w:rsidR="00D57614">
        <w:t>radiofonii</w:t>
      </w:r>
      <w:r w:rsidR="00D57614" w:rsidRPr="00B660DF">
        <w:t xml:space="preserve"> </w:t>
      </w:r>
      <w:r w:rsidRPr="00B660DF">
        <w:t xml:space="preserve">DAB+ (poza adapterami) umożliwiają odbiór </w:t>
      </w:r>
      <w:r w:rsidR="00E574A3">
        <w:t xml:space="preserve">również sygnałów radiofonii UKF </w:t>
      </w:r>
      <w:r w:rsidRPr="00B660DF">
        <w:t xml:space="preserve">FM w zakresie 87,5-108 MHz nadawanych zgodnie z </w:t>
      </w:r>
      <w:r w:rsidR="004C125F">
        <w:t>z</w:t>
      </w:r>
      <w:r w:rsidRPr="00B660DF">
        <w:t>aleceniem ITU-R BS.450</w:t>
      </w:r>
      <w:r w:rsidR="003F7410">
        <w:t>(11/</w:t>
      </w:r>
      <w:r w:rsidRPr="00B660DF">
        <w:t>2001</w:t>
      </w:r>
      <w:r w:rsidR="003F7410">
        <w:t>)</w:t>
      </w:r>
      <w:r w:rsidR="002449C5" w:rsidRPr="001C61AF">
        <w:t xml:space="preserve"> </w:t>
      </w:r>
      <w:r w:rsidRPr="00B660DF">
        <w:fldChar w:fldCharType="begin"/>
      </w:r>
      <w:r w:rsidRPr="00B660DF">
        <w:instrText xml:space="preserve"> REF _Ref383262860 \r \h  \* MERGEFORMAT </w:instrText>
      </w:r>
      <w:r w:rsidRPr="00B660DF">
        <w:fldChar w:fldCharType="separate"/>
      </w:r>
      <w:r w:rsidRPr="00B660DF">
        <w:t>[</w:t>
      </w:r>
      <w:r w:rsidR="004C125F">
        <w:t>2</w:t>
      </w:r>
      <w:r w:rsidRPr="00B660DF">
        <w:t>6]</w:t>
      </w:r>
      <w:r w:rsidRPr="00B660DF">
        <w:fldChar w:fldCharType="end"/>
      </w:r>
      <w:r w:rsidRPr="00B660DF">
        <w:t>.</w:t>
      </w:r>
    </w:p>
    <w:p w:rsidR="00776D98" w:rsidRPr="00776D98" w:rsidRDefault="00776D98" w:rsidP="00EE38A6">
      <w:pPr>
        <w:jc w:val="both"/>
        <w:rPr>
          <w:rStyle w:val="Ppogrubienie"/>
        </w:rPr>
      </w:pPr>
      <w:bookmarkStart w:id="25" w:name="_Toc388612405"/>
      <w:bookmarkStart w:id="26" w:name="_Toc528068369"/>
      <w:r w:rsidRPr="00776D98">
        <w:rPr>
          <w:rStyle w:val="Ppogrubienie"/>
        </w:rPr>
        <w:t>10.</w:t>
      </w:r>
      <w:r w:rsidRPr="00776D98">
        <w:rPr>
          <w:rStyle w:val="Ppogrubienie"/>
        </w:rPr>
        <w:tab/>
      </w:r>
      <w:r w:rsidR="006307B8">
        <w:rPr>
          <w:rStyle w:val="Ppogrubienie"/>
        </w:rPr>
        <w:t>Wymagania dla</w:t>
      </w:r>
      <w:r w:rsidRPr="00776D98">
        <w:rPr>
          <w:rStyle w:val="Ppogrubienie"/>
        </w:rPr>
        <w:t xml:space="preserve"> wyświetlacza odbiornika </w:t>
      </w:r>
      <w:r w:rsidR="0017149E">
        <w:rPr>
          <w:rStyle w:val="Ppogrubienie"/>
        </w:rPr>
        <w:t>radiofonii</w:t>
      </w:r>
      <w:r w:rsidR="0017149E" w:rsidRPr="00776D98">
        <w:rPr>
          <w:rStyle w:val="Ppogrubienie"/>
        </w:rPr>
        <w:t xml:space="preserve"> </w:t>
      </w:r>
      <w:r w:rsidRPr="00776D98">
        <w:rPr>
          <w:rStyle w:val="Ppogrubienie"/>
        </w:rPr>
        <w:t>DAB+</w:t>
      </w:r>
      <w:bookmarkEnd w:id="25"/>
      <w:bookmarkEnd w:id="26"/>
    </w:p>
    <w:p w:rsidR="00776D98" w:rsidRPr="00B660DF" w:rsidRDefault="00776D98" w:rsidP="00EE38A6">
      <w:pPr>
        <w:jc w:val="both"/>
      </w:pPr>
      <w:bookmarkStart w:id="27" w:name="_Toc388612406"/>
      <w:bookmarkStart w:id="28" w:name="_Toc528068370"/>
      <w:r w:rsidRPr="00B660DF">
        <w:t>10.1.</w:t>
      </w:r>
      <w:r w:rsidRPr="00B660DF">
        <w:tab/>
        <w:t>Wyświetlanie nazw programów</w:t>
      </w:r>
      <w:bookmarkEnd w:id="27"/>
      <w:bookmarkEnd w:id="28"/>
      <w:r w:rsidRPr="00B660DF">
        <w:t xml:space="preserve"> </w:t>
      </w:r>
    </w:p>
    <w:p w:rsidR="00776D98" w:rsidRPr="00B660DF" w:rsidRDefault="00776D98" w:rsidP="00EE38A6">
      <w:pPr>
        <w:jc w:val="both"/>
      </w:pPr>
      <w:r w:rsidRPr="00B660DF">
        <w:t xml:space="preserve">Wyświetlacz odbiornika </w:t>
      </w:r>
      <w:r w:rsidR="00650146">
        <w:t xml:space="preserve">radiofonii DAB+ </w:t>
      </w:r>
      <w:r w:rsidRPr="00B660DF">
        <w:t>poprawnie i czytelnie wyświetla nazwę wybranej składowej programu (</w:t>
      </w:r>
      <w:r w:rsidRPr="006656BA">
        <w:rPr>
          <w:rStyle w:val="Kkursywa"/>
        </w:rPr>
        <w:t xml:space="preserve">Component </w:t>
      </w:r>
      <w:proofErr w:type="spellStart"/>
      <w:r w:rsidRPr="006656BA">
        <w:rPr>
          <w:rStyle w:val="Kkursywa"/>
        </w:rPr>
        <w:t>Label</w:t>
      </w:r>
      <w:proofErr w:type="spellEnd"/>
      <w:r w:rsidRPr="00B660DF">
        <w:t>), a w przypadku kiedy nadawca jej nie nad</w:t>
      </w:r>
      <w:r w:rsidRPr="00776D98">
        <w:t>a</w:t>
      </w:r>
      <w:r w:rsidRPr="00B660DF">
        <w:t>je, nazwę wybranego programu (</w:t>
      </w:r>
      <w:r w:rsidRPr="006656BA">
        <w:rPr>
          <w:rStyle w:val="Kkursywa"/>
        </w:rPr>
        <w:t xml:space="preserve">Service </w:t>
      </w:r>
      <w:proofErr w:type="spellStart"/>
      <w:r w:rsidRPr="006656BA">
        <w:rPr>
          <w:rStyle w:val="Kkursywa"/>
        </w:rPr>
        <w:t>Label</w:t>
      </w:r>
      <w:proofErr w:type="spellEnd"/>
      <w:r w:rsidRPr="00B660DF">
        <w:t>).</w:t>
      </w:r>
    </w:p>
    <w:p w:rsidR="00776D98" w:rsidRPr="00B660DF" w:rsidRDefault="00776D98" w:rsidP="00EE38A6">
      <w:pPr>
        <w:jc w:val="both"/>
      </w:pPr>
      <w:r w:rsidRPr="00B660DF">
        <w:t>Wyświetlacz poprawnie wyświetla nazwę wybranej składowej lub programu zarówno w formie krótkiej (8-znakowej)</w:t>
      </w:r>
      <w:r w:rsidR="004F470F">
        <w:t>,</w:t>
      </w:r>
      <w:r w:rsidRPr="00B660DF">
        <w:t xml:space="preserve"> jak i preferowanej formie długiej (16-znakowej).</w:t>
      </w:r>
    </w:p>
    <w:p w:rsidR="00776D98" w:rsidRDefault="00776D98" w:rsidP="00EE38A6">
      <w:pPr>
        <w:spacing w:after="120"/>
        <w:jc w:val="both"/>
      </w:pPr>
      <w:r w:rsidRPr="00B660DF">
        <w:t xml:space="preserve">Zestaw znaków alfanumerycznych, wykorzystywany przez nadawców w </w:t>
      </w:r>
      <w:r w:rsidR="004C125F">
        <w:t>Rzeczpospolitej Polskiej</w:t>
      </w:r>
      <w:r w:rsidR="004C125F" w:rsidRPr="00B660DF">
        <w:t xml:space="preserve"> </w:t>
      </w:r>
      <w:r w:rsidRPr="00B660DF">
        <w:t xml:space="preserve">do nadawania nazw programów, składowych programów oraz multipleksu zdefiniowany jest w </w:t>
      </w:r>
      <w:r w:rsidR="004C125F">
        <w:t>załączniku</w:t>
      </w:r>
      <w:r w:rsidR="004C125F" w:rsidRPr="00B660DF">
        <w:t xml:space="preserve"> </w:t>
      </w:r>
      <w:r w:rsidRPr="00B660DF">
        <w:t>C normy ETSI TS 101 756 V2.2.1</w:t>
      </w:r>
      <w:r w:rsidR="00786A0D">
        <w:t>:2017-08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_Ref389160157 \r \h  \* MERGEFORMAT </w:instrText>
      </w:r>
      <w:r w:rsidRPr="00B660DF">
        <w:fldChar w:fldCharType="separate"/>
      </w:r>
      <w:r w:rsidRPr="00B660DF">
        <w:t>[3]</w:t>
      </w:r>
      <w:r w:rsidRPr="00B660DF">
        <w:fldChar w:fldCharType="end"/>
      </w:r>
      <w:r w:rsidR="00882A4C">
        <w:t>.</w:t>
      </w:r>
    </w:p>
    <w:p w:rsidR="003471E3" w:rsidRDefault="003471E3">
      <w:pPr>
        <w:widowControl/>
        <w:autoSpaceDE/>
        <w:autoSpaceDN/>
        <w:adjustRightInd/>
      </w:pPr>
      <w:r>
        <w:br w:type="page"/>
      </w:r>
    </w:p>
    <w:p w:rsidR="003471E3" w:rsidRDefault="003471E3" w:rsidP="00EE38A6">
      <w:pPr>
        <w:jc w:val="both"/>
      </w:pPr>
    </w:p>
    <w:p w:rsidR="004C125F" w:rsidRPr="00B660DF" w:rsidRDefault="004C125F" w:rsidP="002449C5">
      <w:pPr>
        <w:spacing w:line="240" w:lineRule="auto"/>
        <w:jc w:val="both"/>
      </w:pPr>
      <w:r>
        <w:t xml:space="preserve">Tabela 1. </w:t>
      </w:r>
      <w:r w:rsidRPr="00B660DF">
        <w:t xml:space="preserve">Zestaw znaków alfanumerycznych wykorzystywany przez nadawców w </w:t>
      </w:r>
      <w:r>
        <w:t>Rzeczpospolitej Polskiej</w:t>
      </w:r>
      <w:r w:rsidRPr="00B660DF">
        <w:t xml:space="preserve"> do nadawania nazw programów, składowych programów oraz multipleksu</w:t>
      </w:r>
      <w:r w:rsidR="00097C27">
        <w:t xml:space="preserve"> [3]</w:t>
      </w:r>
      <w:r w:rsidR="005247CC">
        <w:t>.</w:t>
      </w:r>
    </w:p>
    <w:p w:rsidR="00776D98" w:rsidRPr="00B660DF" w:rsidRDefault="00776D98" w:rsidP="00776D98">
      <w:r w:rsidRPr="00776D98">
        <w:rPr>
          <w:noProof/>
        </w:rPr>
        <w:drawing>
          <wp:inline distT="0" distB="0" distL="0" distR="0" wp14:anchorId="68B4E55B" wp14:editId="7ECFD408">
            <wp:extent cx="5905500" cy="68865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A1C" w:rsidRDefault="00387A1C" w:rsidP="00776D98">
      <w:bookmarkStart w:id="29" w:name="_Toc388612407"/>
      <w:bookmarkStart w:id="30" w:name="_Toc528068371"/>
    </w:p>
    <w:p w:rsidR="00387A1C" w:rsidRDefault="00387A1C" w:rsidP="00776D98"/>
    <w:p w:rsidR="00387A1C" w:rsidRDefault="00387A1C" w:rsidP="00776D98"/>
    <w:p w:rsidR="00776D98" w:rsidRPr="00B660DF" w:rsidRDefault="00776D98" w:rsidP="00EE38A6">
      <w:pPr>
        <w:jc w:val="both"/>
      </w:pPr>
      <w:r w:rsidRPr="00B660DF">
        <w:lastRenderedPageBreak/>
        <w:t>10.2.</w:t>
      </w:r>
      <w:r w:rsidRPr="00B660DF">
        <w:tab/>
      </w:r>
      <w:r w:rsidR="004C125F">
        <w:t>DL</w:t>
      </w:r>
      <w:r w:rsidRPr="00B660DF">
        <w:t xml:space="preserve"> i inne usługi tekstowe</w:t>
      </w:r>
      <w:bookmarkEnd w:id="29"/>
      <w:bookmarkEnd w:id="30"/>
    </w:p>
    <w:p w:rsidR="00776D98" w:rsidRPr="00B660DF" w:rsidRDefault="00776D98" w:rsidP="00EE38A6">
      <w:pPr>
        <w:jc w:val="both"/>
      </w:pPr>
      <w:r w:rsidRPr="00B660DF">
        <w:t xml:space="preserve">Odbiornik </w:t>
      </w:r>
      <w:r w:rsidR="00D77D25">
        <w:t xml:space="preserve">radiofonii DAB+ </w:t>
      </w:r>
      <w:r w:rsidRPr="00B660DF">
        <w:t xml:space="preserve">umożliwia dekodowanie </w:t>
      </w:r>
      <w:r w:rsidR="0044139E">
        <w:t xml:space="preserve">DL </w:t>
      </w:r>
      <w:r w:rsidRPr="00B660DF">
        <w:t>niezależnie od tego</w:t>
      </w:r>
      <w:r w:rsidR="00874B11">
        <w:t>,</w:t>
      </w:r>
      <w:r w:rsidRPr="00B660DF">
        <w:t xml:space="preserve"> czy nadawane są inne usługi </w:t>
      </w:r>
      <w:r w:rsidR="0044139E">
        <w:t>stowarzyszone z programem (</w:t>
      </w:r>
      <w:r w:rsidRPr="00B660DF">
        <w:t>PAD</w:t>
      </w:r>
      <w:r w:rsidR="0044139E">
        <w:t xml:space="preserve">-Program </w:t>
      </w:r>
      <w:proofErr w:type="spellStart"/>
      <w:r w:rsidR="0044139E">
        <w:t>Associated</w:t>
      </w:r>
      <w:proofErr w:type="spellEnd"/>
      <w:r w:rsidR="0044139E">
        <w:t xml:space="preserve"> Data: </w:t>
      </w:r>
      <w:r w:rsidRPr="00B660DF">
        <w:t>DL Plus, pokaz slajdów).</w:t>
      </w:r>
    </w:p>
    <w:p w:rsidR="00776D98" w:rsidRPr="00B660DF" w:rsidRDefault="00776D98" w:rsidP="00EE38A6">
      <w:pPr>
        <w:jc w:val="both"/>
      </w:pPr>
      <w:r w:rsidRPr="00A625F4">
        <w:t xml:space="preserve">Odbiornik </w:t>
      </w:r>
      <w:r w:rsidR="003F7410" w:rsidRPr="00A625F4">
        <w:t>radiofonii</w:t>
      </w:r>
      <w:r w:rsidR="003F7410">
        <w:t xml:space="preserve"> DAB+ </w:t>
      </w:r>
      <w:r w:rsidRPr="00B660DF">
        <w:t xml:space="preserve">poprawnie formatuje </w:t>
      </w:r>
      <w:r w:rsidR="0044139E">
        <w:t>DL</w:t>
      </w:r>
      <w:r w:rsidRPr="00B660DF">
        <w:t>, zgodnie ze zdekod</w:t>
      </w:r>
      <w:r w:rsidRPr="00776D98">
        <w:t>o</w:t>
      </w:r>
      <w:r w:rsidRPr="00B660DF">
        <w:t xml:space="preserve">wanymi znakami 0x0A i 0x0B </w:t>
      </w:r>
      <w:r w:rsidR="0044139E">
        <w:t xml:space="preserve">oraz </w:t>
      </w:r>
      <w:r w:rsidRPr="00B660DF">
        <w:t>z  PN-ETSI EN 300 401 V2.1.1</w:t>
      </w:r>
      <w:r w:rsidR="00786A0D">
        <w:t>:2017-08</w:t>
      </w:r>
      <w:r w:rsidRPr="00B660DF">
        <w:t xml:space="preserve"> </w:t>
      </w:r>
      <w:r w:rsidRPr="00B660DF">
        <w:fldChar w:fldCharType="begin"/>
      </w:r>
      <w:r w:rsidRPr="00B660DF">
        <w:instrText xml:space="preserve"> REF _Ref383151620 \r \h  \* MERGEFORMAT </w:instrText>
      </w:r>
      <w:r w:rsidRPr="00B660DF">
        <w:fldChar w:fldCharType="separate"/>
      </w:r>
      <w:r w:rsidRPr="00B660DF">
        <w:t>[1]</w:t>
      </w:r>
      <w:r w:rsidRPr="00B660DF">
        <w:fldChar w:fldCharType="end"/>
      </w:r>
      <w:r w:rsidRPr="00B660DF">
        <w:t>.</w:t>
      </w:r>
    </w:p>
    <w:p w:rsidR="00776D98" w:rsidRPr="00B660DF" w:rsidRDefault="00776D98" w:rsidP="00EE38A6">
      <w:pPr>
        <w:jc w:val="both"/>
      </w:pPr>
      <w:r w:rsidRPr="00A625F4">
        <w:t>Odbiornik</w:t>
      </w:r>
      <w:r w:rsidRPr="00B660DF">
        <w:t xml:space="preserve"> </w:t>
      </w:r>
      <w:r w:rsidR="003F7410">
        <w:t xml:space="preserve">radiofonii DAB+ </w:t>
      </w:r>
      <w:r w:rsidRPr="00B660DF">
        <w:t>natychmiast po otrzymaniu komunikatu anulującego etykietę usuwa etykietę z wyświetlacza</w:t>
      </w:r>
      <w:r w:rsidR="004D4691">
        <w:t>,</w:t>
      </w:r>
      <w:r w:rsidRPr="00B660DF">
        <w:t xml:space="preserve"> nawet kiedy nie została ona w całości zaprezentowana. Dotyczy to zarówno wyświetlaczy przewijających treść etykiety oraz wielolinijkowych prezentujących etykietę w całości. </w:t>
      </w:r>
    </w:p>
    <w:p w:rsidR="00776D98" w:rsidRPr="00B660DF" w:rsidRDefault="00776D98" w:rsidP="00EE38A6">
      <w:pPr>
        <w:jc w:val="both"/>
      </w:pPr>
      <w:r w:rsidRPr="00B660DF">
        <w:t>W przypadku braku możliwości tec</w:t>
      </w:r>
      <w:r w:rsidRPr="00776D98">
        <w:t>h</w:t>
      </w:r>
      <w:r w:rsidRPr="00B660DF">
        <w:t>nicznych wyświetlania liter ze znakami diakrytycznymi (np. dla wyświetlaczy segmentowych)</w:t>
      </w:r>
      <w:r w:rsidR="0044139E">
        <w:t>,</w:t>
      </w:r>
      <w:r w:rsidRPr="00B660DF">
        <w:t xml:space="preserve"> wyświetlacz zastępuje je odpowiedną literą pozbawioną znaku diakrytycznego w</w:t>
      </w:r>
      <w:r w:rsidR="00874B11">
        <w:t>edług</w:t>
      </w:r>
      <w:r w:rsidRPr="00B660DF">
        <w:t xml:space="preserve"> poniższego wz</w:t>
      </w:r>
      <w:r w:rsidRPr="00776D98">
        <w:t>o</w:t>
      </w:r>
      <w:r w:rsidRPr="00B660DF">
        <w:t>ru:</w:t>
      </w:r>
    </w:p>
    <w:p w:rsidR="00776D98" w:rsidRPr="00B660DF" w:rsidRDefault="00776D98" w:rsidP="00776D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390"/>
        <w:gridCol w:w="377"/>
        <w:gridCol w:w="363"/>
        <w:gridCol w:w="363"/>
        <w:gridCol w:w="390"/>
        <w:gridCol w:w="390"/>
        <w:gridCol w:w="350"/>
        <w:gridCol w:w="363"/>
        <w:gridCol w:w="363"/>
        <w:gridCol w:w="390"/>
        <w:gridCol w:w="377"/>
        <w:gridCol w:w="363"/>
        <w:gridCol w:w="363"/>
        <w:gridCol w:w="390"/>
        <w:gridCol w:w="390"/>
        <w:gridCol w:w="350"/>
        <w:gridCol w:w="363"/>
        <w:gridCol w:w="363"/>
      </w:tblGrid>
      <w:tr w:rsidR="00776D98" w:rsidRPr="00B660DF" w:rsidTr="00E153CD">
        <w:trPr>
          <w:jc w:val="center"/>
        </w:trPr>
        <w:tc>
          <w:tcPr>
            <w:tcW w:w="0" w:type="auto"/>
          </w:tcPr>
          <w:p w:rsidR="00776D98" w:rsidRPr="00B660DF" w:rsidRDefault="00776D98" w:rsidP="003F7410">
            <w:r w:rsidRPr="00B660DF">
              <w:t>zdekodow</w:t>
            </w:r>
            <w:r w:rsidRPr="00776D98">
              <w:t>a</w:t>
            </w:r>
            <w:r w:rsidRPr="00B660DF">
              <w:t>ny znak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Ą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Ć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Ę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Ł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Ń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Ó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Ś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Ż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Ź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ą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ć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ę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ł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ń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ó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ś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ż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ź</w:t>
            </w:r>
          </w:p>
        </w:tc>
      </w:tr>
      <w:tr w:rsidR="00776D98" w:rsidRPr="00B660DF" w:rsidTr="00E153CD">
        <w:trPr>
          <w:jc w:val="center"/>
        </w:trPr>
        <w:tc>
          <w:tcPr>
            <w:tcW w:w="0" w:type="auto"/>
          </w:tcPr>
          <w:p w:rsidR="00776D98" w:rsidRPr="00B660DF" w:rsidRDefault="00776D98" w:rsidP="003F7410">
            <w:r w:rsidRPr="00B660DF">
              <w:t>wyświetlony znak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A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C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E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L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N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O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S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Z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Z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a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c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e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l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n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o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s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z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z</w:t>
            </w:r>
          </w:p>
        </w:tc>
      </w:tr>
      <w:tr w:rsidR="00776D98" w:rsidRPr="00B660DF" w:rsidTr="00E153CD">
        <w:trPr>
          <w:jc w:val="center"/>
        </w:trPr>
        <w:tc>
          <w:tcPr>
            <w:tcW w:w="0" w:type="auto"/>
          </w:tcPr>
          <w:p w:rsidR="00776D98" w:rsidRPr="00B660DF" w:rsidRDefault="00776D98" w:rsidP="003F7410">
            <w:r w:rsidRPr="00B660DF">
              <w:t>wyświetlony znak (opcja)</w:t>
            </w:r>
            <w:r w:rsidR="003F7410" w:rsidRPr="00B660DF" w:rsidDel="003F7410">
              <w:t xml:space="preserve"> 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A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C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E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L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N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O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S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Z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Z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A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C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E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L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N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O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S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Z</w:t>
            </w:r>
          </w:p>
        </w:tc>
        <w:tc>
          <w:tcPr>
            <w:tcW w:w="0" w:type="auto"/>
          </w:tcPr>
          <w:p w:rsidR="00776D98" w:rsidRPr="00B660DF" w:rsidRDefault="00776D98" w:rsidP="00E153CD">
            <w:r w:rsidRPr="00B660DF">
              <w:t>Z</w:t>
            </w:r>
          </w:p>
        </w:tc>
      </w:tr>
    </w:tbl>
    <w:p w:rsidR="00776D98" w:rsidRPr="00B660DF" w:rsidRDefault="00776D98" w:rsidP="00776D98"/>
    <w:p w:rsidR="00776D98" w:rsidRPr="00811C70" w:rsidRDefault="00776D98" w:rsidP="00811C70">
      <w:pPr>
        <w:spacing w:after="240"/>
        <w:rPr>
          <w:b/>
        </w:rPr>
      </w:pPr>
      <w:bookmarkStart w:id="31" w:name="_Toc528068372"/>
      <w:r w:rsidRPr="004426D0">
        <w:rPr>
          <w:rStyle w:val="Ppogrubienie"/>
        </w:rPr>
        <w:t>11.</w:t>
      </w:r>
      <w:r w:rsidRPr="004426D0">
        <w:rPr>
          <w:rStyle w:val="Ppogrubienie"/>
        </w:rPr>
        <w:tab/>
      </w:r>
      <w:r w:rsidR="006C24CD">
        <w:rPr>
          <w:rStyle w:val="Ppogrubienie"/>
        </w:rPr>
        <w:t xml:space="preserve">Wymagania dla </w:t>
      </w:r>
      <w:r w:rsidR="0044139E">
        <w:rPr>
          <w:rStyle w:val="Ppogrubienie"/>
        </w:rPr>
        <w:t>tunera</w:t>
      </w:r>
      <w:r w:rsidR="0044139E" w:rsidRPr="004426D0">
        <w:rPr>
          <w:rStyle w:val="Ppogrubienie"/>
        </w:rPr>
        <w:t xml:space="preserve"> </w:t>
      </w:r>
      <w:r w:rsidRPr="004426D0">
        <w:rPr>
          <w:rStyle w:val="Ppogrubienie"/>
        </w:rPr>
        <w:t xml:space="preserve">radiowego odbiornika </w:t>
      </w:r>
      <w:r w:rsidR="00CB3D98">
        <w:rPr>
          <w:rStyle w:val="Ppogrubienie"/>
        </w:rPr>
        <w:t>radiofonii</w:t>
      </w:r>
      <w:r w:rsidR="00CB3D98" w:rsidRPr="004426D0">
        <w:rPr>
          <w:rStyle w:val="Ppogrubienie"/>
        </w:rPr>
        <w:t xml:space="preserve"> </w:t>
      </w:r>
      <w:r w:rsidRPr="004426D0">
        <w:rPr>
          <w:rStyle w:val="Ppogrubienie"/>
        </w:rPr>
        <w:t>DAB+</w:t>
      </w:r>
      <w:bookmarkEnd w:id="31"/>
    </w:p>
    <w:p w:rsidR="00A60C9F" w:rsidRDefault="00A60C9F" w:rsidP="00EE38A6">
      <w:pPr>
        <w:jc w:val="both"/>
      </w:pPr>
      <w:r>
        <w:t xml:space="preserve">Czułość odbiornika </w:t>
      </w:r>
      <w:r w:rsidR="00093971">
        <w:t xml:space="preserve">radiofonii </w:t>
      </w:r>
      <w:r>
        <w:t>DAB+ w kanale Gaussa wyznaczana jest z następującej formuły:</w:t>
      </w:r>
    </w:p>
    <w:p w:rsidR="00A60C9F" w:rsidRDefault="00A60C9F" w:rsidP="00B754D5">
      <w:pPr>
        <w:pStyle w:val="Tekstpodstawowy"/>
        <w:spacing w:before="73"/>
      </w:pPr>
      <w:r w:rsidRPr="00A60C9F">
        <w:rPr>
          <w:spacing w:val="-1"/>
        </w:rPr>
        <w:t>FSG</w:t>
      </w:r>
      <w:r w:rsidRPr="00A60C9F">
        <w:rPr>
          <w:spacing w:val="-1"/>
          <w:position w:val="-5"/>
          <w:sz w:val="16"/>
        </w:rPr>
        <w:t>min</w:t>
      </w:r>
      <w:r w:rsidRPr="00F6377E">
        <w:rPr>
          <w:spacing w:val="6"/>
          <w:position w:val="-5"/>
          <w:sz w:val="16"/>
        </w:rPr>
        <w:t xml:space="preserve"> </w:t>
      </w:r>
      <w:r w:rsidRPr="00F6377E">
        <w:t>=</w:t>
      </w:r>
      <w:r w:rsidRPr="00F6377E">
        <w:rPr>
          <w:spacing w:val="-5"/>
        </w:rPr>
        <w:t xml:space="preserve"> </w:t>
      </w:r>
      <w:r w:rsidRPr="00F6377E">
        <w:t>[</w:t>
      </w:r>
      <w:r w:rsidRPr="00F6377E">
        <w:rPr>
          <w:spacing w:val="-4"/>
        </w:rPr>
        <w:t xml:space="preserve"> </w:t>
      </w:r>
      <w:r w:rsidRPr="00F6377E">
        <w:rPr>
          <w:spacing w:val="-1"/>
        </w:rPr>
        <w:t>34,4</w:t>
      </w:r>
      <w:r w:rsidRPr="00F6377E">
        <w:rPr>
          <w:spacing w:val="-4"/>
        </w:rPr>
        <w:t xml:space="preserve"> </w:t>
      </w:r>
      <w:r w:rsidRPr="00F6377E">
        <w:t>+</w:t>
      </w:r>
      <w:r w:rsidRPr="00F6377E">
        <w:rPr>
          <w:spacing w:val="-6"/>
        </w:rPr>
        <w:t xml:space="preserve"> </w:t>
      </w:r>
      <w:r w:rsidRPr="00F6377E">
        <w:rPr>
          <w:spacing w:val="-1"/>
        </w:rPr>
        <w:t>20log(F/220)</w:t>
      </w:r>
      <w:r w:rsidRPr="00F6377E">
        <w:rPr>
          <w:spacing w:val="-4"/>
        </w:rPr>
        <w:t xml:space="preserve"> </w:t>
      </w:r>
      <w:r w:rsidRPr="00F6377E">
        <w:t>]</w:t>
      </w:r>
      <w:r w:rsidRPr="00F6377E">
        <w:rPr>
          <w:spacing w:val="-4"/>
        </w:rPr>
        <w:t xml:space="preserve"> </w:t>
      </w:r>
      <w:proofErr w:type="spellStart"/>
      <w:r w:rsidRPr="00F6377E">
        <w:rPr>
          <w:spacing w:val="1"/>
        </w:rPr>
        <w:t>dBµV</w:t>
      </w:r>
      <w:proofErr w:type="spellEnd"/>
      <w:r w:rsidRPr="00F6377E">
        <w:rPr>
          <w:spacing w:val="1"/>
        </w:rPr>
        <w:t>/m,</w:t>
      </w:r>
      <w:r w:rsidRPr="00F6377E">
        <w:rPr>
          <w:spacing w:val="-2"/>
        </w:rPr>
        <w:t xml:space="preserve"> </w:t>
      </w:r>
      <w:r w:rsidRPr="00B754D5">
        <w:rPr>
          <w:spacing w:val="-1"/>
        </w:rPr>
        <w:t xml:space="preserve">gdzie </w:t>
      </w:r>
      <w:r w:rsidRPr="00A60C9F">
        <w:t>F</w:t>
      </w:r>
      <w:r w:rsidRPr="00A60C9F">
        <w:rPr>
          <w:spacing w:val="-5"/>
        </w:rPr>
        <w:t xml:space="preserve"> </w:t>
      </w:r>
      <w:r w:rsidRPr="00B754D5">
        <w:rPr>
          <w:spacing w:val="-1"/>
        </w:rPr>
        <w:t xml:space="preserve">jest częstotliwością środkową w </w:t>
      </w:r>
      <w:r w:rsidRPr="00A60C9F">
        <w:t>MHz.</w:t>
      </w:r>
    </w:p>
    <w:p w:rsidR="00F6377E" w:rsidRDefault="00F6377E" w:rsidP="00F6377E">
      <w:pPr>
        <w:jc w:val="both"/>
      </w:pPr>
      <w:r>
        <w:t>W przypadku odbiornika samochodowego czułość odbiornika w kanale Gaussa wyznaczana jest z następującej formuły:</w:t>
      </w:r>
    </w:p>
    <w:p w:rsidR="00F6377E" w:rsidRDefault="00F6377E" w:rsidP="00F6377E">
      <w:pPr>
        <w:pStyle w:val="Tekstpodstawowy"/>
        <w:spacing w:before="73"/>
      </w:pPr>
      <w:r w:rsidRPr="00A60C9F">
        <w:rPr>
          <w:spacing w:val="-1"/>
        </w:rPr>
        <w:t>FSG</w:t>
      </w:r>
      <w:r w:rsidRPr="00A60C9F">
        <w:rPr>
          <w:spacing w:val="-1"/>
          <w:position w:val="-5"/>
          <w:sz w:val="16"/>
        </w:rPr>
        <w:t>min</w:t>
      </w:r>
      <w:r w:rsidRPr="00F6377E">
        <w:rPr>
          <w:spacing w:val="6"/>
          <w:position w:val="-5"/>
          <w:sz w:val="16"/>
        </w:rPr>
        <w:t xml:space="preserve"> </w:t>
      </w:r>
      <w:r w:rsidRPr="00F6377E">
        <w:t>=</w:t>
      </w:r>
      <w:r w:rsidRPr="00F6377E">
        <w:rPr>
          <w:spacing w:val="-5"/>
        </w:rPr>
        <w:t xml:space="preserve"> </w:t>
      </w:r>
      <w:r w:rsidRPr="00F6377E">
        <w:t>[</w:t>
      </w:r>
      <w:r w:rsidRPr="00F6377E">
        <w:rPr>
          <w:spacing w:val="-4"/>
        </w:rPr>
        <w:t xml:space="preserve"> </w:t>
      </w:r>
      <w:r>
        <w:rPr>
          <w:spacing w:val="-1"/>
        </w:rPr>
        <w:t>29,2</w:t>
      </w:r>
      <w:r w:rsidRPr="00F6377E">
        <w:rPr>
          <w:spacing w:val="-4"/>
        </w:rPr>
        <w:t xml:space="preserve"> </w:t>
      </w:r>
      <w:r w:rsidRPr="00F6377E">
        <w:t>+</w:t>
      </w:r>
      <w:r w:rsidRPr="00F6377E">
        <w:rPr>
          <w:spacing w:val="-6"/>
        </w:rPr>
        <w:t xml:space="preserve"> </w:t>
      </w:r>
      <w:r w:rsidRPr="00F6377E">
        <w:rPr>
          <w:spacing w:val="-1"/>
        </w:rPr>
        <w:t>20log(F/220)</w:t>
      </w:r>
      <w:r w:rsidRPr="00F6377E">
        <w:rPr>
          <w:spacing w:val="-4"/>
        </w:rPr>
        <w:t xml:space="preserve"> </w:t>
      </w:r>
      <w:r w:rsidRPr="00F6377E">
        <w:t>]</w:t>
      </w:r>
      <w:r w:rsidRPr="00F6377E">
        <w:rPr>
          <w:spacing w:val="-4"/>
        </w:rPr>
        <w:t xml:space="preserve"> </w:t>
      </w:r>
      <w:proofErr w:type="spellStart"/>
      <w:r w:rsidRPr="00F6377E">
        <w:rPr>
          <w:spacing w:val="1"/>
        </w:rPr>
        <w:t>dBµV</w:t>
      </w:r>
      <w:proofErr w:type="spellEnd"/>
      <w:r w:rsidRPr="00F6377E">
        <w:rPr>
          <w:spacing w:val="1"/>
        </w:rPr>
        <w:t>/m,</w:t>
      </w:r>
      <w:r w:rsidRPr="00F6377E">
        <w:rPr>
          <w:spacing w:val="-2"/>
        </w:rPr>
        <w:t xml:space="preserve"> </w:t>
      </w:r>
      <w:r w:rsidRPr="008B0335">
        <w:rPr>
          <w:spacing w:val="-1"/>
        </w:rPr>
        <w:t xml:space="preserve">gdzie </w:t>
      </w:r>
      <w:r w:rsidRPr="00A60C9F">
        <w:t>F</w:t>
      </w:r>
      <w:r w:rsidRPr="00A60C9F">
        <w:rPr>
          <w:spacing w:val="-5"/>
        </w:rPr>
        <w:t xml:space="preserve"> </w:t>
      </w:r>
      <w:r w:rsidRPr="008B0335">
        <w:rPr>
          <w:spacing w:val="-1"/>
        </w:rPr>
        <w:t xml:space="preserve">jest częstotliwością środkową w </w:t>
      </w:r>
      <w:r w:rsidRPr="00A60C9F">
        <w:t>MHz.</w:t>
      </w:r>
    </w:p>
    <w:p w:rsidR="00F6377E" w:rsidRDefault="00F6377E" w:rsidP="00B754D5">
      <w:pPr>
        <w:pStyle w:val="Tekstpodstawowy"/>
        <w:spacing w:before="73"/>
      </w:pPr>
      <w:r>
        <w:t xml:space="preserve">Odbiornik </w:t>
      </w:r>
      <w:r w:rsidR="00093971">
        <w:t xml:space="preserve">radiofonii </w:t>
      </w:r>
      <w:r>
        <w:t xml:space="preserve">DAB+ sprzedawany bez anteny powinien zapewniać odpowiedną jakość odbioru przy poziomie mocy -97,7 </w:t>
      </w:r>
      <w:proofErr w:type="spellStart"/>
      <w:r>
        <w:t>dBm</w:t>
      </w:r>
      <w:proofErr w:type="spellEnd"/>
      <w:r>
        <w:t xml:space="preserve"> w kanale Gaussa.</w:t>
      </w:r>
    </w:p>
    <w:p w:rsidR="00F6377E" w:rsidRDefault="00F6377E" w:rsidP="00F6377E">
      <w:pPr>
        <w:jc w:val="both"/>
      </w:pPr>
      <w:r>
        <w:t xml:space="preserve">Czułość odbiornika </w:t>
      </w:r>
      <w:r w:rsidR="00093971">
        <w:t xml:space="preserve">radiofonii </w:t>
      </w:r>
      <w:r>
        <w:t>DAB+ w kanale Rayleigha wyznaczana jest z następującej formuły:</w:t>
      </w:r>
    </w:p>
    <w:p w:rsidR="00F6377E" w:rsidRDefault="00F6377E" w:rsidP="00F6377E">
      <w:pPr>
        <w:pStyle w:val="Tekstpodstawowy"/>
        <w:spacing w:before="73"/>
      </w:pPr>
      <w:r w:rsidRPr="00A60C9F">
        <w:rPr>
          <w:spacing w:val="-1"/>
        </w:rPr>
        <w:t>FS</w:t>
      </w:r>
      <w:r w:rsidR="00B35AB2">
        <w:rPr>
          <w:spacing w:val="-1"/>
        </w:rPr>
        <w:t>R</w:t>
      </w:r>
      <w:r w:rsidRPr="00A60C9F">
        <w:rPr>
          <w:spacing w:val="-1"/>
          <w:position w:val="-5"/>
          <w:sz w:val="16"/>
        </w:rPr>
        <w:t>min</w:t>
      </w:r>
      <w:r w:rsidRPr="00F6377E">
        <w:rPr>
          <w:spacing w:val="6"/>
          <w:position w:val="-5"/>
          <w:sz w:val="16"/>
        </w:rPr>
        <w:t xml:space="preserve"> </w:t>
      </w:r>
      <w:r w:rsidRPr="00F6377E">
        <w:t>=</w:t>
      </w:r>
      <w:r w:rsidRPr="00F6377E">
        <w:rPr>
          <w:spacing w:val="-5"/>
        </w:rPr>
        <w:t xml:space="preserve"> </w:t>
      </w:r>
      <w:r w:rsidRPr="00F6377E">
        <w:t>[</w:t>
      </w:r>
      <w:r w:rsidRPr="00F6377E">
        <w:rPr>
          <w:spacing w:val="-4"/>
        </w:rPr>
        <w:t xml:space="preserve"> </w:t>
      </w:r>
      <w:r>
        <w:rPr>
          <w:spacing w:val="-1"/>
        </w:rPr>
        <w:t>39</w:t>
      </w:r>
      <w:r w:rsidRPr="00F6377E">
        <w:rPr>
          <w:spacing w:val="-1"/>
        </w:rPr>
        <w:t>,</w:t>
      </w:r>
      <w:r>
        <w:rPr>
          <w:spacing w:val="-1"/>
        </w:rPr>
        <w:t>9</w:t>
      </w:r>
      <w:r w:rsidRPr="00F6377E">
        <w:rPr>
          <w:spacing w:val="-4"/>
        </w:rPr>
        <w:t xml:space="preserve"> </w:t>
      </w:r>
      <w:r w:rsidRPr="00F6377E">
        <w:t>+</w:t>
      </w:r>
      <w:r w:rsidRPr="00F6377E">
        <w:rPr>
          <w:spacing w:val="-6"/>
        </w:rPr>
        <w:t xml:space="preserve"> </w:t>
      </w:r>
      <w:r w:rsidRPr="00F6377E">
        <w:rPr>
          <w:spacing w:val="-1"/>
        </w:rPr>
        <w:t>20log(F/220)</w:t>
      </w:r>
      <w:r w:rsidRPr="00F6377E">
        <w:rPr>
          <w:spacing w:val="-4"/>
        </w:rPr>
        <w:t xml:space="preserve"> </w:t>
      </w:r>
      <w:r w:rsidRPr="00F6377E">
        <w:t>]</w:t>
      </w:r>
      <w:r w:rsidRPr="00F6377E">
        <w:rPr>
          <w:spacing w:val="-4"/>
        </w:rPr>
        <w:t xml:space="preserve"> </w:t>
      </w:r>
      <w:proofErr w:type="spellStart"/>
      <w:r w:rsidRPr="00F6377E">
        <w:rPr>
          <w:spacing w:val="1"/>
        </w:rPr>
        <w:t>dBµV</w:t>
      </w:r>
      <w:proofErr w:type="spellEnd"/>
      <w:r w:rsidRPr="00F6377E">
        <w:rPr>
          <w:spacing w:val="1"/>
        </w:rPr>
        <w:t>/m,</w:t>
      </w:r>
      <w:r w:rsidRPr="00F6377E">
        <w:rPr>
          <w:spacing w:val="-2"/>
        </w:rPr>
        <w:t xml:space="preserve"> </w:t>
      </w:r>
      <w:r w:rsidRPr="008B0335">
        <w:rPr>
          <w:spacing w:val="-1"/>
        </w:rPr>
        <w:t xml:space="preserve">gdzie </w:t>
      </w:r>
      <w:r w:rsidRPr="00A60C9F">
        <w:t>F</w:t>
      </w:r>
      <w:r w:rsidRPr="00A60C9F">
        <w:rPr>
          <w:spacing w:val="-5"/>
        </w:rPr>
        <w:t xml:space="preserve"> </w:t>
      </w:r>
      <w:r w:rsidRPr="008B0335">
        <w:rPr>
          <w:spacing w:val="-1"/>
        </w:rPr>
        <w:t xml:space="preserve">jest częstotliwością środkową w </w:t>
      </w:r>
      <w:r w:rsidRPr="00A60C9F">
        <w:t>MHz.</w:t>
      </w:r>
    </w:p>
    <w:p w:rsidR="00F6377E" w:rsidRDefault="00F6377E" w:rsidP="00F6377E">
      <w:pPr>
        <w:jc w:val="both"/>
      </w:pPr>
      <w:r>
        <w:lastRenderedPageBreak/>
        <w:t>W przypadku odbiornika samochodowego czułość odbiornika w kanale Rayleigha wyznaczana jest z następującej formuły:</w:t>
      </w:r>
    </w:p>
    <w:p w:rsidR="00F6377E" w:rsidRDefault="00F6377E" w:rsidP="00F6377E">
      <w:pPr>
        <w:pStyle w:val="Tekstpodstawowy"/>
        <w:spacing w:before="73"/>
      </w:pPr>
      <w:r w:rsidRPr="00A60C9F">
        <w:rPr>
          <w:spacing w:val="-1"/>
        </w:rPr>
        <w:t>FS</w:t>
      </w:r>
      <w:r w:rsidR="00B35AB2">
        <w:rPr>
          <w:spacing w:val="-1"/>
        </w:rPr>
        <w:t>R</w:t>
      </w:r>
      <w:r w:rsidRPr="00A60C9F">
        <w:rPr>
          <w:spacing w:val="-1"/>
          <w:position w:val="-5"/>
          <w:sz w:val="16"/>
        </w:rPr>
        <w:t>min</w:t>
      </w:r>
      <w:r w:rsidRPr="00F6377E">
        <w:rPr>
          <w:spacing w:val="6"/>
          <w:position w:val="-5"/>
          <w:sz w:val="16"/>
        </w:rPr>
        <w:t xml:space="preserve"> </w:t>
      </w:r>
      <w:r w:rsidRPr="00F6377E">
        <w:t>=</w:t>
      </w:r>
      <w:r w:rsidRPr="00F6377E">
        <w:rPr>
          <w:spacing w:val="-5"/>
        </w:rPr>
        <w:t xml:space="preserve"> </w:t>
      </w:r>
      <w:r w:rsidRPr="00F6377E">
        <w:t>[</w:t>
      </w:r>
      <w:r w:rsidRPr="00F6377E">
        <w:rPr>
          <w:spacing w:val="-4"/>
        </w:rPr>
        <w:t xml:space="preserve"> </w:t>
      </w:r>
      <w:r>
        <w:rPr>
          <w:spacing w:val="-4"/>
        </w:rPr>
        <w:t>34,7</w:t>
      </w:r>
      <w:r w:rsidRPr="00F6377E">
        <w:rPr>
          <w:spacing w:val="-4"/>
        </w:rPr>
        <w:t xml:space="preserve"> </w:t>
      </w:r>
      <w:r w:rsidRPr="00F6377E">
        <w:t>+</w:t>
      </w:r>
      <w:r w:rsidRPr="00F6377E">
        <w:rPr>
          <w:spacing w:val="-6"/>
        </w:rPr>
        <w:t xml:space="preserve"> </w:t>
      </w:r>
      <w:r w:rsidRPr="00F6377E">
        <w:rPr>
          <w:spacing w:val="-1"/>
        </w:rPr>
        <w:t>20log(F/220)</w:t>
      </w:r>
      <w:r w:rsidRPr="00F6377E">
        <w:rPr>
          <w:spacing w:val="-4"/>
        </w:rPr>
        <w:t xml:space="preserve"> </w:t>
      </w:r>
      <w:r w:rsidRPr="00F6377E">
        <w:t>]</w:t>
      </w:r>
      <w:r w:rsidRPr="00F6377E">
        <w:rPr>
          <w:spacing w:val="-4"/>
        </w:rPr>
        <w:t xml:space="preserve"> </w:t>
      </w:r>
      <w:proofErr w:type="spellStart"/>
      <w:r w:rsidRPr="00F6377E">
        <w:rPr>
          <w:spacing w:val="1"/>
        </w:rPr>
        <w:t>dBµV</w:t>
      </w:r>
      <w:proofErr w:type="spellEnd"/>
      <w:r w:rsidRPr="00F6377E">
        <w:rPr>
          <w:spacing w:val="1"/>
        </w:rPr>
        <w:t>/m,</w:t>
      </w:r>
      <w:r w:rsidRPr="00F6377E">
        <w:rPr>
          <w:spacing w:val="-2"/>
        </w:rPr>
        <w:t xml:space="preserve"> </w:t>
      </w:r>
      <w:r w:rsidRPr="008B0335">
        <w:rPr>
          <w:spacing w:val="-1"/>
        </w:rPr>
        <w:t xml:space="preserve">gdzie </w:t>
      </w:r>
      <w:r w:rsidRPr="00A60C9F">
        <w:t>F</w:t>
      </w:r>
      <w:r w:rsidRPr="00A60C9F">
        <w:rPr>
          <w:spacing w:val="-5"/>
        </w:rPr>
        <w:t xml:space="preserve"> </w:t>
      </w:r>
      <w:r w:rsidRPr="008B0335">
        <w:rPr>
          <w:spacing w:val="-1"/>
        </w:rPr>
        <w:t xml:space="preserve">jest częstotliwością środkową w </w:t>
      </w:r>
      <w:r w:rsidRPr="00A60C9F">
        <w:t>MHz.</w:t>
      </w:r>
    </w:p>
    <w:p w:rsidR="00F6377E" w:rsidRDefault="00F6377E" w:rsidP="00F6377E">
      <w:pPr>
        <w:pStyle w:val="Tekstpodstawowy"/>
        <w:spacing w:before="73"/>
      </w:pPr>
      <w:r>
        <w:t xml:space="preserve">Odbiornik </w:t>
      </w:r>
      <w:r w:rsidR="00093971">
        <w:t xml:space="preserve">radiofonii </w:t>
      </w:r>
      <w:r>
        <w:t xml:space="preserve">DAB+ sprzedawany bez anteny powinien zapewniać odpowiedną jakość odbioru przy poziomie mocy -92,2 </w:t>
      </w:r>
      <w:proofErr w:type="spellStart"/>
      <w:r>
        <w:t>dBm</w:t>
      </w:r>
      <w:proofErr w:type="spellEnd"/>
      <w:r>
        <w:t xml:space="preserve"> w kanale Rayleigha.</w:t>
      </w:r>
    </w:p>
    <w:p w:rsidR="00F6377E" w:rsidRPr="00A60C9F" w:rsidRDefault="00F6377E" w:rsidP="00B754D5">
      <w:pPr>
        <w:pStyle w:val="Tekstpodstawowy"/>
        <w:spacing w:before="73"/>
      </w:pPr>
      <w:r>
        <w:t xml:space="preserve">Zaniki Rayleigha zdefiniowane zostały w Dodatku D normy </w:t>
      </w:r>
      <w:r w:rsidRPr="00B660DF">
        <w:t>ETSI TS 103 461 V1.1.1</w:t>
      </w:r>
      <w:r w:rsidR="00786A0D">
        <w:t>:2017-08</w:t>
      </w:r>
      <w:r w:rsidRPr="00B660DF" w:rsidDel="00803AE7">
        <w:t xml:space="preserve"> </w:t>
      </w:r>
      <w:r w:rsidRPr="00B660DF">
        <w:t>[1</w:t>
      </w:r>
      <w:r>
        <w:t>0</w:t>
      </w:r>
      <w:r w:rsidRPr="00B660DF">
        <w:t>]</w:t>
      </w:r>
    </w:p>
    <w:p w:rsidR="00F6377E" w:rsidRDefault="00F6377E" w:rsidP="00EE38A6">
      <w:pPr>
        <w:jc w:val="both"/>
      </w:pPr>
      <w:r>
        <w:t xml:space="preserve">Wymagania selektywności odbiornika podano w Tabeli poniżej. </w:t>
      </w:r>
      <w:r w:rsidR="005F4C6B">
        <w:t>Przyjęto s</w:t>
      </w:r>
      <w:r>
        <w:t xml:space="preserve">ygnał użyteczny DAB+ do badań selektywności </w:t>
      </w:r>
      <w:r w:rsidR="005F4C6B">
        <w:t xml:space="preserve">na </w:t>
      </w:r>
      <w:r>
        <w:t>poziom</w:t>
      </w:r>
      <w:r w:rsidR="005F4C6B">
        <w:t>ie</w:t>
      </w:r>
      <w:r>
        <w:t xml:space="preserve"> -70 </w:t>
      </w:r>
      <w:proofErr w:type="spellStart"/>
      <w:r>
        <w:t>dBm</w:t>
      </w:r>
      <w:proofErr w:type="spellEnd"/>
      <w:r>
        <w:t>.</w:t>
      </w:r>
    </w:p>
    <w:p w:rsidR="00F6377E" w:rsidRDefault="00F6377E" w:rsidP="00F6377E">
      <w:pPr>
        <w:rPr>
          <w:rFonts w:ascii="Arial" w:eastAsia="Arial" w:hAnsi="Arial"/>
          <w:b/>
          <w:bCs/>
          <w:sz w:val="16"/>
          <w:szCs w:val="16"/>
        </w:rPr>
      </w:pPr>
    </w:p>
    <w:tbl>
      <w:tblPr>
        <w:tblW w:w="9338" w:type="dxa"/>
        <w:tblInd w:w="-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8"/>
        <w:gridCol w:w="4280"/>
      </w:tblGrid>
      <w:tr w:rsidR="00162554" w:rsidRPr="008B1E0B" w:rsidTr="00162554">
        <w:trPr>
          <w:trHeight w:hRule="exact" w:val="931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162554" w:rsidRPr="00162554" w:rsidRDefault="00162554" w:rsidP="00162554">
            <w:pPr>
              <w:pStyle w:val="TableParagraph"/>
              <w:spacing w:before="96"/>
              <w:ind w:left="541"/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</w:pPr>
            <w:r w:rsidRPr="00162554">
              <w:rPr>
                <w:rFonts w:ascii="Times New Roman" w:hAnsi="Times New Roman" w:cs="Times New Roman"/>
                <w:b/>
                <w:sz w:val="18"/>
                <w:lang w:val="pl-PL"/>
              </w:rPr>
              <w:t>Częstotliwość środkowa sygnału zakłócającego DAB+</w:t>
            </w:r>
          </w:p>
        </w:tc>
        <w:tc>
          <w:tcPr>
            <w:tcW w:w="42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162554" w:rsidRPr="00162554" w:rsidRDefault="00162554" w:rsidP="00162554">
            <w:pPr>
              <w:pStyle w:val="TableParagraph"/>
              <w:spacing w:line="239" w:lineRule="auto"/>
              <w:ind w:left="453" w:right="283"/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</w:pPr>
            <w:r w:rsidRPr="00162554">
              <w:rPr>
                <w:rFonts w:ascii="Times New Roman" w:hAnsi="Times New Roman" w:cs="Times New Roman"/>
                <w:b/>
                <w:spacing w:val="-1"/>
                <w:sz w:val="18"/>
                <w:lang w:val="pl-PL"/>
              </w:rPr>
              <w:t>Dopuszczalny poziom sygnału zakłócającego DAB+ w odniesieniu do sygnału użytecznego</w:t>
            </w:r>
          </w:p>
        </w:tc>
      </w:tr>
      <w:tr w:rsidR="00162554" w:rsidRPr="008B1E0B" w:rsidTr="00162554">
        <w:trPr>
          <w:trHeight w:hRule="exact" w:val="221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162554" w:rsidRPr="00162554" w:rsidRDefault="00162554" w:rsidP="00162554">
            <w:pPr>
              <w:pStyle w:val="TableParagraph"/>
              <w:spacing w:line="204" w:lineRule="exact"/>
              <w:ind w:left="606"/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</w:pPr>
            <w:r w:rsidRPr="00162554">
              <w:rPr>
                <w:rFonts w:ascii="Times New Roman" w:eastAsia="Arial" w:hAnsi="Times New Roman" w:cs="Times New Roman"/>
                <w:spacing w:val="-2"/>
                <w:sz w:val="18"/>
                <w:szCs w:val="18"/>
                <w:lang w:val="pl-PL"/>
              </w:rPr>
              <w:t>±1,712</w:t>
            </w:r>
            <w:r w:rsidRPr="00162554">
              <w:rPr>
                <w:rFonts w:ascii="Times New Roman" w:eastAsia="Arial" w:hAnsi="Times New Roman" w:cs="Times New Roman"/>
                <w:spacing w:val="1"/>
                <w:sz w:val="18"/>
                <w:szCs w:val="18"/>
                <w:lang w:val="pl-PL"/>
              </w:rPr>
              <w:t xml:space="preserve"> </w:t>
            </w:r>
            <w:r w:rsidRPr="00162554">
              <w:rPr>
                <w:rFonts w:ascii="Times New Roman" w:eastAsia="Arial" w:hAnsi="Times New Roman" w:cs="Times New Roman"/>
                <w:spacing w:val="-2"/>
                <w:sz w:val="18"/>
                <w:szCs w:val="18"/>
                <w:lang w:val="pl-PL"/>
              </w:rPr>
              <w:t>MHz</w:t>
            </w:r>
            <w:r w:rsidRPr="00162554"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162554">
              <w:rPr>
                <w:rFonts w:ascii="Times New Roman" w:eastAsia="Arial" w:hAnsi="Times New Roman" w:cs="Times New Roman"/>
                <w:spacing w:val="-1"/>
                <w:sz w:val="18"/>
                <w:szCs w:val="18"/>
                <w:lang w:val="pl-PL"/>
              </w:rPr>
              <w:t>w odniesieniu do sygnału użytecznego</w:t>
            </w:r>
          </w:p>
        </w:tc>
        <w:tc>
          <w:tcPr>
            <w:tcW w:w="42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162554" w:rsidRPr="00162554" w:rsidRDefault="00162554" w:rsidP="00162554">
            <w:pPr>
              <w:pStyle w:val="TableParagraph"/>
              <w:spacing w:line="204" w:lineRule="exact"/>
              <w:ind w:right="79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162554">
              <w:rPr>
                <w:rFonts w:ascii="Times New Roman" w:hAnsi="Times New Roman" w:cs="Times New Roman"/>
                <w:sz w:val="18"/>
              </w:rPr>
              <w:t>+35 dB</w:t>
            </w:r>
          </w:p>
        </w:tc>
      </w:tr>
      <w:tr w:rsidR="00162554" w:rsidRPr="008B1E0B" w:rsidTr="00162554">
        <w:trPr>
          <w:trHeight w:hRule="exact" w:val="223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162554" w:rsidRPr="00162554" w:rsidRDefault="00162554" w:rsidP="00162554">
            <w:pPr>
              <w:pStyle w:val="TableParagraph"/>
              <w:spacing w:line="205" w:lineRule="exact"/>
              <w:ind w:left="606"/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</w:pPr>
            <w:r w:rsidRPr="00162554">
              <w:rPr>
                <w:rFonts w:ascii="Times New Roman" w:eastAsia="Arial" w:hAnsi="Times New Roman" w:cs="Times New Roman"/>
                <w:spacing w:val="-2"/>
                <w:sz w:val="18"/>
                <w:szCs w:val="18"/>
                <w:lang w:val="pl-PL"/>
              </w:rPr>
              <w:t>±3,428</w:t>
            </w:r>
            <w:r w:rsidRPr="00162554">
              <w:rPr>
                <w:rFonts w:ascii="Times New Roman" w:eastAsia="Arial" w:hAnsi="Times New Roman" w:cs="Times New Roman"/>
                <w:spacing w:val="1"/>
                <w:sz w:val="18"/>
                <w:szCs w:val="18"/>
                <w:lang w:val="pl-PL"/>
              </w:rPr>
              <w:t xml:space="preserve"> </w:t>
            </w:r>
            <w:r w:rsidRPr="00162554">
              <w:rPr>
                <w:rFonts w:ascii="Times New Roman" w:eastAsia="Arial" w:hAnsi="Times New Roman" w:cs="Times New Roman"/>
                <w:spacing w:val="-2"/>
                <w:sz w:val="18"/>
                <w:szCs w:val="18"/>
                <w:lang w:val="pl-PL"/>
              </w:rPr>
              <w:t>MHz</w:t>
            </w:r>
            <w:r w:rsidRPr="00162554"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162554">
              <w:rPr>
                <w:rFonts w:ascii="Times New Roman" w:eastAsia="Arial" w:hAnsi="Times New Roman" w:cs="Times New Roman"/>
                <w:spacing w:val="-1"/>
                <w:sz w:val="18"/>
                <w:szCs w:val="18"/>
                <w:lang w:val="pl-PL"/>
              </w:rPr>
              <w:t>w odniesieniu do sygnału użytecznego</w:t>
            </w:r>
          </w:p>
        </w:tc>
        <w:tc>
          <w:tcPr>
            <w:tcW w:w="42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162554" w:rsidRPr="00162554" w:rsidRDefault="00162554" w:rsidP="00162554">
            <w:pPr>
              <w:pStyle w:val="TableParagraph"/>
              <w:spacing w:line="205" w:lineRule="exact"/>
              <w:ind w:right="79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162554">
              <w:rPr>
                <w:rFonts w:ascii="Times New Roman" w:hAnsi="Times New Roman" w:cs="Times New Roman"/>
                <w:sz w:val="18"/>
              </w:rPr>
              <w:t>+40 dB</w:t>
            </w:r>
          </w:p>
        </w:tc>
      </w:tr>
      <w:tr w:rsidR="00162554" w:rsidRPr="008B1E0B" w:rsidTr="00162554">
        <w:trPr>
          <w:trHeight w:hRule="exact" w:val="221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162554" w:rsidRPr="00162554" w:rsidRDefault="00162554" w:rsidP="00162554">
            <w:pPr>
              <w:pStyle w:val="TableParagraph"/>
              <w:spacing w:line="204" w:lineRule="exact"/>
              <w:ind w:left="606"/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</w:pPr>
            <w:r w:rsidRPr="00162554">
              <w:rPr>
                <w:rFonts w:ascii="Times New Roman" w:eastAsia="Arial" w:hAnsi="Times New Roman" w:cs="Times New Roman"/>
                <w:spacing w:val="-2"/>
                <w:sz w:val="18"/>
                <w:szCs w:val="18"/>
                <w:lang w:val="pl-PL"/>
              </w:rPr>
              <w:t>±5,136</w:t>
            </w:r>
            <w:r w:rsidRPr="00162554">
              <w:rPr>
                <w:rFonts w:ascii="Times New Roman" w:eastAsia="Arial" w:hAnsi="Times New Roman" w:cs="Times New Roman"/>
                <w:spacing w:val="1"/>
                <w:sz w:val="18"/>
                <w:szCs w:val="18"/>
                <w:lang w:val="pl-PL"/>
              </w:rPr>
              <w:t xml:space="preserve"> </w:t>
            </w:r>
            <w:r w:rsidRPr="00162554">
              <w:rPr>
                <w:rFonts w:ascii="Times New Roman" w:eastAsia="Arial" w:hAnsi="Times New Roman" w:cs="Times New Roman"/>
                <w:spacing w:val="-2"/>
                <w:sz w:val="18"/>
                <w:szCs w:val="18"/>
                <w:lang w:val="pl-PL"/>
              </w:rPr>
              <w:t>MHz</w:t>
            </w:r>
            <w:r w:rsidRPr="00162554"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162554">
              <w:rPr>
                <w:rFonts w:ascii="Times New Roman" w:eastAsia="Arial" w:hAnsi="Times New Roman" w:cs="Times New Roman"/>
                <w:spacing w:val="-1"/>
                <w:sz w:val="18"/>
                <w:szCs w:val="18"/>
                <w:lang w:val="pl-PL"/>
              </w:rPr>
              <w:t>w odniesieniu do sygnału użytecznego</w:t>
            </w:r>
          </w:p>
        </w:tc>
        <w:tc>
          <w:tcPr>
            <w:tcW w:w="42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162554" w:rsidRPr="00162554" w:rsidRDefault="00162554" w:rsidP="00162554">
            <w:pPr>
              <w:pStyle w:val="TableParagraph"/>
              <w:spacing w:line="204" w:lineRule="exact"/>
              <w:ind w:right="79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162554">
              <w:rPr>
                <w:rFonts w:ascii="Times New Roman" w:hAnsi="Times New Roman" w:cs="Times New Roman"/>
                <w:sz w:val="18"/>
              </w:rPr>
              <w:t>+45 dB</w:t>
            </w:r>
          </w:p>
        </w:tc>
      </w:tr>
      <w:tr w:rsidR="00162554" w:rsidRPr="008B1E0B" w:rsidTr="00162554">
        <w:trPr>
          <w:trHeight w:hRule="exact" w:val="669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162554" w:rsidRPr="00162554" w:rsidRDefault="00162554" w:rsidP="00162554">
            <w:pPr>
              <w:pStyle w:val="TableParagraph"/>
              <w:ind w:left="550" w:right="316"/>
              <w:rPr>
                <w:rFonts w:ascii="Times New Roman" w:eastAsia="Arial" w:hAnsi="Times New Roman" w:cs="Times New Roman"/>
                <w:sz w:val="18"/>
                <w:szCs w:val="18"/>
                <w:lang w:val="pl-PL"/>
              </w:rPr>
            </w:pPr>
            <w:r w:rsidRPr="00162554">
              <w:rPr>
                <w:rFonts w:ascii="Times New Roman" w:hAnsi="Times New Roman" w:cs="Times New Roman"/>
                <w:sz w:val="18"/>
                <w:lang w:val="pl-PL"/>
              </w:rPr>
              <w:t xml:space="preserve">Dla wszystkich </w:t>
            </w:r>
            <w:r w:rsidRPr="00162554">
              <w:rPr>
                <w:rFonts w:ascii="Times New Roman" w:hAnsi="Times New Roman" w:cs="Times New Roman"/>
                <w:spacing w:val="-1"/>
                <w:sz w:val="18"/>
                <w:lang w:val="pl-PL"/>
              </w:rPr>
              <w:t xml:space="preserve">częstotliwości sygnału zakłócającego o offsecie powyżej </w:t>
            </w:r>
            <w:r w:rsidRPr="00162554">
              <w:rPr>
                <w:rFonts w:ascii="Times New Roman" w:hAnsi="Times New Roman" w:cs="Times New Roman"/>
                <w:sz w:val="18"/>
                <w:lang w:val="pl-PL"/>
              </w:rPr>
              <w:t xml:space="preserve">6 </w:t>
            </w:r>
            <w:r w:rsidRPr="00162554">
              <w:rPr>
                <w:rFonts w:ascii="Times New Roman" w:hAnsi="Times New Roman" w:cs="Times New Roman"/>
                <w:spacing w:val="-2"/>
                <w:sz w:val="18"/>
                <w:lang w:val="pl-PL"/>
              </w:rPr>
              <w:t>MHz w odniesieniu</w:t>
            </w:r>
            <w:r w:rsidRPr="00162554">
              <w:rPr>
                <w:rFonts w:ascii="Times New Roman" w:hAnsi="Times New Roman" w:cs="Times New Roman"/>
                <w:spacing w:val="-1"/>
                <w:sz w:val="18"/>
                <w:lang w:val="pl-PL"/>
              </w:rPr>
              <w:t xml:space="preserve"> do </w:t>
            </w:r>
            <w:r w:rsidRPr="00162554">
              <w:rPr>
                <w:rFonts w:ascii="Times New Roman" w:hAnsi="Times New Roman" w:cs="Times New Roman"/>
                <w:sz w:val="18"/>
                <w:lang w:val="pl-PL"/>
              </w:rPr>
              <w:t>sygnału użytecznego</w:t>
            </w:r>
          </w:p>
        </w:tc>
        <w:tc>
          <w:tcPr>
            <w:tcW w:w="42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162554" w:rsidRPr="00162554" w:rsidRDefault="00162554" w:rsidP="00162554">
            <w:pPr>
              <w:pStyle w:val="TableParagraph"/>
              <w:spacing w:before="101"/>
              <w:ind w:right="78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162554">
              <w:rPr>
                <w:rFonts w:ascii="Times New Roman" w:hAnsi="Times New Roman" w:cs="Times New Roman"/>
                <w:sz w:val="18"/>
              </w:rPr>
              <w:t>+45</w:t>
            </w:r>
            <w:r w:rsidRPr="00162554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162554">
              <w:rPr>
                <w:rFonts w:ascii="Times New Roman" w:hAnsi="Times New Roman" w:cs="Times New Roman"/>
                <w:sz w:val="18"/>
              </w:rPr>
              <w:t>dB</w:t>
            </w:r>
          </w:p>
        </w:tc>
      </w:tr>
    </w:tbl>
    <w:p w:rsidR="00F6377E" w:rsidRDefault="00F6377E" w:rsidP="00F6377E">
      <w:pPr>
        <w:rPr>
          <w:rFonts w:ascii="Arial" w:eastAsia="Arial" w:hAnsi="Arial"/>
          <w:b/>
          <w:bCs/>
          <w:sz w:val="20"/>
        </w:rPr>
      </w:pPr>
    </w:p>
    <w:p w:rsidR="00776D98" w:rsidRDefault="00776D98" w:rsidP="00EE38A6">
      <w:pPr>
        <w:jc w:val="both"/>
      </w:pPr>
      <w:r w:rsidRPr="00B660DF">
        <w:t xml:space="preserve">W przypadku odbiorników </w:t>
      </w:r>
      <w:r w:rsidR="00650146">
        <w:t xml:space="preserve">radiofonii DAB+ </w:t>
      </w:r>
      <w:r w:rsidRPr="00B660DF">
        <w:t xml:space="preserve">wyposażonych w złącza antenowe wymaga się impedancji złącza 75 </w:t>
      </w:r>
      <w:r w:rsidRPr="00D37ED3">
        <w:t xml:space="preserve">Ω </w:t>
      </w:r>
      <w:r w:rsidRPr="00B660DF">
        <w:t xml:space="preserve">dla odbiorników stacjonarnych i 50 </w:t>
      </w:r>
      <w:r w:rsidRPr="00D37ED3">
        <w:t>Ω</w:t>
      </w:r>
      <w:r w:rsidRPr="00776D98">
        <w:t xml:space="preserve"> </w:t>
      </w:r>
      <w:r w:rsidRPr="00B660DF">
        <w:t>dla odbiorników samochodowych.</w:t>
      </w:r>
    </w:p>
    <w:p w:rsidR="00BE3EB9" w:rsidRDefault="00BE3EB9" w:rsidP="00EE38A6">
      <w:pPr>
        <w:jc w:val="both"/>
      </w:pPr>
    </w:p>
    <w:p w:rsidR="00BE3EB9" w:rsidRDefault="00BE3EB9" w:rsidP="00EE38A6">
      <w:pPr>
        <w:jc w:val="both"/>
      </w:pPr>
    </w:p>
    <w:p w:rsidR="00BE3EB9" w:rsidRDefault="00BE3EB9">
      <w:pPr>
        <w:widowControl/>
        <w:autoSpaceDE/>
        <w:autoSpaceDN/>
        <w:adjustRightInd/>
      </w:pPr>
      <w:r>
        <w:br w:type="page"/>
      </w:r>
    </w:p>
    <w:p w:rsidR="00BE3EB9" w:rsidRDefault="00BE3EB9" w:rsidP="00BE3EB9">
      <w:pPr>
        <w:suppressAutoHyphens/>
        <w:spacing w:before="120"/>
        <w:jc w:val="center"/>
        <w:rPr>
          <w:b/>
        </w:rPr>
      </w:pPr>
      <w:r w:rsidRPr="006D47B3">
        <w:rPr>
          <w:b/>
        </w:rPr>
        <w:lastRenderedPageBreak/>
        <w:t>UZASADNIENIE</w:t>
      </w:r>
    </w:p>
    <w:p w:rsidR="00BE3EB9" w:rsidRPr="00177EBF" w:rsidRDefault="00BE3EB9" w:rsidP="00BE3EB9">
      <w:pPr>
        <w:suppressAutoHyphens/>
        <w:rPr>
          <w:rFonts w:ascii="TimesNewRomanPSMT" w:eastAsia="Calibri" w:hAnsi="TimesNewRomanPSMT" w:cs="TimesNewRomanPSMT"/>
        </w:rPr>
      </w:pP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0F5DDA">
        <w:rPr>
          <w:rFonts w:eastAsia="Calibri"/>
          <w:color w:val="000000"/>
          <w:szCs w:val="22"/>
        </w:rPr>
        <w:t>Proj</w:t>
      </w:r>
      <w:r>
        <w:rPr>
          <w:rFonts w:eastAsia="Calibri"/>
          <w:color w:val="000000"/>
          <w:szCs w:val="22"/>
        </w:rPr>
        <w:t>ektowane rozporządzenie jest</w:t>
      </w:r>
      <w:r w:rsidRPr="000F5DDA">
        <w:rPr>
          <w:rFonts w:eastAsia="Calibri"/>
          <w:color w:val="000000"/>
          <w:szCs w:val="22"/>
        </w:rPr>
        <w:t xml:space="preserve"> wyda</w:t>
      </w:r>
      <w:r>
        <w:rPr>
          <w:rFonts w:eastAsia="Calibri"/>
          <w:color w:val="000000"/>
          <w:szCs w:val="22"/>
        </w:rPr>
        <w:t>wa</w:t>
      </w:r>
      <w:r w:rsidRPr="000F5DDA">
        <w:rPr>
          <w:rFonts w:eastAsia="Calibri"/>
          <w:color w:val="000000"/>
          <w:szCs w:val="22"/>
        </w:rPr>
        <w:t xml:space="preserve">ne w celu wykonania upoważnienia ustawowego określonego w art. 132 ust. </w:t>
      </w:r>
      <w:r>
        <w:rPr>
          <w:rFonts w:eastAsia="Calibri"/>
          <w:color w:val="000000"/>
          <w:szCs w:val="22"/>
        </w:rPr>
        <w:t>4</w:t>
      </w:r>
      <w:r w:rsidRPr="000F5DDA">
        <w:rPr>
          <w:rFonts w:eastAsia="Calibri"/>
          <w:color w:val="000000"/>
          <w:szCs w:val="22"/>
        </w:rPr>
        <w:t xml:space="preserve"> ustawy z dnia 16 lipca 2004 r. – Prawo telekomunikacyjne (Dz. U. z 2018 r. poz. 1954</w:t>
      </w:r>
      <w:r w:rsidRPr="00B660DF">
        <w:t xml:space="preserve">, </w:t>
      </w:r>
      <w:r w:rsidR="00B20E63">
        <w:t xml:space="preserve">z </w:t>
      </w:r>
      <w:proofErr w:type="spellStart"/>
      <w:r w:rsidR="00B20E63">
        <w:t>pó</w:t>
      </w:r>
      <w:r w:rsidR="00B20E63">
        <w:rPr>
          <w:rFonts w:cs="Times New Roman"/>
        </w:rPr>
        <w:t>ź</w:t>
      </w:r>
      <w:r w:rsidR="00B20E63">
        <w:t>n</w:t>
      </w:r>
      <w:proofErr w:type="spellEnd"/>
      <w:r w:rsidR="00B20E63">
        <w:t>. zm.</w:t>
      </w:r>
      <w:r>
        <w:rPr>
          <w:rFonts w:eastAsia="Calibri"/>
          <w:color w:val="000000"/>
          <w:szCs w:val="22"/>
        </w:rPr>
        <w:t>).</w:t>
      </w:r>
    </w:p>
    <w:p w:rsidR="00BE3EB9" w:rsidRPr="00871457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Projektowane r</w:t>
      </w:r>
      <w:r w:rsidRPr="00C53F24">
        <w:rPr>
          <w:rFonts w:eastAsia="Calibri"/>
          <w:color w:val="000000"/>
          <w:szCs w:val="22"/>
        </w:rPr>
        <w:t xml:space="preserve">ozporządzenie </w:t>
      </w:r>
      <w:r w:rsidR="0074080F" w:rsidRPr="0074080F">
        <w:rPr>
          <w:rFonts w:eastAsia="Calibri"/>
          <w:color w:val="000000"/>
          <w:szCs w:val="22"/>
        </w:rPr>
        <w:t>określ</w:t>
      </w:r>
      <w:r w:rsidR="00650146">
        <w:rPr>
          <w:rFonts w:eastAsia="Calibri"/>
          <w:color w:val="000000"/>
          <w:szCs w:val="22"/>
        </w:rPr>
        <w:t>a</w:t>
      </w:r>
      <w:r w:rsidR="0074080F" w:rsidRPr="0074080F">
        <w:rPr>
          <w:rFonts w:eastAsia="Calibri"/>
          <w:color w:val="000000"/>
          <w:szCs w:val="22"/>
        </w:rPr>
        <w:t xml:space="preserve"> wymaga</w:t>
      </w:r>
      <w:r w:rsidR="00650146">
        <w:rPr>
          <w:rFonts w:eastAsia="Calibri"/>
          <w:color w:val="000000"/>
          <w:szCs w:val="22"/>
        </w:rPr>
        <w:t>nia</w:t>
      </w:r>
      <w:r w:rsidR="0074080F" w:rsidRPr="0074080F">
        <w:rPr>
          <w:rFonts w:eastAsia="Calibri"/>
          <w:color w:val="000000"/>
          <w:szCs w:val="22"/>
        </w:rPr>
        <w:t xml:space="preserve"> techniczn</w:t>
      </w:r>
      <w:r w:rsidR="00650146">
        <w:rPr>
          <w:rFonts w:eastAsia="Calibri"/>
          <w:color w:val="000000"/>
          <w:szCs w:val="22"/>
        </w:rPr>
        <w:t>e</w:t>
      </w:r>
      <w:r w:rsidR="0074080F" w:rsidRPr="0074080F">
        <w:rPr>
          <w:rFonts w:eastAsia="Calibri"/>
          <w:color w:val="000000"/>
          <w:szCs w:val="22"/>
        </w:rPr>
        <w:t xml:space="preserve"> i eksploatacyjn</w:t>
      </w:r>
      <w:r w:rsidR="00650146">
        <w:rPr>
          <w:rFonts w:eastAsia="Calibri"/>
          <w:color w:val="000000"/>
          <w:szCs w:val="22"/>
        </w:rPr>
        <w:t>e</w:t>
      </w:r>
      <w:r w:rsidR="0074080F" w:rsidRPr="0074080F">
        <w:rPr>
          <w:rFonts w:eastAsia="Calibri"/>
          <w:color w:val="000000"/>
          <w:szCs w:val="22"/>
        </w:rPr>
        <w:t xml:space="preserve"> </w:t>
      </w:r>
      <w:r w:rsidR="00DD7F63">
        <w:rPr>
          <w:rFonts w:eastAsia="Calibri"/>
          <w:color w:val="000000"/>
          <w:szCs w:val="22"/>
        </w:rPr>
        <w:t xml:space="preserve">dla </w:t>
      </w:r>
      <w:r w:rsidR="0074080F">
        <w:rPr>
          <w:rFonts w:eastAsia="Calibri"/>
          <w:color w:val="000000"/>
          <w:szCs w:val="22"/>
        </w:rPr>
        <w:t>urządzenia</w:t>
      </w:r>
      <w:r w:rsidR="0074080F" w:rsidRPr="003A727D">
        <w:rPr>
          <w:rFonts w:eastAsia="Calibri"/>
          <w:color w:val="000000"/>
          <w:szCs w:val="22"/>
        </w:rPr>
        <w:t xml:space="preserve"> </w:t>
      </w:r>
      <w:r w:rsidR="00650146">
        <w:t xml:space="preserve">konsumenckiego służącego </w:t>
      </w:r>
      <w:r w:rsidR="00650146" w:rsidRPr="00B660DF">
        <w:t>do odbioru cyfrowych transmisji radiofonicznych</w:t>
      </w:r>
      <w:r>
        <w:rPr>
          <w:rFonts w:eastAsia="Calibri"/>
          <w:color w:val="000000"/>
          <w:szCs w:val="22"/>
        </w:rPr>
        <w:t xml:space="preserve">, którym jest </w:t>
      </w:r>
      <w:r w:rsidRPr="00C53F24">
        <w:rPr>
          <w:rFonts w:eastAsia="Calibri"/>
          <w:color w:val="000000"/>
          <w:szCs w:val="22"/>
        </w:rPr>
        <w:t>odbiornik radiofoni</w:t>
      </w:r>
      <w:r>
        <w:rPr>
          <w:rFonts w:eastAsia="Calibri"/>
          <w:color w:val="000000"/>
          <w:szCs w:val="22"/>
        </w:rPr>
        <w:t>i</w:t>
      </w:r>
      <w:r w:rsidRPr="00C53F24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 xml:space="preserve">DAB+ </w:t>
      </w:r>
      <w:r w:rsidRPr="00C53F24">
        <w:rPr>
          <w:rFonts w:eastAsia="Calibri"/>
          <w:color w:val="000000"/>
          <w:szCs w:val="22"/>
        </w:rPr>
        <w:t xml:space="preserve">oferowany na rynek polski. </w:t>
      </w:r>
      <w:r>
        <w:rPr>
          <w:rFonts w:eastAsia="Calibri"/>
          <w:color w:val="000000"/>
          <w:szCs w:val="22"/>
        </w:rPr>
        <w:t xml:space="preserve">Projekt </w:t>
      </w:r>
      <w:r w:rsidR="0049260B">
        <w:rPr>
          <w:rFonts w:eastAsia="Calibri"/>
          <w:color w:val="000000"/>
          <w:szCs w:val="22"/>
        </w:rPr>
        <w:t xml:space="preserve">rozporządzenia </w:t>
      </w:r>
      <w:r>
        <w:rPr>
          <w:rFonts w:eastAsia="Calibri"/>
          <w:color w:val="000000"/>
          <w:szCs w:val="22"/>
        </w:rPr>
        <w:t>uwzględnia zalecenie</w:t>
      </w:r>
      <w:r w:rsidRPr="00871457">
        <w:rPr>
          <w:rFonts w:eastAsia="Calibri"/>
          <w:color w:val="000000"/>
          <w:szCs w:val="22"/>
        </w:rPr>
        <w:t xml:space="preserve"> Digital Radio </w:t>
      </w:r>
      <w:proofErr w:type="spellStart"/>
      <w:r w:rsidRPr="00871457">
        <w:rPr>
          <w:rFonts w:eastAsia="Calibri"/>
          <w:color w:val="000000"/>
          <w:szCs w:val="22"/>
        </w:rPr>
        <w:t>Receiver</w:t>
      </w:r>
      <w:proofErr w:type="spellEnd"/>
      <w:r w:rsidRPr="00871457">
        <w:rPr>
          <w:rFonts w:eastAsia="Calibri"/>
          <w:color w:val="000000"/>
          <w:szCs w:val="22"/>
        </w:rPr>
        <w:t xml:space="preserve"> </w:t>
      </w:r>
      <w:proofErr w:type="spellStart"/>
      <w:r w:rsidRPr="00871457">
        <w:rPr>
          <w:rFonts w:eastAsia="Calibri"/>
          <w:color w:val="000000"/>
          <w:szCs w:val="22"/>
        </w:rPr>
        <w:t>Profiles</w:t>
      </w:r>
      <w:proofErr w:type="spellEnd"/>
      <w:r w:rsidRPr="00871457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wydane</w:t>
      </w:r>
      <w:r w:rsidRPr="00871457">
        <w:rPr>
          <w:rFonts w:eastAsia="Calibri"/>
          <w:color w:val="000000"/>
          <w:szCs w:val="22"/>
        </w:rPr>
        <w:t xml:space="preserve"> przez  </w:t>
      </w:r>
      <w:proofErr w:type="spellStart"/>
      <w:r w:rsidRPr="00871457">
        <w:rPr>
          <w:rFonts w:eastAsia="Calibri"/>
          <w:color w:val="000000"/>
          <w:szCs w:val="22"/>
        </w:rPr>
        <w:t>WorldDAB</w:t>
      </w:r>
      <w:proofErr w:type="spellEnd"/>
      <w:r w:rsidRPr="00871457">
        <w:rPr>
          <w:rFonts w:eastAsia="Calibri"/>
          <w:color w:val="000000"/>
          <w:szCs w:val="22"/>
        </w:rPr>
        <w:t xml:space="preserve"> Forum 16 marca 2016 </w:t>
      </w:r>
      <w:r>
        <w:rPr>
          <w:rFonts w:eastAsia="Calibri"/>
          <w:color w:val="000000"/>
          <w:szCs w:val="22"/>
        </w:rPr>
        <w:t xml:space="preserve">r. </w:t>
      </w:r>
      <w:r w:rsidRPr="00871457">
        <w:rPr>
          <w:rFonts w:eastAsia="Calibri"/>
          <w:color w:val="000000"/>
          <w:szCs w:val="22"/>
        </w:rPr>
        <w:t>Projekt rozporządzenia zasadniczo nie wprowadza dodatkowych wymagań wykraczających</w:t>
      </w:r>
      <w:r>
        <w:rPr>
          <w:rFonts w:eastAsia="Calibri"/>
          <w:color w:val="000000"/>
          <w:szCs w:val="22"/>
        </w:rPr>
        <w:t xml:space="preserve"> poza ww. zalecenie, które r</w:t>
      </w:r>
      <w:r w:rsidRPr="00871457">
        <w:rPr>
          <w:rFonts w:eastAsia="Calibri"/>
          <w:color w:val="000000"/>
          <w:szCs w:val="22"/>
        </w:rPr>
        <w:t xml:space="preserve">ozszerzone zostało </w:t>
      </w:r>
      <w:r>
        <w:rPr>
          <w:rFonts w:eastAsia="Calibri"/>
          <w:color w:val="000000"/>
          <w:szCs w:val="22"/>
        </w:rPr>
        <w:t xml:space="preserve">jedynie o zalecane wymagania dotyczące obsługi </w:t>
      </w:r>
      <w:proofErr w:type="spellStart"/>
      <w:r>
        <w:rPr>
          <w:rFonts w:eastAsia="Calibri"/>
          <w:i/>
          <w:color w:val="000000"/>
          <w:szCs w:val="22"/>
        </w:rPr>
        <w:t>announcement</w:t>
      </w:r>
      <w:proofErr w:type="spellEnd"/>
      <w:r>
        <w:rPr>
          <w:rFonts w:eastAsia="Calibri"/>
          <w:color w:val="000000"/>
          <w:szCs w:val="22"/>
        </w:rPr>
        <w:t xml:space="preserve"> (ogłoszenia).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Obecnie</w:t>
      </w:r>
      <w:r w:rsidRPr="00C53F24">
        <w:rPr>
          <w:rFonts w:eastAsia="Calibri"/>
          <w:color w:val="000000"/>
          <w:szCs w:val="22"/>
        </w:rPr>
        <w:t xml:space="preserve"> w sklepach</w:t>
      </w:r>
      <w:r>
        <w:rPr>
          <w:rFonts w:eastAsia="Calibri"/>
          <w:color w:val="000000"/>
          <w:szCs w:val="22"/>
        </w:rPr>
        <w:t xml:space="preserve"> dostępnych</w:t>
      </w:r>
      <w:r w:rsidRPr="00C53F24">
        <w:rPr>
          <w:rFonts w:eastAsia="Calibri"/>
          <w:color w:val="000000"/>
          <w:szCs w:val="22"/>
        </w:rPr>
        <w:t xml:space="preserve"> jest wiele odbiorników, które spełniają wymagania</w:t>
      </w:r>
      <w:r>
        <w:rPr>
          <w:rFonts w:eastAsia="Calibri"/>
          <w:color w:val="000000"/>
          <w:szCs w:val="22"/>
        </w:rPr>
        <w:t xml:space="preserve"> wprowadzane przez niniejszy projekt rozporządzenia</w:t>
      </w:r>
      <w:r w:rsidRPr="00C53F24">
        <w:rPr>
          <w:rFonts w:eastAsia="Calibri"/>
          <w:color w:val="000000"/>
          <w:szCs w:val="22"/>
        </w:rPr>
        <w:t xml:space="preserve">, ale </w:t>
      </w:r>
      <w:r>
        <w:rPr>
          <w:rFonts w:eastAsia="Calibri"/>
          <w:color w:val="000000"/>
          <w:szCs w:val="22"/>
        </w:rPr>
        <w:t>są wśród nich także odbiorniki niespełniające wymagań,</w:t>
      </w:r>
      <w:r w:rsidRPr="00C53F24">
        <w:rPr>
          <w:rFonts w:eastAsia="Calibri"/>
          <w:color w:val="000000"/>
          <w:szCs w:val="22"/>
        </w:rPr>
        <w:t xml:space="preserve"> sprowadzane</w:t>
      </w:r>
      <w:r w:rsidRPr="00375CA3">
        <w:rPr>
          <w:rFonts w:eastAsia="Calibri"/>
          <w:color w:val="000000"/>
          <w:szCs w:val="22"/>
        </w:rPr>
        <w:t xml:space="preserve"> </w:t>
      </w:r>
      <w:r w:rsidRPr="00C53F24">
        <w:rPr>
          <w:rFonts w:eastAsia="Calibri"/>
          <w:color w:val="000000"/>
          <w:szCs w:val="22"/>
        </w:rPr>
        <w:t>z zagranicy</w:t>
      </w:r>
      <w:r>
        <w:rPr>
          <w:rFonts w:eastAsia="Calibri"/>
          <w:color w:val="000000"/>
          <w:szCs w:val="22"/>
        </w:rPr>
        <w:t>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Projektowane r</w:t>
      </w:r>
      <w:r w:rsidRPr="00C53F24">
        <w:rPr>
          <w:rFonts w:eastAsia="Calibri"/>
          <w:color w:val="000000"/>
          <w:szCs w:val="22"/>
        </w:rPr>
        <w:t xml:space="preserve">ozporządzenie </w:t>
      </w:r>
      <w:r>
        <w:rPr>
          <w:rFonts w:eastAsia="Calibri"/>
          <w:color w:val="000000"/>
          <w:szCs w:val="22"/>
        </w:rPr>
        <w:t>ma</w:t>
      </w:r>
      <w:r w:rsidRPr="001B219D">
        <w:rPr>
          <w:rFonts w:eastAsia="Calibri"/>
          <w:color w:val="000000"/>
          <w:szCs w:val="22"/>
        </w:rPr>
        <w:t xml:space="preserve"> być wskazówką zarówno dla</w:t>
      </w:r>
      <w:r>
        <w:rPr>
          <w:rFonts w:eastAsia="Calibri"/>
          <w:color w:val="000000"/>
          <w:szCs w:val="22"/>
        </w:rPr>
        <w:t xml:space="preserve"> </w:t>
      </w:r>
      <w:r w:rsidRPr="001B219D">
        <w:rPr>
          <w:rFonts w:eastAsia="Calibri"/>
          <w:color w:val="000000"/>
          <w:szCs w:val="22"/>
        </w:rPr>
        <w:t xml:space="preserve">nadawców, jak i dla producentów </w:t>
      </w:r>
      <w:r>
        <w:rPr>
          <w:rFonts w:eastAsia="Calibri"/>
          <w:color w:val="000000"/>
          <w:szCs w:val="22"/>
        </w:rPr>
        <w:t xml:space="preserve">i importerów </w:t>
      </w:r>
      <w:r w:rsidRPr="001B219D">
        <w:rPr>
          <w:rFonts w:eastAsia="Calibri"/>
          <w:color w:val="000000"/>
          <w:szCs w:val="22"/>
        </w:rPr>
        <w:t>odbiorników radiofonii DAB</w:t>
      </w:r>
      <w:r>
        <w:rPr>
          <w:rFonts w:eastAsia="Calibri"/>
          <w:color w:val="000000"/>
          <w:szCs w:val="22"/>
        </w:rPr>
        <w:t>+</w:t>
      </w:r>
      <w:r w:rsidRPr="001B219D">
        <w:rPr>
          <w:rFonts w:eastAsia="Calibri"/>
          <w:color w:val="000000"/>
          <w:szCs w:val="22"/>
        </w:rPr>
        <w:t xml:space="preserve">, jakie </w:t>
      </w:r>
      <w:r w:rsidR="00DD7F63">
        <w:rPr>
          <w:rFonts w:eastAsia="Calibri"/>
          <w:color w:val="000000"/>
          <w:szCs w:val="22"/>
        </w:rPr>
        <w:t>warunki</w:t>
      </w:r>
      <w:r w:rsidR="007F295D">
        <w:rPr>
          <w:rFonts w:eastAsia="Calibri"/>
          <w:color w:val="000000"/>
          <w:szCs w:val="22"/>
        </w:rPr>
        <w:t xml:space="preserve"> </w:t>
      </w:r>
      <w:r w:rsidRPr="001B219D">
        <w:rPr>
          <w:rFonts w:eastAsia="Calibri"/>
          <w:color w:val="000000"/>
          <w:szCs w:val="22"/>
        </w:rPr>
        <w:t xml:space="preserve">należy </w:t>
      </w:r>
      <w:r w:rsidR="007F295D">
        <w:rPr>
          <w:rFonts w:eastAsia="Calibri"/>
          <w:color w:val="000000"/>
          <w:szCs w:val="22"/>
        </w:rPr>
        <w:t>spełnić</w:t>
      </w:r>
      <w:r w:rsidR="007F295D" w:rsidRPr="001B219D">
        <w:rPr>
          <w:rFonts w:eastAsia="Calibri"/>
          <w:color w:val="000000"/>
          <w:szCs w:val="22"/>
        </w:rPr>
        <w:t xml:space="preserve"> </w:t>
      </w:r>
      <w:r w:rsidRPr="001B219D">
        <w:rPr>
          <w:rFonts w:eastAsia="Calibri"/>
          <w:color w:val="000000"/>
          <w:szCs w:val="22"/>
        </w:rPr>
        <w:t>i jak konstruować odbiorniki, aby zapewnić minimum interoperacyjności</w:t>
      </w:r>
      <w:r>
        <w:rPr>
          <w:rFonts w:eastAsia="Calibri"/>
          <w:color w:val="000000"/>
          <w:szCs w:val="22"/>
        </w:rPr>
        <w:t xml:space="preserve"> </w:t>
      </w:r>
      <w:r w:rsidRPr="001B219D">
        <w:rPr>
          <w:rFonts w:eastAsia="Calibri"/>
          <w:color w:val="000000"/>
          <w:szCs w:val="22"/>
        </w:rPr>
        <w:t xml:space="preserve">gwarantującej bezbłędny przekaz. 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 xml:space="preserve">Cyfrowe transmisje radiowe prowadzone są </w:t>
      </w:r>
      <w:r w:rsidRPr="00C53F24">
        <w:rPr>
          <w:rFonts w:eastAsia="Calibri"/>
          <w:color w:val="000000"/>
          <w:szCs w:val="22"/>
        </w:rPr>
        <w:t>w Polsce</w:t>
      </w:r>
      <w:r>
        <w:rPr>
          <w:rFonts w:eastAsia="Calibri"/>
          <w:color w:val="000000"/>
          <w:szCs w:val="22"/>
        </w:rPr>
        <w:t xml:space="preserve"> o</w:t>
      </w:r>
      <w:r w:rsidRPr="00C53F24">
        <w:rPr>
          <w:rFonts w:eastAsia="Calibri"/>
          <w:color w:val="000000"/>
          <w:szCs w:val="22"/>
        </w:rPr>
        <w:t>d kilku lat</w:t>
      </w:r>
      <w:r>
        <w:rPr>
          <w:rFonts w:eastAsia="Calibri"/>
          <w:color w:val="000000"/>
          <w:szCs w:val="22"/>
        </w:rPr>
        <w:t>. Równolegle wraz z pro</w:t>
      </w:r>
      <w:r w:rsidRPr="00C53F24">
        <w:rPr>
          <w:rFonts w:eastAsia="Calibri"/>
          <w:color w:val="000000"/>
          <w:szCs w:val="22"/>
        </w:rPr>
        <w:t xml:space="preserve">wadzoną emisją analogową FM odbywa się nadawanie w najnowocześniejszym standardzie </w:t>
      </w:r>
      <w:r>
        <w:rPr>
          <w:rFonts w:eastAsia="Calibri"/>
          <w:color w:val="000000"/>
          <w:szCs w:val="22"/>
        </w:rPr>
        <w:t xml:space="preserve">radiofonii cyfrowej </w:t>
      </w:r>
      <w:r w:rsidRPr="00C53F24">
        <w:rPr>
          <w:rFonts w:eastAsia="Calibri"/>
          <w:color w:val="000000"/>
          <w:szCs w:val="22"/>
        </w:rPr>
        <w:t xml:space="preserve">DAB+. 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Za</w:t>
      </w:r>
      <w:r w:rsidRPr="00C53F24">
        <w:rPr>
          <w:rFonts w:eastAsia="Calibri"/>
          <w:color w:val="000000"/>
          <w:szCs w:val="22"/>
        </w:rPr>
        <w:t xml:space="preserve">sięg </w:t>
      </w:r>
      <w:r>
        <w:rPr>
          <w:rFonts w:eastAsia="Calibri"/>
          <w:color w:val="000000"/>
          <w:szCs w:val="22"/>
        </w:rPr>
        <w:t xml:space="preserve">DAB+ </w:t>
      </w:r>
      <w:r w:rsidRPr="00C53F24">
        <w:rPr>
          <w:rFonts w:eastAsia="Calibri"/>
          <w:color w:val="000000"/>
          <w:szCs w:val="22"/>
        </w:rPr>
        <w:t xml:space="preserve">obejmuje </w:t>
      </w:r>
      <w:r>
        <w:rPr>
          <w:rFonts w:eastAsia="Calibri"/>
          <w:color w:val="000000"/>
          <w:szCs w:val="22"/>
        </w:rPr>
        <w:t xml:space="preserve">obecnie </w:t>
      </w:r>
      <w:r w:rsidRPr="00EC2123">
        <w:rPr>
          <w:rFonts w:eastAsia="Calibri"/>
          <w:color w:val="000000"/>
          <w:szCs w:val="22"/>
        </w:rPr>
        <w:t xml:space="preserve">prawie </w:t>
      </w:r>
      <w:r>
        <w:rPr>
          <w:rFonts w:eastAsia="Calibri"/>
          <w:color w:val="000000"/>
          <w:szCs w:val="22"/>
        </w:rPr>
        <w:t>55,5</w:t>
      </w:r>
      <w:r w:rsidRPr="00EC2123">
        <w:rPr>
          <w:rFonts w:eastAsia="Calibri"/>
          <w:color w:val="000000"/>
          <w:szCs w:val="22"/>
        </w:rPr>
        <w:t xml:space="preserve">% </w:t>
      </w:r>
      <w:r>
        <w:rPr>
          <w:rFonts w:eastAsia="Calibri"/>
          <w:color w:val="000000"/>
          <w:szCs w:val="22"/>
        </w:rPr>
        <w:t xml:space="preserve">ludności kraju – </w:t>
      </w:r>
      <w:r w:rsidRPr="00C53F24">
        <w:rPr>
          <w:rFonts w:eastAsia="Calibri"/>
          <w:color w:val="000000"/>
          <w:szCs w:val="22"/>
        </w:rPr>
        <w:t>w</w:t>
      </w:r>
      <w:r>
        <w:rPr>
          <w:rFonts w:eastAsia="Calibri"/>
          <w:color w:val="000000"/>
          <w:szCs w:val="22"/>
        </w:rPr>
        <w:t xml:space="preserve"> </w:t>
      </w:r>
      <w:r w:rsidRPr="00C53F24">
        <w:rPr>
          <w:rFonts w:eastAsia="Calibri"/>
          <w:color w:val="000000"/>
          <w:szCs w:val="22"/>
        </w:rPr>
        <w:t>kilkunastu regionach kraj</w:t>
      </w:r>
      <w:r>
        <w:rPr>
          <w:rFonts w:eastAsia="Calibri"/>
          <w:color w:val="000000"/>
          <w:szCs w:val="22"/>
        </w:rPr>
        <w:t>u</w:t>
      </w:r>
      <w:r w:rsidRPr="00C53F24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i okolicach</w:t>
      </w:r>
      <w:r w:rsidRPr="00C53F24">
        <w:rPr>
          <w:rFonts w:eastAsia="Calibri"/>
          <w:color w:val="000000"/>
          <w:szCs w:val="22"/>
        </w:rPr>
        <w:t xml:space="preserve"> wybranyc</w:t>
      </w:r>
      <w:r>
        <w:rPr>
          <w:rFonts w:eastAsia="Calibri"/>
          <w:color w:val="000000"/>
          <w:szCs w:val="22"/>
        </w:rPr>
        <w:t>h miast: Białegostoku, Kielc, Ko</w:t>
      </w:r>
      <w:r w:rsidRPr="00C53F24">
        <w:rPr>
          <w:rFonts w:eastAsia="Calibri"/>
          <w:color w:val="000000"/>
          <w:szCs w:val="22"/>
        </w:rPr>
        <w:t>szali</w:t>
      </w:r>
      <w:r>
        <w:rPr>
          <w:rFonts w:eastAsia="Calibri"/>
          <w:color w:val="000000"/>
          <w:szCs w:val="22"/>
        </w:rPr>
        <w:t>na</w:t>
      </w:r>
      <w:r w:rsidRPr="00C53F24">
        <w:rPr>
          <w:rFonts w:eastAsia="Calibri"/>
          <w:color w:val="000000"/>
          <w:szCs w:val="22"/>
        </w:rPr>
        <w:t>, Krakowa, Lublina, Łodzi, Opola, Poznania, Rzeszowa, Szczecina, Torunia, Trójmiasta, Warszawy, W</w:t>
      </w:r>
      <w:r>
        <w:rPr>
          <w:rFonts w:eastAsia="Calibri"/>
          <w:color w:val="000000"/>
          <w:szCs w:val="22"/>
        </w:rPr>
        <w:t>rocławia, Zielonej Góry, co stanowi z</w:t>
      </w:r>
      <w:r w:rsidRPr="00EC2123">
        <w:rPr>
          <w:rFonts w:eastAsia="Calibri"/>
          <w:color w:val="000000"/>
          <w:szCs w:val="22"/>
        </w:rPr>
        <w:t>asięg powierzchniowy</w:t>
      </w:r>
      <w:r>
        <w:rPr>
          <w:rFonts w:eastAsia="Calibri"/>
          <w:color w:val="000000"/>
          <w:szCs w:val="22"/>
        </w:rPr>
        <w:t xml:space="preserve"> </w:t>
      </w:r>
      <w:r w:rsidRPr="00EC2123">
        <w:rPr>
          <w:rFonts w:eastAsia="Calibri"/>
          <w:color w:val="000000"/>
          <w:szCs w:val="22"/>
        </w:rPr>
        <w:t>104 tys. km</w:t>
      </w:r>
      <w:r w:rsidRPr="00EC2123">
        <w:rPr>
          <w:rFonts w:eastAsia="Calibri"/>
          <w:color w:val="000000"/>
          <w:szCs w:val="22"/>
          <w:vertAlign w:val="superscript"/>
        </w:rPr>
        <w:t>2</w:t>
      </w:r>
      <w:r>
        <w:rPr>
          <w:rFonts w:eastAsia="Calibri"/>
          <w:color w:val="000000"/>
          <w:szCs w:val="22"/>
        </w:rPr>
        <w:t xml:space="preserve"> (33</w:t>
      </w:r>
      <w:r w:rsidRPr="00EC2123">
        <w:rPr>
          <w:rFonts w:eastAsia="Calibri"/>
          <w:color w:val="000000"/>
          <w:szCs w:val="22"/>
        </w:rPr>
        <w:t>%</w:t>
      </w:r>
      <w:r>
        <w:rPr>
          <w:rFonts w:eastAsia="Calibri"/>
          <w:color w:val="000000"/>
          <w:szCs w:val="22"/>
        </w:rPr>
        <w:t xml:space="preserve"> powierzchni kraju</w:t>
      </w:r>
      <w:r w:rsidRPr="00EC2123">
        <w:rPr>
          <w:rFonts w:eastAsia="Calibri"/>
          <w:color w:val="000000"/>
          <w:szCs w:val="22"/>
        </w:rPr>
        <w:t>)</w:t>
      </w:r>
      <w:r>
        <w:rPr>
          <w:rFonts w:eastAsia="Calibri"/>
          <w:color w:val="000000"/>
          <w:szCs w:val="22"/>
        </w:rPr>
        <w:t>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 xml:space="preserve">Projekt rozporządzenia wprowadza wymagania techniczne w </w:t>
      </w:r>
      <w:r w:rsidR="0049260B">
        <w:rPr>
          <w:rFonts w:eastAsia="Calibri"/>
          <w:color w:val="000000"/>
          <w:szCs w:val="22"/>
        </w:rPr>
        <w:t xml:space="preserve">pkt </w:t>
      </w:r>
      <w:r>
        <w:rPr>
          <w:rFonts w:eastAsia="Calibri"/>
          <w:color w:val="000000"/>
          <w:szCs w:val="22"/>
        </w:rPr>
        <w:t>5, 7.1, 7.3, 8 i 11 oraz wymagania eksploatacyjne w punktach 6, 7.2, 9, i 10.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E04291">
        <w:rPr>
          <w:rFonts w:eastAsia="Calibri"/>
          <w:color w:val="000000"/>
          <w:szCs w:val="22"/>
        </w:rPr>
        <w:t>Wprowadza</w:t>
      </w:r>
      <w:r>
        <w:rPr>
          <w:rFonts w:eastAsia="Calibri"/>
          <w:color w:val="000000"/>
          <w:szCs w:val="22"/>
        </w:rPr>
        <w:t>ne</w:t>
      </w:r>
      <w:r w:rsidRPr="00E04291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wymagania techniczne są zharmonizowane z aktualnymi standardami międzynarodowymi, stosowanymi w innych krajach e</w:t>
      </w:r>
      <w:r w:rsidRPr="00E04291">
        <w:rPr>
          <w:rFonts w:eastAsia="Calibri"/>
          <w:color w:val="000000"/>
          <w:szCs w:val="22"/>
        </w:rPr>
        <w:t xml:space="preserve">uropejskich. Zachowanie synergii z </w:t>
      </w:r>
      <w:r>
        <w:rPr>
          <w:rFonts w:eastAsia="Calibri"/>
          <w:color w:val="000000"/>
          <w:szCs w:val="22"/>
        </w:rPr>
        <w:t xml:space="preserve">rozwiązaniami przyjętymi w </w:t>
      </w:r>
      <w:r w:rsidRPr="00E04291">
        <w:rPr>
          <w:rFonts w:eastAsia="Calibri"/>
          <w:color w:val="000000"/>
          <w:szCs w:val="22"/>
        </w:rPr>
        <w:t>inny</w:t>
      </w:r>
      <w:r>
        <w:rPr>
          <w:rFonts w:eastAsia="Calibri"/>
          <w:color w:val="000000"/>
          <w:szCs w:val="22"/>
        </w:rPr>
        <w:t>ch</w:t>
      </w:r>
      <w:r w:rsidRPr="00E04291">
        <w:rPr>
          <w:rFonts w:eastAsia="Calibri"/>
          <w:color w:val="000000"/>
          <w:szCs w:val="22"/>
        </w:rPr>
        <w:t xml:space="preserve"> kraja</w:t>
      </w:r>
      <w:r>
        <w:rPr>
          <w:rFonts w:eastAsia="Calibri"/>
          <w:color w:val="000000"/>
          <w:szCs w:val="22"/>
        </w:rPr>
        <w:t>ch</w:t>
      </w:r>
      <w:r w:rsidRPr="00E04291">
        <w:rPr>
          <w:rFonts w:eastAsia="Calibri"/>
          <w:color w:val="000000"/>
          <w:szCs w:val="22"/>
        </w:rPr>
        <w:t xml:space="preserve"> pozwoli na osiągnięcie przez producentów efektu </w:t>
      </w:r>
      <w:r w:rsidRPr="00E04291">
        <w:rPr>
          <w:rFonts w:eastAsia="Calibri"/>
          <w:color w:val="000000"/>
          <w:szCs w:val="22"/>
        </w:rPr>
        <w:lastRenderedPageBreak/>
        <w:t>skali</w:t>
      </w:r>
      <w:r>
        <w:rPr>
          <w:rFonts w:eastAsia="Calibri"/>
          <w:color w:val="000000"/>
          <w:szCs w:val="22"/>
        </w:rPr>
        <w:t>,</w:t>
      </w:r>
      <w:r w:rsidRPr="00E04291">
        <w:rPr>
          <w:rFonts w:eastAsia="Calibri"/>
          <w:color w:val="000000"/>
          <w:szCs w:val="22"/>
        </w:rPr>
        <w:t xml:space="preserve"> a przez to spowoduje szeroką dostępność urządzeń odbiorczych na rynku</w:t>
      </w:r>
      <w:r>
        <w:rPr>
          <w:rFonts w:eastAsia="Calibri"/>
          <w:color w:val="000000"/>
          <w:szCs w:val="22"/>
        </w:rPr>
        <w:t xml:space="preserve"> polskim</w:t>
      </w:r>
      <w:r w:rsidRPr="00E04291">
        <w:rPr>
          <w:rFonts w:eastAsia="Calibri"/>
          <w:color w:val="000000"/>
          <w:szCs w:val="22"/>
        </w:rPr>
        <w:t>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 xml:space="preserve">Dyrektywa Parlamentu Europejskiego i Rady (UE) 2018/1972 z dnia 11 grudnia 2018 r. ustanawiająca </w:t>
      </w:r>
      <w:r w:rsidRPr="00562478">
        <w:rPr>
          <w:rFonts w:eastAsia="Calibri"/>
          <w:color w:val="000000"/>
          <w:szCs w:val="22"/>
        </w:rPr>
        <w:t xml:space="preserve">Europejski </w:t>
      </w:r>
      <w:r>
        <w:rPr>
          <w:rFonts w:eastAsia="Calibri"/>
          <w:color w:val="000000"/>
          <w:szCs w:val="22"/>
        </w:rPr>
        <w:t>kodeks łączności elektronicznej (</w:t>
      </w:r>
      <w:r w:rsidR="000B0CC8">
        <w:rPr>
          <w:rFonts w:eastAsia="Calibri"/>
          <w:color w:val="000000"/>
          <w:szCs w:val="22"/>
        </w:rPr>
        <w:t>Dz. Urz. UE L</w:t>
      </w:r>
      <w:r w:rsidR="000B0CC8" w:rsidRPr="000B0CC8">
        <w:rPr>
          <w:rFonts w:eastAsia="Calibri"/>
          <w:color w:val="000000"/>
          <w:szCs w:val="22"/>
        </w:rPr>
        <w:t xml:space="preserve"> 321 z 17.12.2018, str. 3</w:t>
      </w:r>
      <w:r w:rsidR="000B0CC8">
        <w:rPr>
          <w:rFonts w:eastAsia="Calibri"/>
          <w:color w:val="000000"/>
          <w:szCs w:val="22"/>
        </w:rPr>
        <w:t xml:space="preserve">6; załącznik </w:t>
      </w:r>
      <w:r>
        <w:rPr>
          <w:rFonts w:eastAsia="Calibri"/>
          <w:color w:val="000000"/>
          <w:szCs w:val="22"/>
        </w:rPr>
        <w:t xml:space="preserve">XI </w:t>
      </w:r>
      <w:r w:rsidR="000B0CC8">
        <w:rPr>
          <w:rFonts w:eastAsia="Calibri"/>
          <w:color w:val="000000"/>
          <w:szCs w:val="22"/>
        </w:rPr>
        <w:t>pkt</w:t>
      </w:r>
      <w:r>
        <w:rPr>
          <w:rFonts w:eastAsia="Calibri"/>
          <w:color w:val="000000"/>
          <w:szCs w:val="22"/>
        </w:rPr>
        <w:t xml:space="preserve"> 3), która </w:t>
      </w:r>
      <w:r w:rsidRPr="00562478">
        <w:rPr>
          <w:rFonts w:eastAsia="Calibri"/>
          <w:color w:val="000000"/>
          <w:szCs w:val="22"/>
        </w:rPr>
        <w:t>w</w:t>
      </w:r>
      <w:r>
        <w:rPr>
          <w:rFonts w:eastAsia="Calibri"/>
          <w:color w:val="000000"/>
          <w:szCs w:val="22"/>
        </w:rPr>
        <w:t>eszła w życie w dniu 20 grudnia 2018 r., określa</w:t>
      </w:r>
      <w:r w:rsidRPr="00562478">
        <w:rPr>
          <w:rFonts w:eastAsia="Calibri"/>
          <w:color w:val="000000"/>
          <w:szCs w:val="22"/>
        </w:rPr>
        <w:t xml:space="preserve">, że radioodbiornik samochodowy zintegrowany w nowym pojeździe </w:t>
      </w:r>
      <w:r>
        <w:rPr>
          <w:rFonts w:eastAsia="Calibri"/>
          <w:color w:val="000000"/>
          <w:szCs w:val="22"/>
        </w:rPr>
        <w:t xml:space="preserve">kategorii M </w:t>
      </w:r>
      <w:r w:rsidRPr="00562478">
        <w:rPr>
          <w:rFonts w:eastAsia="Calibri"/>
          <w:color w:val="000000"/>
          <w:szCs w:val="22"/>
        </w:rPr>
        <w:t xml:space="preserve">dostępnym w sprzedaży lub na wynajem w </w:t>
      </w:r>
      <w:r>
        <w:rPr>
          <w:rFonts w:eastAsia="Calibri"/>
          <w:color w:val="000000"/>
          <w:szCs w:val="22"/>
        </w:rPr>
        <w:t>Unii Europejskiej (</w:t>
      </w:r>
      <w:r w:rsidRPr="00562478">
        <w:rPr>
          <w:rFonts w:eastAsia="Calibri"/>
          <w:color w:val="000000"/>
          <w:szCs w:val="22"/>
        </w:rPr>
        <w:t>UE</w:t>
      </w:r>
      <w:r>
        <w:rPr>
          <w:rFonts w:eastAsia="Calibri"/>
          <w:color w:val="000000"/>
          <w:szCs w:val="22"/>
        </w:rPr>
        <w:t>)</w:t>
      </w:r>
      <w:r w:rsidRPr="00562478">
        <w:rPr>
          <w:rFonts w:eastAsia="Calibri"/>
          <w:color w:val="000000"/>
          <w:szCs w:val="22"/>
        </w:rPr>
        <w:t xml:space="preserve"> </w:t>
      </w:r>
      <w:r w:rsidR="007F295D">
        <w:rPr>
          <w:rFonts w:eastAsia="Calibri"/>
          <w:color w:val="000000"/>
          <w:szCs w:val="22"/>
        </w:rPr>
        <w:t xml:space="preserve">od dnia 21 grudnia 2020 </w:t>
      </w:r>
      <w:r w:rsidR="00530437">
        <w:rPr>
          <w:rFonts w:eastAsia="Calibri"/>
          <w:color w:val="000000"/>
          <w:szCs w:val="22"/>
        </w:rPr>
        <w:t xml:space="preserve">r. </w:t>
      </w:r>
      <w:r w:rsidR="000B0CC8">
        <w:rPr>
          <w:rFonts w:eastAsia="Calibri"/>
          <w:color w:val="000000"/>
          <w:szCs w:val="22"/>
        </w:rPr>
        <w:t xml:space="preserve">ma </w:t>
      </w:r>
      <w:r>
        <w:rPr>
          <w:rFonts w:eastAsia="Calibri"/>
          <w:color w:val="000000"/>
          <w:szCs w:val="22"/>
        </w:rPr>
        <w:t>umożliwiać odbiór i odtwarzanie</w:t>
      </w:r>
      <w:r w:rsidRPr="00562478">
        <w:rPr>
          <w:rFonts w:eastAsia="Calibri"/>
          <w:color w:val="000000"/>
          <w:szCs w:val="22"/>
        </w:rPr>
        <w:t xml:space="preserve"> usług radiowych dostarczanych przez n</w:t>
      </w:r>
      <w:r>
        <w:rPr>
          <w:rFonts w:eastAsia="Calibri"/>
          <w:color w:val="000000"/>
          <w:szCs w:val="22"/>
        </w:rPr>
        <w:t>aziemną cyfrową emisję radiową.</w:t>
      </w:r>
      <w:r w:rsidRPr="00562478">
        <w:rPr>
          <w:rFonts w:eastAsia="Calibri"/>
          <w:color w:val="000000"/>
          <w:szCs w:val="22"/>
        </w:rPr>
        <w:t xml:space="preserve"> Decyzja </w:t>
      </w:r>
      <w:r>
        <w:rPr>
          <w:rFonts w:eastAsia="Calibri"/>
          <w:color w:val="000000"/>
          <w:szCs w:val="22"/>
        </w:rPr>
        <w:t xml:space="preserve">ta </w:t>
      </w:r>
      <w:r w:rsidRPr="00562478">
        <w:rPr>
          <w:rFonts w:eastAsia="Calibri"/>
          <w:color w:val="000000"/>
          <w:szCs w:val="22"/>
        </w:rPr>
        <w:t>jest oparta na paneuropejskim trendzie branżowym, polegającym na odchodzeniu od dotychczasowego standardu FM na rzecz radia cyfrowego</w:t>
      </w:r>
      <w:r>
        <w:rPr>
          <w:rFonts w:eastAsia="Calibri"/>
          <w:color w:val="000000"/>
          <w:szCs w:val="22"/>
        </w:rPr>
        <w:t xml:space="preserve"> i pozwoli ona na masowe wdrożenie odbiorników DAB+ w nowo produkowanych i sprzedawanych samochodach w Europie. 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Projektowane rozporządzenie</w:t>
      </w:r>
      <w:r w:rsidRPr="000F5DDA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określa wymagania techniczne i eksploatacyjne z</w:t>
      </w:r>
      <w:r w:rsidRPr="000F5DDA">
        <w:rPr>
          <w:rFonts w:eastAsia="Calibri"/>
          <w:color w:val="000000"/>
          <w:szCs w:val="22"/>
        </w:rPr>
        <w:t>wią</w:t>
      </w:r>
      <w:r>
        <w:rPr>
          <w:rFonts w:eastAsia="Calibri"/>
          <w:color w:val="000000"/>
          <w:szCs w:val="22"/>
        </w:rPr>
        <w:t>zan</w:t>
      </w:r>
      <w:r w:rsidRPr="000F5DDA">
        <w:rPr>
          <w:rFonts w:eastAsia="Calibri"/>
          <w:color w:val="000000"/>
          <w:szCs w:val="22"/>
        </w:rPr>
        <w:t>e z dostosowani</w:t>
      </w:r>
      <w:r>
        <w:rPr>
          <w:rFonts w:eastAsia="Calibri"/>
          <w:color w:val="000000"/>
          <w:szCs w:val="22"/>
        </w:rPr>
        <w:t>em</w:t>
      </w:r>
      <w:r w:rsidRPr="000F5DDA">
        <w:rPr>
          <w:rFonts w:eastAsia="Calibri"/>
          <w:color w:val="000000"/>
          <w:szCs w:val="22"/>
        </w:rPr>
        <w:t xml:space="preserve"> odbiorników do parametrów wymaganych w standardzie nadawania</w:t>
      </w:r>
      <w:r>
        <w:rPr>
          <w:rFonts w:eastAsia="Calibri"/>
          <w:color w:val="000000"/>
          <w:szCs w:val="22"/>
        </w:rPr>
        <w:t xml:space="preserve"> z </w:t>
      </w:r>
      <w:r w:rsidRPr="00A27E1A">
        <w:rPr>
          <w:rFonts w:eastAsia="Calibri"/>
          <w:color w:val="000000"/>
          <w:szCs w:val="22"/>
        </w:rPr>
        <w:t xml:space="preserve">dużo efektywniejszą kompresją w stosunku do obecnie stosowanej </w:t>
      </w:r>
      <w:r>
        <w:rPr>
          <w:rFonts w:eastAsia="Calibri"/>
          <w:color w:val="000000"/>
          <w:szCs w:val="22"/>
        </w:rPr>
        <w:t xml:space="preserve">transmisji FM, </w:t>
      </w:r>
      <w:r w:rsidRPr="006F4ABA">
        <w:rPr>
          <w:rFonts w:eastAsia="Calibri"/>
          <w:color w:val="000000"/>
          <w:szCs w:val="22"/>
        </w:rPr>
        <w:t xml:space="preserve">co powoduje </w:t>
      </w:r>
      <w:r>
        <w:rPr>
          <w:rFonts w:eastAsia="Calibri"/>
          <w:color w:val="000000"/>
          <w:szCs w:val="22"/>
        </w:rPr>
        <w:t>bardziej optymalne</w:t>
      </w:r>
      <w:r w:rsidRPr="006F4ABA">
        <w:rPr>
          <w:rFonts w:eastAsia="Calibri"/>
          <w:color w:val="000000"/>
          <w:szCs w:val="22"/>
        </w:rPr>
        <w:t xml:space="preserve"> wykorzystanie widma radiowego. Umieszczenie np. 12 programów radiofonicznych w multipleksie DAB+ o szerokości kanału 1,5 MHz oznacza wykorzys</w:t>
      </w:r>
      <w:r>
        <w:rPr>
          <w:rFonts w:eastAsia="Calibri"/>
          <w:color w:val="000000"/>
          <w:szCs w:val="22"/>
        </w:rPr>
        <w:t xml:space="preserve">tanie widma na poziomie 125 kHz na </w:t>
      </w:r>
      <w:r w:rsidRPr="006F4ABA">
        <w:rPr>
          <w:rFonts w:eastAsia="Calibri"/>
          <w:color w:val="000000"/>
          <w:szCs w:val="22"/>
        </w:rPr>
        <w:t>program stereofoniczny</w:t>
      </w:r>
      <w:r>
        <w:rPr>
          <w:rFonts w:eastAsia="Calibri"/>
          <w:color w:val="000000"/>
          <w:szCs w:val="22"/>
        </w:rPr>
        <w:t xml:space="preserve">, </w:t>
      </w:r>
      <w:r w:rsidRPr="006F4ABA">
        <w:rPr>
          <w:rFonts w:eastAsia="Calibri"/>
          <w:color w:val="000000"/>
          <w:szCs w:val="22"/>
        </w:rPr>
        <w:t>co</w:t>
      </w:r>
      <w:r>
        <w:rPr>
          <w:rFonts w:eastAsia="Calibri"/>
          <w:color w:val="000000"/>
          <w:szCs w:val="22"/>
        </w:rPr>
        <w:t xml:space="preserve"> w aktualnych warunkach </w:t>
      </w:r>
      <w:r w:rsidRPr="006F4ABA">
        <w:rPr>
          <w:rFonts w:eastAsia="Calibri"/>
          <w:color w:val="000000"/>
          <w:szCs w:val="22"/>
        </w:rPr>
        <w:t>jest dwukrotnie większą efektywnością wykorzystania widma niż w przypadku obecnie nadawanej radiofonii analogowej UKF FM (256 kHz na program stereofoniczny). W przypadku umieszczenia w multipleksie większej liczby programów (np. 18) efektywność wykorzystania widma radiowego odpowiednio wzrasta. Ponadto</w:t>
      </w:r>
      <w:r>
        <w:rPr>
          <w:rFonts w:eastAsia="Calibri"/>
          <w:color w:val="000000"/>
          <w:szCs w:val="22"/>
        </w:rPr>
        <w:t>,</w:t>
      </w:r>
      <w:r w:rsidRPr="006F4ABA">
        <w:rPr>
          <w:rFonts w:eastAsia="Calibri"/>
          <w:color w:val="000000"/>
          <w:szCs w:val="22"/>
        </w:rPr>
        <w:t xml:space="preserve"> standard DAB+ umożliwia emisję programów na jednej częstotliwości w sieci jednoczęstotliwościowej </w:t>
      </w:r>
      <w:r w:rsidRPr="00B754D5">
        <w:rPr>
          <w:rFonts w:eastAsia="Calibri"/>
          <w:i/>
          <w:color w:val="000000"/>
          <w:szCs w:val="22"/>
        </w:rPr>
        <w:t xml:space="preserve">Single </w:t>
      </w:r>
      <w:proofErr w:type="spellStart"/>
      <w:r w:rsidRPr="00B754D5">
        <w:rPr>
          <w:rFonts w:eastAsia="Calibri"/>
          <w:i/>
          <w:color w:val="000000"/>
          <w:szCs w:val="22"/>
        </w:rPr>
        <w:t>frequency</w:t>
      </w:r>
      <w:proofErr w:type="spellEnd"/>
      <w:r w:rsidRPr="00B754D5">
        <w:rPr>
          <w:rFonts w:eastAsia="Calibri"/>
          <w:i/>
          <w:color w:val="000000"/>
          <w:szCs w:val="22"/>
        </w:rPr>
        <w:t xml:space="preserve"> network</w:t>
      </w:r>
      <w:r>
        <w:rPr>
          <w:rFonts w:eastAsia="Calibri"/>
          <w:color w:val="000000"/>
          <w:szCs w:val="22"/>
        </w:rPr>
        <w:t xml:space="preserve"> (</w:t>
      </w:r>
      <w:r w:rsidRPr="006F4ABA">
        <w:rPr>
          <w:rFonts w:eastAsia="Calibri"/>
          <w:color w:val="000000"/>
          <w:szCs w:val="22"/>
        </w:rPr>
        <w:t>SFN</w:t>
      </w:r>
      <w:r>
        <w:rPr>
          <w:rFonts w:eastAsia="Calibri"/>
          <w:color w:val="000000"/>
          <w:szCs w:val="22"/>
        </w:rPr>
        <w:t>)</w:t>
      </w:r>
      <w:r w:rsidRPr="006F4ABA">
        <w:rPr>
          <w:rFonts w:eastAsia="Calibri"/>
          <w:color w:val="000000"/>
          <w:szCs w:val="22"/>
        </w:rPr>
        <w:t xml:space="preserve">, co dodatkowo zwiększa efektywność wykorzystania cennego widma radiowego, pozwalając </w:t>
      </w:r>
      <w:r>
        <w:rPr>
          <w:rFonts w:eastAsia="Calibri"/>
          <w:color w:val="000000"/>
          <w:szCs w:val="22"/>
        </w:rPr>
        <w:t xml:space="preserve">jednocześnie </w:t>
      </w:r>
      <w:r w:rsidRPr="006F4ABA">
        <w:rPr>
          <w:rFonts w:eastAsia="Calibri"/>
          <w:color w:val="000000"/>
          <w:szCs w:val="22"/>
        </w:rPr>
        <w:t>na rozszerzanie i uzupełnianie zasięgu bez konieczności stosowania dodatkowych częstotliwości – tak jak musi być to robione w przypadku radiofonii UKF FM.</w:t>
      </w:r>
    </w:p>
    <w:p w:rsidR="00BE3EB9" w:rsidRPr="007B69D4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B754D5">
        <w:rPr>
          <w:rFonts w:eastAsia="Calibri"/>
          <w:color w:val="000000"/>
          <w:szCs w:val="22"/>
          <w:u w:val="single"/>
        </w:rPr>
        <w:t>Szczegółowe omówienie przepisów wskazanych w załączniku do projektu rozporządzenia</w:t>
      </w:r>
      <w:r>
        <w:rPr>
          <w:rFonts w:eastAsia="Calibri"/>
          <w:color w:val="000000"/>
          <w:szCs w:val="22"/>
        </w:rPr>
        <w:t>:</w:t>
      </w:r>
    </w:p>
    <w:p w:rsidR="00BE3EB9" w:rsidRPr="000F5DDA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Punkt 1 zawiera ogólne postanowienia dotyczące regulowanej w załączniku materii</w:t>
      </w:r>
      <w:r w:rsidR="008678E9">
        <w:rPr>
          <w:rFonts w:eastAsia="Calibri"/>
          <w:color w:val="000000"/>
          <w:szCs w:val="22"/>
        </w:rPr>
        <w:t>,</w:t>
      </w:r>
      <w:r>
        <w:rPr>
          <w:rFonts w:eastAsia="Calibri"/>
          <w:color w:val="000000"/>
          <w:szCs w:val="22"/>
        </w:rPr>
        <w:t xml:space="preserve"> wskazując do jakich urządzeń mają zastosowanie wymagania techniczne i eksploatacyjne określone w dalszych punktach</w:t>
      </w:r>
      <w:r w:rsidR="008678E9">
        <w:rPr>
          <w:rFonts w:eastAsia="Calibri"/>
          <w:color w:val="000000"/>
          <w:szCs w:val="22"/>
        </w:rPr>
        <w:t xml:space="preserve"> załącznika do rozporządzenia</w:t>
      </w:r>
      <w:r>
        <w:rPr>
          <w:rFonts w:eastAsia="Calibri"/>
          <w:color w:val="000000"/>
          <w:szCs w:val="22"/>
        </w:rPr>
        <w:t>. Wskazane wymagania dotyczą urządzeń,</w:t>
      </w:r>
      <w:r w:rsidRPr="007F2F96">
        <w:rPr>
          <w:rFonts w:eastAsia="Calibri"/>
          <w:color w:val="000000"/>
          <w:szCs w:val="22"/>
        </w:rPr>
        <w:t xml:space="preserve"> </w:t>
      </w:r>
      <w:r w:rsidRPr="0080461E">
        <w:t xml:space="preserve">których podstawową funkcjonalnością jest odbiór cyfrowych transmisji radiofonicznych, w tym tych </w:t>
      </w:r>
      <w:r w:rsidRPr="0080461E">
        <w:rPr>
          <w:bCs/>
        </w:rPr>
        <w:t xml:space="preserve">wbudowanych do pojazdów kategorii M w rozumieniu pkt 1 </w:t>
      </w:r>
      <w:r w:rsidR="008678E9">
        <w:rPr>
          <w:bCs/>
        </w:rPr>
        <w:t>z</w:t>
      </w:r>
      <w:r w:rsidRPr="0080461E">
        <w:rPr>
          <w:bCs/>
        </w:rPr>
        <w:t xml:space="preserve">ałącznika </w:t>
      </w:r>
      <w:r w:rsidR="008678E9">
        <w:rPr>
          <w:bCs/>
        </w:rPr>
        <w:t xml:space="preserve">nr </w:t>
      </w:r>
      <w:r w:rsidRPr="0080461E">
        <w:rPr>
          <w:bCs/>
        </w:rPr>
        <w:t xml:space="preserve">2 do ustawy z dnia 20 czerwca 1997 r. – </w:t>
      </w:r>
      <w:r w:rsidR="008678E9">
        <w:rPr>
          <w:bCs/>
        </w:rPr>
        <w:t>P</w:t>
      </w:r>
      <w:r w:rsidRPr="0080461E">
        <w:rPr>
          <w:bCs/>
        </w:rPr>
        <w:t>rawo o ruchu drogowym (Dz. U. z 201</w:t>
      </w:r>
      <w:r>
        <w:rPr>
          <w:bCs/>
        </w:rPr>
        <w:t>8</w:t>
      </w:r>
      <w:r w:rsidRPr="0080461E">
        <w:rPr>
          <w:bCs/>
        </w:rPr>
        <w:t xml:space="preserve"> r. poz. 1990</w:t>
      </w:r>
      <w:r>
        <w:rPr>
          <w:bCs/>
        </w:rPr>
        <w:t>,</w:t>
      </w:r>
      <w:r w:rsidRPr="0080461E">
        <w:rPr>
          <w:bCs/>
        </w:rPr>
        <w:t xml:space="preserve"> z późn.zm.). 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lastRenderedPageBreak/>
        <w:t>Punkt 2 zawiera wykaz n</w:t>
      </w:r>
      <w:r w:rsidRPr="00016E78">
        <w:rPr>
          <w:rFonts w:eastAsia="Calibri"/>
          <w:color w:val="000000"/>
          <w:szCs w:val="22"/>
        </w:rPr>
        <w:t xml:space="preserve">orm i </w:t>
      </w:r>
      <w:r>
        <w:rPr>
          <w:rFonts w:eastAsia="Calibri"/>
          <w:color w:val="000000"/>
          <w:szCs w:val="22"/>
        </w:rPr>
        <w:t xml:space="preserve">innych </w:t>
      </w:r>
      <w:r w:rsidRPr="00016E78">
        <w:rPr>
          <w:rFonts w:eastAsia="Calibri"/>
          <w:color w:val="000000"/>
          <w:szCs w:val="22"/>
        </w:rPr>
        <w:t xml:space="preserve">dokumentów powoływanych </w:t>
      </w:r>
      <w:r>
        <w:rPr>
          <w:rFonts w:eastAsia="Calibri"/>
          <w:color w:val="000000"/>
          <w:szCs w:val="22"/>
        </w:rPr>
        <w:t xml:space="preserve">w </w:t>
      </w:r>
      <w:r w:rsidR="008678E9">
        <w:rPr>
          <w:rFonts w:eastAsia="Calibri"/>
          <w:color w:val="000000"/>
          <w:szCs w:val="22"/>
        </w:rPr>
        <w:t xml:space="preserve">załączniku do </w:t>
      </w:r>
      <w:r>
        <w:rPr>
          <w:rFonts w:eastAsia="Calibri"/>
          <w:color w:val="000000"/>
          <w:szCs w:val="22"/>
        </w:rPr>
        <w:t>projek</w:t>
      </w:r>
      <w:r w:rsidR="008678E9">
        <w:rPr>
          <w:rFonts w:eastAsia="Calibri"/>
          <w:color w:val="000000"/>
          <w:szCs w:val="22"/>
        </w:rPr>
        <w:t>tu</w:t>
      </w:r>
      <w:r>
        <w:rPr>
          <w:rFonts w:eastAsia="Calibri"/>
          <w:color w:val="000000"/>
          <w:szCs w:val="22"/>
        </w:rPr>
        <w:t xml:space="preserve"> rozporządzenia. P</w:t>
      </w:r>
      <w:r w:rsidRPr="000F5DDA">
        <w:rPr>
          <w:rFonts w:eastAsia="Calibri"/>
          <w:color w:val="000000"/>
          <w:szCs w:val="22"/>
        </w:rPr>
        <w:t xml:space="preserve">owołane normy i standardy mają charakter zharmonizowany na obszarze </w:t>
      </w:r>
      <w:r>
        <w:rPr>
          <w:rFonts w:eastAsia="Calibri"/>
          <w:color w:val="000000"/>
          <w:szCs w:val="22"/>
        </w:rPr>
        <w:t xml:space="preserve">UE. </w:t>
      </w:r>
      <w:r w:rsidRPr="00A51DFD">
        <w:rPr>
          <w:rFonts w:eastAsia="Calibri"/>
          <w:color w:val="000000"/>
          <w:szCs w:val="22"/>
        </w:rPr>
        <w:t>Powoływanie się na wymagania zawarte w normach i standardach ma na celu uszczegółowienie warunków technicznych</w:t>
      </w:r>
      <w:r>
        <w:rPr>
          <w:rFonts w:eastAsia="Calibri"/>
          <w:color w:val="000000"/>
          <w:szCs w:val="22"/>
        </w:rPr>
        <w:t xml:space="preserve"> wskazanych w projektowanym rozporządzeniu</w:t>
      </w:r>
      <w:r w:rsidRPr="00A51DFD">
        <w:rPr>
          <w:rFonts w:eastAsia="Calibri"/>
          <w:color w:val="000000"/>
          <w:szCs w:val="22"/>
        </w:rPr>
        <w:t xml:space="preserve">. </w:t>
      </w:r>
    </w:p>
    <w:p w:rsidR="00BE3EB9" w:rsidRPr="00957BA8" w:rsidRDefault="00530437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Punkt 3 definiuje na użytek projektowanego rozporządzenia profile</w:t>
      </w:r>
      <w:r w:rsidR="00BE3EB9">
        <w:rPr>
          <w:rFonts w:eastAsia="Calibri"/>
          <w:color w:val="000000"/>
          <w:szCs w:val="22"/>
        </w:rPr>
        <w:t xml:space="preserve"> odbiorników</w:t>
      </w:r>
      <w:r w:rsidR="00BE3EB9" w:rsidRPr="00231B1B">
        <w:rPr>
          <w:rFonts w:eastAsia="Calibri"/>
          <w:color w:val="000000"/>
          <w:szCs w:val="22"/>
        </w:rPr>
        <w:t xml:space="preserve"> </w:t>
      </w:r>
      <w:r w:rsidR="00BE3EB9">
        <w:rPr>
          <w:rFonts w:eastAsia="Calibri"/>
          <w:color w:val="000000"/>
          <w:szCs w:val="22"/>
        </w:rPr>
        <w:t xml:space="preserve">radiofonii </w:t>
      </w:r>
      <w:r w:rsidR="00BE3EB9" w:rsidRPr="00231B1B">
        <w:rPr>
          <w:rFonts w:eastAsia="Calibri"/>
          <w:color w:val="000000"/>
          <w:szCs w:val="22"/>
        </w:rPr>
        <w:t>DAB+</w:t>
      </w:r>
      <w:r w:rsidR="00BE3EB9">
        <w:rPr>
          <w:rFonts w:eastAsia="Calibri"/>
          <w:color w:val="000000"/>
          <w:szCs w:val="22"/>
        </w:rPr>
        <w:t>: odbiornika standardowego, o</w:t>
      </w:r>
      <w:r w:rsidR="00BE3EB9" w:rsidRPr="00231B1B">
        <w:rPr>
          <w:rFonts w:eastAsia="Calibri"/>
          <w:color w:val="000000"/>
          <w:szCs w:val="22"/>
        </w:rPr>
        <w:t>dbiornika multimedialn</w:t>
      </w:r>
      <w:r w:rsidR="00BE3EB9">
        <w:rPr>
          <w:rFonts w:eastAsia="Calibri"/>
          <w:color w:val="000000"/>
          <w:szCs w:val="22"/>
        </w:rPr>
        <w:t xml:space="preserve">ego i adaptera, które są zgodne z opisem </w:t>
      </w:r>
      <w:r w:rsidR="00BE3EB9" w:rsidRPr="00957BA8">
        <w:rPr>
          <w:rFonts w:eastAsia="Calibri"/>
          <w:color w:val="000000"/>
          <w:szCs w:val="22"/>
        </w:rPr>
        <w:t xml:space="preserve">Digital Radio </w:t>
      </w:r>
      <w:proofErr w:type="spellStart"/>
      <w:r w:rsidR="00BE3EB9" w:rsidRPr="00957BA8">
        <w:rPr>
          <w:rFonts w:eastAsia="Calibri"/>
          <w:color w:val="000000"/>
          <w:szCs w:val="22"/>
        </w:rPr>
        <w:t>Receiver</w:t>
      </w:r>
      <w:proofErr w:type="spellEnd"/>
      <w:r w:rsidR="00BE3EB9" w:rsidRPr="00957BA8">
        <w:rPr>
          <w:rFonts w:eastAsia="Calibri"/>
          <w:color w:val="000000"/>
          <w:szCs w:val="22"/>
        </w:rPr>
        <w:t xml:space="preserve"> </w:t>
      </w:r>
      <w:proofErr w:type="spellStart"/>
      <w:r w:rsidR="00BE3EB9" w:rsidRPr="00957BA8">
        <w:rPr>
          <w:rFonts w:eastAsia="Calibri"/>
          <w:color w:val="000000"/>
          <w:szCs w:val="22"/>
        </w:rPr>
        <w:t>Profiles</w:t>
      </w:r>
      <w:proofErr w:type="spellEnd"/>
      <w:r w:rsidR="00BE3EB9">
        <w:rPr>
          <w:rFonts w:eastAsia="Calibri"/>
          <w:color w:val="000000"/>
          <w:szCs w:val="22"/>
        </w:rPr>
        <w:t xml:space="preserve"> wydanym przez </w:t>
      </w:r>
      <w:proofErr w:type="spellStart"/>
      <w:r w:rsidR="00BE3EB9" w:rsidRPr="00957BA8">
        <w:rPr>
          <w:rFonts w:eastAsia="Calibri"/>
          <w:color w:val="000000"/>
          <w:szCs w:val="22"/>
        </w:rPr>
        <w:t>WorldDAB</w:t>
      </w:r>
      <w:proofErr w:type="spellEnd"/>
      <w:r w:rsidR="00BE3EB9" w:rsidRPr="00957BA8">
        <w:rPr>
          <w:rFonts w:eastAsia="Calibri"/>
          <w:color w:val="000000"/>
          <w:szCs w:val="22"/>
        </w:rPr>
        <w:t xml:space="preserve"> Forum 16 </w:t>
      </w:r>
      <w:r w:rsidR="00BE3EB9">
        <w:rPr>
          <w:rFonts w:eastAsia="Calibri"/>
          <w:color w:val="000000"/>
          <w:szCs w:val="22"/>
        </w:rPr>
        <w:t>marca</w:t>
      </w:r>
      <w:r w:rsidR="00BE3EB9" w:rsidRPr="00957BA8">
        <w:rPr>
          <w:rFonts w:eastAsia="Calibri"/>
          <w:color w:val="000000"/>
          <w:szCs w:val="22"/>
        </w:rPr>
        <w:t xml:space="preserve"> 2016</w:t>
      </w:r>
      <w:r w:rsidR="00BE3EB9">
        <w:rPr>
          <w:rFonts w:eastAsia="Calibri"/>
          <w:color w:val="000000"/>
          <w:szCs w:val="22"/>
        </w:rPr>
        <w:t xml:space="preserve"> r. oraz odbiornika samochodowego.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Punkt 4 zawiera skróty i akronimy wykorzystywane w załączniku do projektowanego rozporządzenia.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 xml:space="preserve">Punkt 5 definiuje możliwości odbiorcze odbiornika </w:t>
      </w:r>
      <w:r w:rsidR="008678E9">
        <w:rPr>
          <w:rFonts w:eastAsia="Calibri"/>
          <w:color w:val="000000"/>
          <w:szCs w:val="22"/>
        </w:rPr>
        <w:t xml:space="preserve">radiofonii DAB+ </w:t>
      </w:r>
      <w:r>
        <w:rPr>
          <w:rFonts w:eastAsia="Calibri"/>
          <w:color w:val="000000"/>
          <w:szCs w:val="22"/>
        </w:rPr>
        <w:t xml:space="preserve">w zakresie odbioru sygnałów DAB+, </w:t>
      </w:r>
      <w:r w:rsidRPr="00735F3C">
        <w:rPr>
          <w:rFonts w:eastAsia="Calibri"/>
          <w:color w:val="000000"/>
          <w:szCs w:val="22"/>
        </w:rPr>
        <w:t>nadawanych w paśmie III zakresu VHF (174</w:t>
      </w:r>
      <w:r w:rsidR="008678E9" w:rsidRPr="008678E9">
        <w:rPr>
          <w:rFonts w:eastAsia="Calibri"/>
          <w:color w:val="000000"/>
          <w:szCs w:val="22"/>
        </w:rPr>
        <w:t>–</w:t>
      </w:r>
      <w:r w:rsidRPr="00735F3C">
        <w:rPr>
          <w:rFonts w:eastAsia="Calibri"/>
          <w:color w:val="000000"/>
          <w:szCs w:val="22"/>
        </w:rPr>
        <w:t>240 MHz)</w:t>
      </w:r>
      <w:r>
        <w:rPr>
          <w:rFonts w:eastAsia="Calibri"/>
          <w:color w:val="000000"/>
          <w:szCs w:val="22"/>
        </w:rPr>
        <w:t xml:space="preserve">, zgodnie z przywołanymi normami. </w:t>
      </w:r>
      <w:r w:rsidRPr="00FA066F">
        <w:rPr>
          <w:rFonts w:eastAsia="Calibri"/>
          <w:color w:val="000000"/>
          <w:szCs w:val="22"/>
        </w:rPr>
        <w:t>Jako dokument</w:t>
      </w:r>
      <w:r>
        <w:rPr>
          <w:rFonts w:eastAsia="Calibri"/>
          <w:color w:val="000000"/>
          <w:szCs w:val="22"/>
        </w:rPr>
        <w:t>y</w:t>
      </w:r>
      <w:r w:rsidRPr="00FA066F">
        <w:rPr>
          <w:rFonts w:eastAsia="Calibri"/>
          <w:color w:val="000000"/>
          <w:szCs w:val="22"/>
        </w:rPr>
        <w:t xml:space="preserve"> określając</w:t>
      </w:r>
      <w:r>
        <w:rPr>
          <w:rFonts w:eastAsia="Calibri"/>
          <w:color w:val="000000"/>
          <w:szCs w:val="22"/>
        </w:rPr>
        <w:t>e</w:t>
      </w:r>
      <w:r w:rsidRPr="00FA066F">
        <w:rPr>
          <w:rFonts w:eastAsia="Calibri"/>
          <w:color w:val="000000"/>
          <w:szCs w:val="22"/>
        </w:rPr>
        <w:t xml:space="preserve"> parametry sygnału DAB+ p</w:t>
      </w:r>
      <w:r>
        <w:rPr>
          <w:rFonts w:eastAsia="Calibri"/>
          <w:color w:val="000000"/>
          <w:szCs w:val="22"/>
        </w:rPr>
        <w:t>rzyw</w:t>
      </w:r>
      <w:r w:rsidRPr="00FA066F">
        <w:rPr>
          <w:rFonts w:eastAsia="Calibri"/>
          <w:color w:val="000000"/>
          <w:szCs w:val="22"/>
        </w:rPr>
        <w:t>ołano europej</w:t>
      </w:r>
      <w:r>
        <w:rPr>
          <w:rFonts w:eastAsia="Calibri"/>
          <w:color w:val="000000"/>
          <w:szCs w:val="22"/>
        </w:rPr>
        <w:t>skie standardy ETSI EN 300 401</w:t>
      </w:r>
      <w:r w:rsidRPr="00784B3C">
        <w:t xml:space="preserve"> </w:t>
      </w:r>
      <w:r w:rsidRPr="00784B3C">
        <w:rPr>
          <w:rFonts w:eastAsia="Calibri"/>
          <w:color w:val="000000"/>
          <w:szCs w:val="22"/>
        </w:rPr>
        <w:t>V2.1.1</w:t>
      </w:r>
      <w:r w:rsidR="00530437">
        <w:rPr>
          <w:rFonts w:eastAsia="Calibri"/>
          <w:color w:val="000000"/>
          <w:szCs w:val="22"/>
        </w:rPr>
        <w:t>:</w:t>
      </w:r>
      <w:r w:rsidRPr="00784B3C">
        <w:rPr>
          <w:rFonts w:eastAsia="Calibri"/>
          <w:color w:val="000000"/>
          <w:szCs w:val="22"/>
        </w:rPr>
        <w:t>2017-08</w:t>
      </w:r>
      <w:r w:rsidR="00530437">
        <w:rPr>
          <w:rFonts w:eastAsia="Calibri"/>
          <w:color w:val="000000"/>
          <w:szCs w:val="22"/>
        </w:rPr>
        <w:t xml:space="preserve"> i</w:t>
      </w:r>
      <w:r>
        <w:rPr>
          <w:rFonts w:eastAsia="Calibri"/>
          <w:color w:val="000000"/>
          <w:szCs w:val="22"/>
        </w:rPr>
        <w:t xml:space="preserve"> ETSI TS 102 563</w:t>
      </w:r>
      <w:r w:rsidRPr="00784B3C">
        <w:t xml:space="preserve"> </w:t>
      </w:r>
      <w:r w:rsidRPr="00784B3C">
        <w:rPr>
          <w:rFonts w:eastAsia="Calibri"/>
          <w:color w:val="000000"/>
          <w:szCs w:val="22"/>
        </w:rPr>
        <w:t>V2.1.1</w:t>
      </w:r>
      <w:r w:rsidR="00530437">
        <w:rPr>
          <w:rFonts w:eastAsia="Calibri"/>
          <w:color w:val="000000"/>
          <w:szCs w:val="22"/>
        </w:rPr>
        <w:t>:</w:t>
      </w:r>
      <w:r w:rsidRPr="00784B3C">
        <w:rPr>
          <w:rFonts w:eastAsia="Calibri"/>
          <w:color w:val="000000"/>
          <w:szCs w:val="22"/>
        </w:rPr>
        <w:t>2017-01</w:t>
      </w:r>
      <w:r w:rsidRPr="00FA066F">
        <w:rPr>
          <w:rFonts w:eastAsia="Calibri"/>
          <w:color w:val="000000"/>
          <w:szCs w:val="22"/>
        </w:rPr>
        <w:t>, któr</w:t>
      </w:r>
      <w:r>
        <w:rPr>
          <w:rFonts w:eastAsia="Calibri"/>
          <w:color w:val="000000"/>
          <w:szCs w:val="22"/>
        </w:rPr>
        <w:t>e</w:t>
      </w:r>
      <w:r w:rsidRPr="00FA066F">
        <w:rPr>
          <w:rFonts w:eastAsia="Calibri"/>
          <w:color w:val="000000"/>
          <w:szCs w:val="22"/>
        </w:rPr>
        <w:t xml:space="preserve"> s</w:t>
      </w:r>
      <w:r>
        <w:rPr>
          <w:rFonts w:eastAsia="Calibri"/>
          <w:color w:val="000000"/>
          <w:szCs w:val="22"/>
        </w:rPr>
        <w:t>ą</w:t>
      </w:r>
      <w:r w:rsidRPr="00FA066F">
        <w:rPr>
          <w:rFonts w:eastAsia="Calibri"/>
          <w:color w:val="000000"/>
          <w:szCs w:val="22"/>
        </w:rPr>
        <w:t xml:space="preserve"> ogó</w:t>
      </w:r>
      <w:r>
        <w:rPr>
          <w:rFonts w:eastAsia="Calibri"/>
          <w:color w:val="000000"/>
          <w:szCs w:val="22"/>
        </w:rPr>
        <w:t>lno</w:t>
      </w:r>
      <w:r w:rsidRPr="00FA066F">
        <w:rPr>
          <w:rFonts w:eastAsia="Calibri"/>
          <w:color w:val="000000"/>
          <w:szCs w:val="22"/>
        </w:rPr>
        <w:t>dostępn</w:t>
      </w:r>
      <w:r>
        <w:rPr>
          <w:rFonts w:eastAsia="Calibri"/>
          <w:color w:val="000000"/>
          <w:szCs w:val="22"/>
        </w:rPr>
        <w:t>e i nieodpłatne</w:t>
      </w:r>
      <w:r w:rsidRPr="00FA066F">
        <w:rPr>
          <w:rFonts w:eastAsia="Calibri"/>
          <w:color w:val="000000"/>
          <w:szCs w:val="22"/>
        </w:rPr>
        <w:t>.</w:t>
      </w:r>
    </w:p>
    <w:p w:rsidR="00BE3EB9" w:rsidRPr="00FA066F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Punkt 6 wprowadza</w:t>
      </w:r>
      <w:r w:rsidRPr="00735F3C">
        <w:rPr>
          <w:rFonts w:eastAsia="Calibri"/>
          <w:color w:val="000000"/>
          <w:szCs w:val="22"/>
        </w:rPr>
        <w:t xml:space="preserve"> </w:t>
      </w:r>
      <w:r w:rsidRPr="00FA066F">
        <w:rPr>
          <w:rFonts w:eastAsia="Calibri"/>
          <w:color w:val="000000"/>
          <w:szCs w:val="22"/>
        </w:rPr>
        <w:t xml:space="preserve">wymagania odnoszące się do dostępu do usług. Dla odbiorników </w:t>
      </w:r>
      <w:r>
        <w:rPr>
          <w:rFonts w:eastAsia="Calibri"/>
          <w:color w:val="000000"/>
          <w:szCs w:val="22"/>
        </w:rPr>
        <w:t xml:space="preserve">radiofonii </w:t>
      </w:r>
      <w:r w:rsidRPr="00FA066F">
        <w:rPr>
          <w:rFonts w:eastAsia="Calibri"/>
          <w:color w:val="000000"/>
          <w:szCs w:val="22"/>
        </w:rPr>
        <w:t xml:space="preserve">DAB+ za obowiązkowe przyjmuje się zapewnienie dostępu do usług stanowiących podstawę radiofonii, tj. odbiór programów niekodowanych (wyłącznie takie są w Polsce </w:t>
      </w:r>
      <w:r>
        <w:rPr>
          <w:rFonts w:eastAsia="Calibri"/>
          <w:color w:val="000000"/>
          <w:szCs w:val="22"/>
        </w:rPr>
        <w:t xml:space="preserve">i </w:t>
      </w:r>
      <w:r w:rsidRPr="00FA066F">
        <w:rPr>
          <w:rFonts w:eastAsia="Calibri"/>
          <w:color w:val="000000"/>
          <w:szCs w:val="22"/>
        </w:rPr>
        <w:t xml:space="preserve">na chwilę obecną nie planuje się wprowadzenia programów radiofonicznych kodowanych) oraz odbiór nazwy stacji i </w:t>
      </w:r>
      <w:r>
        <w:rPr>
          <w:rFonts w:eastAsia="Calibri"/>
          <w:color w:val="000000"/>
          <w:szCs w:val="22"/>
        </w:rPr>
        <w:t>DL (etykiety dynamiczne)</w:t>
      </w:r>
      <w:r w:rsidRPr="00FA066F">
        <w:rPr>
          <w:rFonts w:eastAsia="Calibri"/>
          <w:color w:val="000000"/>
          <w:szCs w:val="22"/>
        </w:rPr>
        <w:t xml:space="preserve">. W przypadku odbiorników multimedialnych dostępne są większe możliwości związane z wyświetlaczem oraz pamięcią wbudowaną, tym samym  </w:t>
      </w:r>
      <w:r w:rsidR="000C21C9">
        <w:rPr>
          <w:rFonts w:eastAsia="Calibri"/>
          <w:color w:val="000000"/>
          <w:szCs w:val="22"/>
        </w:rPr>
        <w:t>p</w:t>
      </w:r>
      <w:r w:rsidRPr="00FA066F">
        <w:rPr>
          <w:rFonts w:eastAsia="Calibri"/>
          <w:color w:val="000000"/>
          <w:szCs w:val="22"/>
        </w:rPr>
        <w:t>rzyjęto także obowiązkowe zapewnienie dostępu do komunikatów DL Plus. Pozwalają one użytkownikowi na komfortowe przeglądanie informacji o programie, które są dla niego interesujące w danym momencie (jak np. tytuł czy wykonawca utworu), bez konieczności prowadzenia ciągłej obserwacji wyświetlacza w oczekiwaniu na wyświetlenie DL</w:t>
      </w:r>
      <w:r>
        <w:rPr>
          <w:rFonts w:eastAsia="Calibri"/>
          <w:color w:val="000000"/>
          <w:szCs w:val="22"/>
        </w:rPr>
        <w:t>,</w:t>
      </w:r>
      <w:r w:rsidRPr="00FA066F">
        <w:rPr>
          <w:rFonts w:eastAsia="Calibri"/>
          <w:color w:val="000000"/>
          <w:szCs w:val="22"/>
        </w:rPr>
        <w:t xml:space="preserve"> wysyłanej przez nadawcę najczęściej przez krótki okres czasu (podobnie jak RDS w UKF FM). Rozszerzeniem komunikatów tekstowych jest pokaz slajdów, który umożliwi nadawcom przekazywanie, równolegle do fonii, dodatkowych treści informacyjnych bądź reklamowych. Wprowadzenie EPG</w:t>
      </w:r>
      <w:r>
        <w:rPr>
          <w:rFonts w:eastAsia="Calibri"/>
          <w:color w:val="000000"/>
          <w:szCs w:val="22"/>
        </w:rPr>
        <w:t>,</w:t>
      </w:r>
      <w:r w:rsidRPr="00FA066F">
        <w:rPr>
          <w:rFonts w:eastAsia="Calibri"/>
          <w:color w:val="000000"/>
          <w:szCs w:val="22"/>
        </w:rPr>
        <w:t xml:space="preserve"> jako usługi obowiązkowej dla odbiorników multimedialnych</w:t>
      </w:r>
      <w:r>
        <w:rPr>
          <w:rFonts w:eastAsia="Calibri"/>
          <w:color w:val="000000"/>
          <w:szCs w:val="22"/>
        </w:rPr>
        <w:t>,</w:t>
      </w:r>
      <w:r w:rsidRPr="00FA066F">
        <w:rPr>
          <w:rFonts w:eastAsia="Calibri"/>
          <w:color w:val="000000"/>
          <w:szCs w:val="22"/>
        </w:rPr>
        <w:t xml:space="preserve"> ma na celu podniesienie komfortu użytkowników i umożliwienie im przeglądania ramówki stacji, aby np. odpowiednio zaplanować czas na wysłuchanie ulubionej audycji. W </w:t>
      </w:r>
      <w:r>
        <w:rPr>
          <w:rFonts w:eastAsia="Calibri"/>
          <w:color w:val="000000"/>
          <w:szCs w:val="22"/>
        </w:rPr>
        <w:t xml:space="preserve">odniesieniu do </w:t>
      </w:r>
      <w:r w:rsidRPr="00FA066F">
        <w:rPr>
          <w:rFonts w:eastAsia="Calibri"/>
          <w:color w:val="000000"/>
          <w:szCs w:val="22"/>
        </w:rPr>
        <w:t xml:space="preserve">odbiorników standardowych, o możliwościach mniejszych niż w przypadku odbiorników </w:t>
      </w:r>
      <w:r w:rsidRPr="00FA066F">
        <w:rPr>
          <w:rFonts w:eastAsia="Calibri"/>
          <w:color w:val="000000"/>
          <w:szCs w:val="22"/>
        </w:rPr>
        <w:lastRenderedPageBreak/>
        <w:t>multimedialnych</w:t>
      </w:r>
      <w:r>
        <w:rPr>
          <w:rFonts w:eastAsia="Calibri"/>
          <w:color w:val="000000"/>
          <w:szCs w:val="22"/>
        </w:rPr>
        <w:t>,</w:t>
      </w:r>
      <w:r w:rsidRPr="00FA066F">
        <w:rPr>
          <w:rFonts w:eastAsia="Calibri"/>
          <w:color w:val="000000"/>
          <w:szCs w:val="22"/>
        </w:rPr>
        <w:t xml:space="preserve"> zastosowanie EPG </w:t>
      </w:r>
      <w:r>
        <w:rPr>
          <w:rFonts w:eastAsia="Calibri"/>
          <w:color w:val="000000"/>
          <w:szCs w:val="22"/>
        </w:rPr>
        <w:t>nie jest obligatoryjne</w:t>
      </w:r>
      <w:r w:rsidRPr="00FA066F">
        <w:rPr>
          <w:rFonts w:eastAsia="Calibri"/>
          <w:color w:val="000000"/>
          <w:szCs w:val="22"/>
        </w:rPr>
        <w:t xml:space="preserve">. Obowiązkowa implementacja EPG, w przypadku odbiorników innych niż multimedialne, mogłaby </w:t>
      </w:r>
      <w:r>
        <w:rPr>
          <w:rFonts w:eastAsia="Calibri"/>
          <w:color w:val="000000"/>
          <w:szCs w:val="22"/>
        </w:rPr>
        <w:t xml:space="preserve">niepotrzebnie </w:t>
      </w:r>
      <w:r w:rsidRPr="00FA066F">
        <w:rPr>
          <w:rFonts w:eastAsia="Calibri"/>
          <w:color w:val="000000"/>
          <w:szCs w:val="22"/>
        </w:rPr>
        <w:t xml:space="preserve">zwiększyć stopień skomplikowania produktu, a tym samym </w:t>
      </w:r>
      <w:r>
        <w:rPr>
          <w:rFonts w:eastAsia="Calibri"/>
          <w:color w:val="000000"/>
          <w:szCs w:val="22"/>
        </w:rPr>
        <w:t xml:space="preserve">podnieść </w:t>
      </w:r>
      <w:r w:rsidRPr="00FA066F">
        <w:rPr>
          <w:rFonts w:eastAsia="Calibri"/>
          <w:color w:val="000000"/>
          <w:szCs w:val="22"/>
        </w:rPr>
        <w:t>jego cenę.</w:t>
      </w:r>
    </w:p>
    <w:p w:rsidR="00BE3EB9" w:rsidRPr="00FA066F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FA066F">
        <w:rPr>
          <w:rFonts w:eastAsia="Calibri"/>
          <w:color w:val="000000"/>
          <w:szCs w:val="22"/>
        </w:rPr>
        <w:t>Dla odbiorników samochodowych</w:t>
      </w:r>
      <w:r>
        <w:rPr>
          <w:rFonts w:eastAsia="Calibri"/>
          <w:color w:val="000000"/>
          <w:szCs w:val="22"/>
        </w:rPr>
        <w:t>, instalowanych w</w:t>
      </w:r>
      <w:r w:rsidRPr="00FA066F">
        <w:rPr>
          <w:rFonts w:eastAsia="Calibri"/>
          <w:color w:val="000000"/>
          <w:szCs w:val="22"/>
        </w:rPr>
        <w:t xml:space="preserve"> samochod</w:t>
      </w:r>
      <w:r>
        <w:rPr>
          <w:rFonts w:eastAsia="Calibri"/>
          <w:color w:val="000000"/>
          <w:szCs w:val="22"/>
        </w:rPr>
        <w:t>ach</w:t>
      </w:r>
      <w:r w:rsidRPr="00FA066F">
        <w:rPr>
          <w:rFonts w:eastAsia="Calibri"/>
          <w:color w:val="000000"/>
          <w:szCs w:val="22"/>
        </w:rPr>
        <w:t xml:space="preserve"> wyposażonych w nawigację</w:t>
      </w:r>
      <w:r>
        <w:rPr>
          <w:rFonts w:eastAsia="Calibri"/>
          <w:color w:val="000000"/>
          <w:szCs w:val="22"/>
        </w:rPr>
        <w:t>,</w:t>
      </w:r>
      <w:r w:rsidRPr="00FA066F">
        <w:rPr>
          <w:rFonts w:eastAsia="Calibri"/>
          <w:color w:val="000000"/>
          <w:szCs w:val="22"/>
        </w:rPr>
        <w:t xml:space="preserve"> jako obowiązkowy przyjęto odbiór komunikatów TPEG z uwagi na szerokie możliwości</w:t>
      </w:r>
      <w:r>
        <w:rPr>
          <w:rFonts w:eastAsia="Calibri"/>
          <w:color w:val="000000"/>
          <w:szCs w:val="22"/>
        </w:rPr>
        <w:t>,</w:t>
      </w:r>
      <w:r w:rsidRPr="00FA066F">
        <w:rPr>
          <w:rFonts w:eastAsia="Calibri"/>
          <w:color w:val="000000"/>
          <w:szCs w:val="22"/>
        </w:rPr>
        <w:t xml:space="preserve"> jakie niesie z</w:t>
      </w:r>
      <w:r w:rsidR="003D0B78">
        <w:rPr>
          <w:rFonts w:eastAsia="Calibri"/>
          <w:color w:val="000000"/>
          <w:szCs w:val="22"/>
        </w:rPr>
        <w:t>a</w:t>
      </w:r>
      <w:r w:rsidRPr="00FA066F">
        <w:rPr>
          <w:rFonts w:eastAsia="Calibri"/>
          <w:color w:val="000000"/>
          <w:szCs w:val="22"/>
        </w:rPr>
        <w:t xml:space="preserve"> sobą ta usługa. Są to m.in. dynamiczna aktualizacja trasy w przypadku korków, objazdów i zdarzeń losowych</w:t>
      </w:r>
      <w:r>
        <w:rPr>
          <w:rFonts w:eastAsia="Calibri"/>
          <w:color w:val="000000"/>
          <w:szCs w:val="22"/>
        </w:rPr>
        <w:t>,</w:t>
      </w:r>
      <w:r w:rsidRPr="00FA066F">
        <w:rPr>
          <w:rFonts w:eastAsia="Calibri"/>
          <w:color w:val="000000"/>
          <w:szCs w:val="22"/>
        </w:rPr>
        <w:t xml:space="preserve"> czy wyświetlanie cen paliw na wybranych stacjach. Usługi tego typu znane są np. z nawigacji używanej w smartfonach i nie </w:t>
      </w:r>
      <w:r>
        <w:rPr>
          <w:rFonts w:eastAsia="Calibri"/>
          <w:color w:val="000000"/>
          <w:szCs w:val="22"/>
        </w:rPr>
        <w:t xml:space="preserve">są </w:t>
      </w:r>
      <w:r w:rsidRPr="00FA066F">
        <w:rPr>
          <w:rFonts w:eastAsia="Calibri"/>
          <w:color w:val="000000"/>
          <w:szCs w:val="22"/>
        </w:rPr>
        <w:t>dostępne w radiofonii analogowej</w:t>
      </w:r>
      <w:r>
        <w:rPr>
          <w:rFonts w:eastAsia="Calibri"/>
          <w:color w:val="000000"/>
          <w:szCs w:val="22"/>
        </w:rPr>
        <w:t xml:space="preserve"> UKF FM</w:t>
      </w:r>
      <w:r w:rsidRPr="00FA066F">
        <w:rPr>
          <w:rFonts w:eastAsia="Calibri"/>
          <w:color w:val="000000"/>
          <w:szCs w:val="22"/>
        </w:rPr>
        <w:t xml:space="preserve">. Dla </w:t>
      </w:r>
      <w:r>
        <w:rPr>
          <w:rFonts w:eastAsia="Calibri"/>
          <w:color w:val="000000"/>
          <w:szCs w:val="22"/>
        </w:rPr>
        <w:t>wszystkich odbiorników samochodowych wprowadzono wymaganie dla</w:t>
      </w:r>
      <w:r w:rsidRPr="00FA066F">
        <w:rPr>
          <w:rFonts w:eastAsia="Calibri"/>
          <w:color w:val="000000"/>
          <w:szCs w:val="22"/>
        </w:rPr>
        <w:t xml:space="preserve"> odbioru </w:t>
      </w:r>
      <w:r>
        <w:rPr>
          <w:rFonts w:eastAsia="Calibri"/>
          <w:color w:val="000000"/>
          <w:szCs w:val="22"/>
        </w:rPr>
        <w:t>ogłoszeń</w:t>
      </w:r>
      <w:r w:rsidRPr="00F6171A">
        <w:rPr>
          <w:rFonts w:eastAsia="Calibri"/>
          <w:i/>
          <w:color w:val="000000"/>
          <w:szCs w:val="22"/>
        </w:rPr>
        <w:t xml:space="preserve"> </w:t>
      </w:r>
      <w:proofErr w:type="spellStart"/>
      <w:r w:rsidRPr="00F6171A">
        <w:rPr>
          <w:rFonts w:eastAsia="Calibri"/>
          <w:i/>
          <w:color w:val="000000"/>
          <w:szCs w:val="22"/>
        </w:rPr>
        <w:t>announcement</w:t>
      </w:r>
      <w:proofErr w:type="spellEnd"/>
      <w:r w:rsidRPr="00FA066F">
        <w:rPr>
          <w:rFonts w:eastAsia="Calibri"/>
          <w:color w:val="000000"/>
          <w:szCs w:val="22"/>
        </w:rPr>
        <w:t xml:space="preserve"> z informacjami, które (o ile usługa jest włączona i komunikaty są nadawane) są transmitowane priorytetowo (przerywane są: transmisja aktualnego programu radiowego, odtwarzanie z płyty CD, odtwarzanie z wejścia AUX, bądź innych wejść). Wszystkie usługi obowiązkowe mają na celu podniesienie komfortu użytkownika i możliwie pełne wykorzystanie funkcjonalności, jakie niesie z</w:t>
      </w:r>
      <w:r w:rsidR="003D0B78">
        <w:rPr>
          <w:rFonts w:eastAsia="Calibri"/>
          <w:color w:val="000000"/>
          <w:szCs w:val="22"/>
        </w:rPr>
        <w:t>a</w:t>
      </w:r>
      <w:r w:rsidRPr="00FA066F">
        <w:rPr>
          <w:rFonts w:eastAsia="Calibri"/>
          <w:color w:val="000000"/>
          <w:szCs w:val="22"/>
        </w:rPr>
        <w:t xml:space="preserve"> sobą wprowadzenie radiofonii cyfrowej DAB+.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 xml:space="preserve">Ponadto, jeśli w odbiorniku radiofonii DAB+ zastosowano dekoder </w:t>
      </w:r>
      <w:r w:rsidRPr="00FA066F">
        <w:rPr>
          <w:rFonts w:eastAsia="Calibri"/>
          <w:color w:val="000000"/>
          <w:szCs w:val="22"/>
        </w:rPr>
        <w:t>wymaga</w:t>
      </w:r>
      <w:r>
        <w:rPr>
          <w:rFonts w:eastAsia="Calibri"/>
          <w:color w:val="000000"/>
          <w:szCs w:val="22"/>
        </w:rPr>
        <w:t>jący</w:t>
      </w:r>
      <w:r w:rsidRPr="00FA066F">
        <w:rPr>
          <w:rFonts w:eastAsia="Calibri"/>
          <w:color w:val="000000"/>
          <w:szCs w:val="22"/>
        </w:rPr>
        <w:t xml:space="preserve"> licencji Instytutu Fraunhofera</w:t>
      </w:r>
      <w:r>
        <w:rPr>
          <w:rFonts w:eastAsia="Calibri"/>
          <w:color w:val="000000"/>
          <w:szCs w:val="22"/>
        </w:rPr>
        <w:t xml:space="preserve"> dla</w:t>
      </w:r>
      <w:r w:rsidRPr="00FA066F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 xml:space="preserve">odbioru </w:t>
      </w:r>
      <w:r w:rsidRPr="00FA066F">
        <w:rPr>
          <w:rFonts w:eastAsia="Calibri"/>
          <w:color w:val="000000"/>
          <w:szCs w:val="22"/>
        </w:rPr>
        <w:t>usług</w:t>
      </w:r>
      <w:r>
        <w:rPr>
          <w:rFonts w:eastAsia="Calibri"/>
          <w:color w:val="000000"/>
          <w:szCs w:val="22"/>
        </w:rPr>
        <w:t>i</w:t>
      </w:r>
      <w:r w:rsidRPr="00FA066F">
        <w:rPr>
          <w:rFonts w:eastAsia="Calibri"/>
          <w:color w:val="000000"/>
          <w:szCs w:val="22"/>
        </w:rPr>
        <w:t xml:space="preserve"> </w:t>
      </w:r>
      <w:proofErr w:type="spellStart"/>
      <w:r w:rsidRPr="00F6171A">
        <w:rPr>
          <w:rFonts w:eastAsia="Calibri"/>
          <w:i/>
          <w:color w:val="000000"/>
          <w:szCs w:val="22"/>
        </w:rPr>
        <w:t>Journaline</w:t>
      </w:r>
      <w:proofErr w:type="spellEnd"/>
      <w:r w:rsidR="003D0B78">
        <w:rPr>
          <w:rFonts w:eastAsia="Calibri"/>
          <w:color w:val="000000"/>
          <w:szCs w:val="22"/>
        </w:rPr>
        <w:t>,</w:t>
      </w:r>
      <w:r w:rsidRPr="00FA066F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wymaga się</w:t>
      </w:r>
      <w:r w:rsidRPr="00FA066F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 xml:space="preserve">odbioru tej usługi </w:t>
      </w:r>
      <w:r w:rsidRPr="00FA066F">
        <w:rPr>
          <w:rFonts w:eastAsia="Calibri"/>
          <w:color w:val="000000"/>
          <w:szCs w:val="22"/>
        </w:rPr>
        <w:t>umożliwiając</w:t>
      </w:r>
      <w:r>
        <w:rPr>
          <w:rFonts w:eastAsia="Calibri"/>
          <w:color w:val="000000"/>
          <w:szCs w:val="22"/>
        </w:rPr>
        <w:t>ej</w:t>
      </w:r>
      <w:r w:rsidRPr="00FA066F">
        <w:rPr>
          <w:rFonts w:eastAsia="Calibri"/>
          <w:color w:val="000000"/>
          <w:szCs w:val="22"/>
        </w:rPr>
        <w:t xml:space="preserve"> szybki dost</w:t>
      </w:r>
      <w:r>
        <w:rPr>
          <w:rFonts w:eastAsia="Calibri"/>
          <w:color w:val="000000"/>
          <w:szCs w:val="22"/>
        </w:rPr>
        <w:t>ę</w:t>
      </w:r>
      <w:r w:rsidRPr="00FA066F">
        <w:rPr>
          <w:rFonts w:eastAsia="Calibri"/>
          <w:color w:val="000000"/>
          <w:szCs w:val="22"/>
        </w:rPr>
        <w:t>p do wiadomości w formie tekstowej</w:t>
      </w:r>
      <w:r>
        <w:rPr>
          <w:rFonts w:eastAsia="Calibri"/>
          <w:color w:val="000000"/>
          <w:szCs w:val="22"/>
        </w:rPr>
        <w:t xml:space="preserve"> </w:t>
      </w:r>
      <w:r w:rsidRPr="00FA066F">
        <w:rPr>
          <w:rFonts w:eastAsia="Calibri"/>
          <w:color w:val="000000"/>
          <w:szCs w:val="22"/>
        </w:rPr>
        <w:t>oraz odbior</w:t>
      </w:r>
      <w:r>
        <w:rPr>
          <w:rFonts w:eastAsia="Calibri"/>
          <w:color w:val="000000"/>
          <w:szCs w:val="22"/>
        </w:rPr>
        <w:t>u</w:t>
      </w:r>
      <w:r w:rsidRPr="00FA066F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ogłoszeń</w:t>
      </w:r>
      <w:r w:rsidRPr="00FA066F">
        <w:rPr>
          <w:rFonts w:eastAsia="Calibri"/>
          <w:color w:val="000000"/>
          <w:szCs w:val="22"/>
        </w:rPr>
        <w:t xml:space="preserve"> </w:t>
      </w:r>
      <w:proofErr w:type="spellStart"/>
      <w:r w:rsidRPr="00F6171A">
        <w:rPr>
          <w:rFonts w:eastAsia="Calibri"/>
          <w:i/>
          <w:color w:val="000000"/>
          <w:szCs w:val="22"/>
        </w:rPr>
        <w:t>announcement</w:t>
      </w:r>
      <w:proofErr w:type="spellEnd"/>
      <w:r>
        <w:rPr>
          <w:rFonts w:eastAsia="Calibri"/>
          <w:color w:val="000000"/>
          <w:szCs w:val="22"/>
        </w:rPr>
        <w:t>, które</w:t>
      </w:r>
      <w:r w:rsidRPr="00FA066F">
        <w:rPr>
          <w:rFonts w:eastAsia="Calibri"/>
          <w:color w:val="000000"/>
          <w:szCs w:val="22"/>
        </w:rPr>
        <w:t xml:space="preserve"> są mniej istotne dla odbiorników innych niż samochodowe</w:t>
      </w:r>
      <w:r>
        <w:rPr>
          <w:rFonts w:eastAsia="Calibri"/>
          <w:color w:val="000000"/>
          <w:szCs w:val="22"/>
        </w:rPr>
        <w:t>.</w:t>
      </w:r>
      <w:r w:rsidRPr="00FA066F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W przypadku, gdy w odbiorniku nie zastosowano ww. dekodera,</w:t>
      </w:r>
      <w:r w:rsidRPr="00FA066F">
        <w:rPr>
          <w:rFonts w:eastAsia="Calibri"/>
          <w:color w:val="000000"/>
          <w:szCs w:val="22"/>
        </w:rPr>
        <w:t xml:space="preserve"> planowane do uruchomienia </w:t>
      </w:r>
      <w:r>
        <w:rPr>
          <w:rFonts w:eastAsia="Calibri"/>
          <w:color w:val="000000"/>
          <w:szCs w:val="22"/>
        </w:rPr>
        <w:t>we</w:t>
      </w:r>
      <w:r w:rsidRPr="00FA066F">
        <w:rPr>
          <w:rFonts w:eastAsia="Calibri"/>
          <w:color w:val="000000"/>
          <w:szCs w:val="22"/>
        </w:rPr>
        <w:t xml:space="preserve"> wszystkich odbiornik</w:t>
      </w:r>
      <w:r>
        <w:rPr>
          <w:rFonts w:eastAsia="Calibri"/>
          <w:color w:val="000000"/>
          <w:szCs w:val="22"/>
        </w:rPr>
        <w:t>ach</w:t>
      </w:r>
      <w:r w:rsidRPr="00FA066F">
        <w:rPr>
          <w:rFonts w:eastAsia="Calibri"/>
          <w:color w:val="000000"/>
          <w:szCs w:val="22"/>
        </w:rPr>
        <w:t xml:space="preserve"> powiadamiani</w:t>
      </w:r>
      <w:r>
        <w:rPr>
          <w:rFonts w:eastAsia="Calibri"/>
          <w:color w:val="000000"/>
          <w:szCs w:val="22"/>
        </w:rPr>
        <w:t>e</w:t>
      </w:r>
      <w:r w:rsidRPr="00FA066F">
        <w:rPr>
          <w:rFonts w:eastAsia="Calibri"/>
          <w:color w:val="000000"/>
          <w:szCs w:val="22"/>
        </w:rPr>
        <w:t xml:space="preserve"> kryzysowe może odbywać się poza trybem </w:t>
      </w:r>
      <w:r>
        <w:rPr>
          <w:rFonts w:eastAsia="Calibri"/>
          <w:color w:val="000000"/>
          <w:szCs w:val="22"/>
        </w:rPr>
        <w:t>ogłoszeń</w:t>
      </w:r>
      <w:r w:rsidRPr="00FA066F">
        <w:rPr>
          <w:rFonts w:eastAsia="Calibri"/>
          <w:color w:val="000000"/>
          <w:szCs w:val="22"/>
        </w:rPr>
        <w:t xml:space="preserve"> </w:t>
      </w:r>
      <w:proofErr w:type="spellStart"/>
      <w:r w:rsidRPr="00F6171A">
        <w:rPr>
          <w:rFonts w:eastAsia="Calibri"/>
          <w:i/>
          <w:color w:val="000000"/>
          <w:szCs w:val="22"/>
        </w:rPr>
        <w:t>announcement</w:t>
      </w:r>
      <w:proofErr w:type="spellEnd"/>
      <w:r w:rsidRPr="00FA066F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(</w:t>
      </w:r>
      <w:r w:rsidRPr="00FA066F">
        <w:rPr>
          <w:rFonts w:eastAsia="Calibri"/>
          <w:color w:val="000000"/>
          <w:szCs w:val="22"/>
        </w:rPr>
        <w:t xml:space="preserve">w formie zmiany ścieżki dźwiękowej dla wszystkich programów transmitowanych w multipleksie, przez operatora </w:t>
      </w:r>
      <w:r w:rsidR="007F295D">
        <w:rPr>
          <w:rFonts w:eastAsia="Calibri"/>
          <w:color w:val="000000"/>
          <w:szCs w:val="22"/>
        </w:rPr>
        <w:t xml:space="preserve">radiowej </w:t>
      </w:r>
      <w:r w:rsidRPr="00FA066F">
        <w:rPr>
          <w:rFonts w:eastAsia="Calibri"/>
          <w:color w:val="000000"/>
          <w:szCs w:val="22"/>
        </w:rPr>
        <w:t>sieci nadawczej we współpracy z nadawcami</w:t>
      </w:r>
      <w:r>
        <w:rPr>
          <w:rFonts w:eastAsia="Calibri"/>
          <w:color w:val="000000"/>
          <w:szCs w:val="22"/>
        </w:rPr>
        <w:t>).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Punkt 7 wprowadza wymagania dla interfejsu radiowego w zakresie bloków częstotliwości DAB, automatycznego przeszukiwania pasma oraz automatycznego przełączania odbiorników samochodowych przemieszczających się między obszarami objętymi zasięgiem sieci DAB+ i radiofonią analogową dla odbiorników wyposażonych w RDS z preferowaniem odbioru DAB+. Jeśli odbiornik będzie wyposażony we wskaźnik jakości sygnału</w:t>
      </w:r>
      <w:r w:rsidR="003D0B78">
        <w:rPr>
          <w:rFonts w:eastAsia="Calibri"/>
          <w:color w:val="000000"/>
          <w:szCs w:val="22"/>
        </w:rPr>
        <w:t>,</w:t>
      </w:r>
      <w:r>
        <w:rPr>
          <w:rFonts w:eastAsia="Calibri"/>
          <w:color w:val="000000"/>
          <w:szCs w:val="22"/>
        </w:rPr>
        <w:t xml:space="preserve"> prezent</w:t>
      </w:r>
      <w:r w:rsidR="003D0B78">
        <w:rPr>
          <w:rFonts w:eastAsia="Calibri"/>
          <w:color w:val="000000"/>
          <w:szCs w:val="22"/>
        </w:rPr>
        <w:t>uje</w:t>
      </w:r>
      <w:r>
        <w:rPr>
          <w:rFonts w:eastAsia="Calibri"/>
          <w:color w:val="000000"/>
          <w:szCs w:val="22"/>
        </w:rPr>
        <w:t xml:space="preserve"> informację pozwalającą na optymalne ustawienie anteny odbiorczej.</w:t>
      </w:r>
    </w:p>
    <w:p w:rsidR="00BE3EB9" w:rsidRPr="00833FF5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Punkt 8</w:t>
      </w:r>
      <w:r w:rsidRPr="00833FF5">
        <w:rPr>
          <w:rFonts w:eastAsia="Calibri"/>
          <w:color w:val="000000"/>
          <w:szCs w:val="22"/>
        </w:rPr>
        <w:t> </w:t>
      </w:r>
      <w:r>
        <w:rPr>
          <w:rFonts w:eastAsia="Calibri"/>
          <w:color w:val="000000"/>
          <w:szCs w:val="22"/>
        </w:rPr>
        <w:t>wprowadza wymagania dla dekodera odbiornika radiofonii DAB+.</w:t>
      </w:r>
      <w:r w:rsidRPr="00833FF5">
        <w:rPr>
          <w:rFonts w:eastAsia="Calibri"/>
          <w:color w:val="000000"/>
          <w:szCs w:val="22"/>
        </w:rPr>
        <w:t xml:space="preserve"> Podobnie jak dla dekodera kanałowego, tak i dla dekodera fonii, obowiązkowe wymagania zdefiniowano </w:t>
      </w:r>
      <w:r w:rsidRPr="00833FF5">
        <w:rPr>
          <w:rFonts w:eastAsia="Calibri"/>
          <w:color w:val="000000"/>
          <w:szCs w:val="22"/>
        </w:rPr>
        <w:lastRenderedPageBreak/>
        <w:t xml:space="preserve">zgodnie z normą europejską </w:t>
      </w:r>
      <w:r w:rsidRPr="00265451">
        <w:rPr>
          <w:rFonts w:eastAsia="Calibri"/>
          <w:color w:val="000000"/>
          <w:szCs w:val="22"/>
        </w:rPr>
        <w:t>IEC</w:t>
      </w:r>
      <w:r>
        <w:rPr>
          <w:rFonts w:eastAsia="Calibri"/>
          <w:color w:val="000000"/>
          <w:szCs w:val="22"/>
        </w:rPr>
        <w:t xml:space="preserve"> </w:t>
      </w:r>
      <w:r w:rsidRPr="00833FF5">
        <w:rPr>
          <w:rFonts w:eastAsia="Calibri"/>
          <w:color w:val="000000"/>
          <w:szCs w:val="22"/>
        </w:rPr>
        <w:t>62104</w:t>
      </w:r>
      <w:r w:rsidRPr="000D042E">
        <w:rPr>
          <w:rFonts w:eastAsia="Calibri"/>
          <w:color w:val="000000"/>
          <w:szCs w:val="22"/>
        </w:rPr>
        <w:t>:2015-07</w:t>
      </w:r>
      <w:r w:rsidRPr="00833FF5">
        <w:rPr>
          <w:rFonts w:eastAsia="Calibri"/>
          <w:color w:val="000000"/>
          <w:szCs w:val="22"/>
        </w:rPr>
        <w:t xml:space="preserve">, w której jako kodek fonii wybrano MPEG-4 HE AACv2 stosowany w radiofonii cyfrowej zgodnie ze specyfikacją techniczną ETSI TS 102 563, pozwalając na efektywniejszą kompresję dźwięku niż w starszym standardzie MPEG-1 </w:t>
      </w:r>
      <w:proofErr w:type="spellStart"/>
      <w:r w:rsidRPr="00833FF5">
        <w:rPr>
          <w:rFonts w:eastAsia="Calibri"/>
          <w:color w:val="000000"/>
          <w:szCs w:val="22"/>
        </w:rPr>
        <w:t>Layer</w:t>
      </w:r>
      <w:proofErr w:type="spellEnd"/>
      <w:r w:rsidRPr="00833FF5">
        <w:rPr>
          <w:rFonts w:eastAsia="Calibri"/>
          <w:color w:val="000000"/>
          <w:szCs w:val="22"/>
        </w:rPr>
        <w:t xml:space="preserve"> II. </w:t>
      </w:r>
      <w:r>
        <w:rPr>
          <w:rFonts w:eastAsia="Calibri"/>
          <w:color w:val="000000"/>
          <w:szCs w:val="22"/>
        </w:rPr>
        <w:t xml:space="preserve">Zastosowanie kompresji MPEG-4 HE AACv2 zapewnia zwiększoną efektywność wykorzystania widma radiowego w stosunku do stosowanej w niektórych krajach UE kompresji MPEG-1 </w:t>
      </w:r>
      <w:proofErr w:type="spellStart"/>
      <w:r>
        <w:rPr>
          <w:rFonts w:eastAsia="Calibri"/>
          <w:color w:val="000000"/>
          <w:szCs w:val="22"/>
        </w:rPr>
        <w:t>Layer</w:t>
      </w:r>
      <w:proofErr w:type="spellEnd"/>
      <w:r>
        <w:rPr>
          <w:rFonts w:eastAsia="Calibri"/>
          <w:color w:val="000000"/>
          <w:szCs w:val="22"/>
        </w:rPr>
        <w:t xml:space="preserve"> II w związku z możliwością umieszczenia w tym samym multipleksie większej liczby programów radiofonicznych o tej samej jakości. </w:t>
      </w:r>
      <w:r w:rsidRPr="00833FF5">
        <w:rPr>
          <w:rFonts w:eastAsia="Calibri"/>
          <w:color w:val="000000"/>
          <w:szCs w:val="22"/>
        </w:rPr>
        <w:t>Aby zapewnić wszystkim użytkownikom dostęp do nowoczesnych rozwiązań</w:t>
      </w:r>
      <w:r w:rsidR="002419FB">
        <w:rPr>
          <w:rFonts w:eastAsia="Calibri"/>
          <w:color w:val="000000"/>
          <w:szCs w:val="22"/>
        </w:rPr>
        <w:t>,</w:t>
      </w:r>
      <w:r w:rsidRPr="00833FF5">
        <w:rPr>
          <w:rFonts w:eastAsia="Calibri"/>
          <w:color w:val="000000"/>
          <w:szCs w:val="22"/>
        </w:rPr>
        <w:t xml:space="preserve"> zdecydowano się </w:t>
      </w:r>
      <w:r>
        <w:rPr>
          <w:rFonts w:eastAsia="Calibri"/>
          <w:color w:val="000000"/>
          <w:szCs w:val="22"/>
        </w:rPr>
        <w:t xml:space="preserve">także </w:t>
      </w:r>
      <w:r w:rsidRPr="00833FF5">
        <w:rPr>
          <w:rFonts w:eastAsia="Calibri"/>
          <w:color w:val="000000"/>
          <w:szCs w:val="22"/>
        </w:rPr>
        <w:t xml:space="preserve">zobowiązać producentów do obsługi strumieni zawierających także dźwięk dookólny MPEG </w:t>
      </w:r>
      <w:proofErr w:type="spellStart"/>
      <w:r w:rsidRPr="00833FF5">
        <w:rPr>
          <w:rFonts w:eastAsia="Calibri"/>
          <w:color w:val="000000"/>
          <w:szCs w:val="22"/>
        </w:rPr>
        <w:t>Surround</w:t>
      </w:r>
      <w:proofErr w:type="spellEnd"/>
      <w:r>
        <w:rPr>
          <w:rFonts w:eastAsia="Calibri"/>
          <w:color w:val="000000"/>
          <w:szCs w:val="22"/>
        </w:rPr>
        <w:t xml:space="preserve"> pozwalając</w:t>
      </w:r>
      <w:r w:rsidR="003F7410">
        <w:rPr>
          <w:rFonts w:eastAsia="Calibri"/>
          <w:color w:val="000000"/>
          <w:szCs w:val="22"/>
        </w:rPr>
        <w:t>ych</w:t>
      </w:r>
      <w:r>
        <w:rPr>
          <w:rFonts w:eastAsia="Calibri"/>
          <w:color w:val="000000"/>
          <w:szCs w:val="22"/>
        </w:rPr>
        <w:t xml:space="preserve"> na transmisję </w:t>
      </w:r>
      <w:r w:rsidR="003F7410">
        <w:rPr>
          <w:rFonts w:eastAsia="Calibri"/>
          <w:color w:val="000000"/>
          <w:szCs w:val="22"/>
        </w:rPr>
        <w:t xml:space="preserve">takiego </w:t>
      </w:r>
      <w:r>
        <w:rPr>
          <w:rFonts w:eastAsia="Calibri"/>
          <w:color w:val="000000"/>
          <w:szCs w:val="22"/>
        </w:rPr>
        <w:t>dźwięku</w:t>
      </w:r>
      <w:r w:rsidRPr="00833FF5">
        <w:rPr>
          <w:rFonts w:eastAsia="Calibri"/>
          <w:color w:val="000000"/>
          <w:szCs w:val="22"/>
        </w:rPr>
        <w:t xml:space="preserve">. Konieczne </w:t>
      </w:r>
      <w:r>
        <w:rPr>
          <w:rFonts w:eastAsia="Calibri"/>
          <w:color w:val="000000"/>
          <w:szCs w:val="22"/>
        </w:rPr>
        <w:t xml:space="preserve">wówczas </w:t>
      </w:r>
      <w:r w:rsidRPr="00833FF5">
        <w:rPr>
          <w:rFonts w:eastAsia="Calibri"/>
          <w:color w:val="000000"/>
          <w:szCs w:val="22"/>
        </w:rPr>
        <w:t>jest także zapewnienie kompatybilności dla strumieni zawierających dźwięk monofoniczny oraz stereofoniczny – obecnie najpopularniejszy</w:t>
      </w:r>
      <w:r>
        <w:rPr>
          <w:rFonts w:eastAsia="Calibri"/>
          <w:color w:val="000000"/>
          <w:szCs w:val="22"/>
        </w:rPr>
        <w:t xml:space="preserve"> dla transmisji UKF FM w Polsce.</w:t>
      </w:r>
      <w:r w:rsidRPr="00833FF5">
        <w:t xml:space="preserve"> </w:t>
      </w:r>
      <w:r w:rsidRPr="00833FF5">
        <w:rPr>
          <w:rFonts w:eastAsia="Calibri"/>
          <w:color w:val="000000"/>
          <w:szCs w:val="22"/>
        </w:rPr>
        <w:t xml:space="preserve">W celu uniknięcia zbędnych szumów w emitowanym dźwięku </w:t>
      </w:r>
      <w:r>
        <w:rPr>
          <w:rFonts w:eastAsia="Calibri"/>
          <w:color w:val="000000"/>
          <w:szCs w:val="22"/>
        </w:rPr>
        <w:t>wymaga</w:t>
      </w:r>
      <w:r w:rsidRPr="00833FF5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się maskowania błędów lub wyciszenia</w:t>
      </w:r>
      <w:r w:rsidRPr="00833FF5">
        <w:rPr>
          <w:rFonts w:eastAsia="Calibri"/>
          <w:color w:val="000000"/>
          <w:szCs w:val="22"/>
        </w:rPr>
        <w:t xml:space="preserve"> fonii. Dzięki temu użytkownik nie jest narażany na wystąpienie losowych dźwięków (np. szumów, trzasków) obniżających jakość odbioru. Maskowanie błędów i wyciszanie fonii ma wpływ na subiektywną ocenę jakości</w:t>
      </w:r>
      <w:r>
        <w:rPr>
          <w:rFonts w:eastAsia="Calibri"/>
          <w:color w:val="000000"/>
          <w:szCs w:val="22"/>
        </w:rPr>
        <w:t xml:space="preserve"> dźwięku przez słuchacza. Ponadto maskowanie błędów transmisji prowadzi do zmniejszenia skutków</w:t>
      </w:r>
      <w:r w:rsidRPr="00A013EE">
        <w:rPr>
          <w:rFonts w:eastAsia="Calibri"/>
          <w:color w:val="000000"/>
          <w:szCs w:val="22"/>
        </w:rPr>
        <w:t xml:space="preserve"> szkodliwych zakłóceń, zwłaszcza pochodzących ze współdzielonych lub sąsiadujących kanałów</w:t>
      </w:r>
      <w:r>
        <w:rPr>
          <w:rFonts w:eastAsia="Calibri"/>
          <w:color w:val="000000"/>
          <w:szCs w:val="22"/>
        </w:rPr>
        <w:t>, co przyczynia</w:t>
      </w:r>
      <w:r w:rsidRPr="00A013EE">
        <w:rPr>
          <w:rFonts w:eastAsia="Calibri"/>
          <w:color w:val="000000"/>
          <w:szCs w:val="22"/>
        </w:rPr>
        <w:t xml:space="preserve"> się do udoskonalania efektywnego wykorzystania współdzielonych lub sąsiadujących kanałów</w:t>
      </w:r>
      <w:r>
        <w:rPr>
          <w:rFonts w:eastAsia="Calibri"/>
          <w:color w:val="000000"/>
          <w:szCs w:val="22"/>
        </w:rPr>
        <w:t>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Punkt 9 określa wymagania w zakresie odbioru radiofonii analogowej w celu zachowania ciągłości usługi radiofonicznej oraz możliwości odbioru na obszarach niebędących w zasięgu sygnałów DAB+.</w:t>
      </w:r>
      <w:r w:rsidRPr="00977165">
        <w:t xml:space="preserve"> </w:t>
      </w:r>
      <w:r>
        <w:rPr>
          <w:rFonts w:eastAsia="Calibri"/>
          <w:color w:val="000000"/>
          <w:szCs w:val="22"/>
        </w:rPr>
        <w:t xml:space="preserve">Obecnie </w:t>
      </w:r>
      <w:r w:rsidRPr="00977165">
        <w:rPr>
          <w:rFonts w:eastAsia="Calibri"/>
          <w:color w:val="000000"/>
          <w:szCs w:val="22"/>
        </w:rPr>
        <w:t>w Polsce nadal dominuje radiofonia analogowa UKF</w:t>
      </w:r>
      <w:r>
        <w:rPr>
          <w:rFonts w:eastAsia="Calibri"/>
          <w:color w:val="000000"/>
          <w:szCs w:val="22"/>
        </w:rPr>
        <w:t xml:space="preserve"> FM w zakresie </w:t>
      </w:r>
      <w:r w:rsidR="00F37347">
        <w:rPr>
          <w:rFonts w:eastAsia="Calibri"/>
          <w:color w:val="000000"/>
          <w:szCs w:val="22"/>
        </w:rPr>
        <w:t xml:space="preserve">częstotliwości </w:t>
      </w:r>
      <w:r>
        <w:rPr>
          <w:rFonts w:eastAsia="Calibri"/>
          <w:color w:val="000000"/>
          <w:szCs w:val="22"/>
        </w:rPr>
        <w:t>87,5</w:t>
      </w:r>
      <w:r w:rsidRPr="000D042E">
        <w:rPr>
          <w:rFonts w:eastAsia="Calibri"/>
          <w:color w:val="000000"/>
          <w:szCs w:val="22"/>
        </w:rPr>
        <w:t>–</w:t>
      </w:r>
      <w:r>
        <w:rPr>
          <w:rFonts w:eastAsia="Calibri"/>
          <w:color w:val="000000"/>
          <w:szCs w:val="22"/>
        </w:rPr>
        <w:t xml:space="preserve">108 MHz. </w:t>
      </w:r>
      <w:r w:rsidR="002419FB">
        <w:rPr>
          <w:rFonts w:eastAsia="Calibri"/>
          <w:color w:val="000000"/>
          <w:szCs w:val="22"/>
        </w:rPr>
        <w:t xml:space="preserve">W celu </w:t>
      </w:r>
      <w:r>
        <w:rPr>
          <w:rFonts w:eastAsia="Calibri"/>
          <w:color w:val="000000"/>
          <w:szCs w:val="22"/>
        </w:rPr>
        <w:t>zachęcenia</w:t>
      </w:r>
      <w:r w:rsidRPr="00977165">
        <w:rPr>
          <w:rFonts w:eastAsia="Calibri"/>
          <w:color w:val="000000"/>
          <w:szCs w:val="22"/>
        </w:rPr>
        <w:t xml:space="preserve"> użytkowników do </w:t>
      </w:r>
      <w:r>
        <w:rPr>
          <w:rFonts w:eastAsia="Calibri"/>
          <w:color w:val="000000"/>
          <w:szCs w:val="22"/>
        </w:rPr>
        <w:t>korzystania z</w:t>
      </w:r>
      <w:r w:rsidRPr="00977165">
        <w:rPr>
          <w:rFonts w:eastAsia="Calibri"/>
          <w:color w:val="000000"/>
          <w:szCs w:val="22"/>
        </w:rPr>
        <w:t xml:space="preserve"> radiofonii cyfrowej DAB+, </w:t>
      </w:r>
      <w:r>
        <w:rPr>
          <w:rFonts w:eastAsia="Calibri"/>
          <w:color w:val="000000"/>
          <w:szCs w:val="22"/>
        </w:rPr>
        <w:t xml:space="preserve">w sytuacji </w:t>
      </w:r>
      <w:r w:rsidRPr="00977165">
        <w:rPr>
          <w:rFonts w:eastAsia="Calibri"/>
          <w:color w:val="000000"/>
          <w:szCs w:val="22"/>
        </w:rPr>
        <w:t>gdy pokryte zasięgiem są wyłącznie duże mia</w:t>
      </w:r>
      <w:r>
        <w:rPr>
          <w:rFonts w:eastAsia="Calibri"/>
          <w:color w:val="000000"/>
          <w:szCs w:val="22"/>
        </w:rPr>
        <w:t>sta, a jednocześnie niewymuszania</w:t>
      </w:r>
      <w:r w:rsidRPr="00977165">
        <w:rPr>
          <w:rFonts w:eastAsia="Calibri"/>
          <w:color w:val="000000"/>
          <w:szCs w:val="22"/>
        </w:rPr>
        <w:t xml:space="preserve"> na użytkownikach masowej wymiany odbiorników w przyszłości</w:t>
      </w:r>
      <w:r>
        <w:rPr>
          <w:rFonts w:eastAsia="Calibri"/>
          <w:color w:val="000000"/>
          <w:szCs w:val="22"/>
        </w:rPr>
        <w:t>,</w:t>
      </w:r>
      <w:r w:rsidRPr="00977165">
        <w:rPr>
          <w:rFonts w:eastAsia="Calibri"/>
          <w:color w:val="000000"/>
          <w:szCs w:val="22"/>
        </w:rPr>
        <w:t xml:space="preserve"> po całkowitej rezygnacji z UKF FM</w:t>
      </w:r>
      <w:r>
        <w:rPr>
          <w:rFonts w:eastAsia="Calibri"/>
          <w:color w:val="000000"/>
          <w:szCs w:val="22"/>
        </w:rPr>
        <w:t>,</w:t>
      </w:r>
      <w:r w:rsidRPr="00977165">
        <w:rPr>
          <w:rFonts w:eastAsia="Calibri"/>
          <w:color w:val="000000"/>
          <w:szCs w:val="22"/>
        </w:rPr>
        <w:t xml:space="preserve"> postanowiono, że obowiązkowe jest zapewnienie kompatybilności odbiorników </w:t>
      </w:r>
      <w:r>
        <w:rPr>
          <w:rFonts w:eastAsia="Calibri"/>
          <w:color w:val="000000"/>
          <w:szCs w:val="22"/>
        </w:rPr>
        <w:t>radiofonii</w:t>
      </w:r>
      <w:r w:rsidRPr="00977165">
        <w:rPr>
          <w:rFonts w:eastAsia="Calibri"/>
          <w:color w:val="000000"/>
          <w:szCs w:val="22"/>
        </w:rPr>
        <w:t xml:space="preserve"> DAB+ z radiofonią analogową. Działanie takie powinno zapewnić płynne przejście (dla użytkowników) z technologii analogowej na technologię cyfrową </w:t>
      </w:r>
      <w:r>
        <w:rPr>
          <w:rFonts w:eastAsia="Calibri"/>
          <w:color w:val="000000"/>
          <w:szCs w:val="22"/>
        </w:rPr>
        <w:t xml:space="preserve">(i odwrotnie) </w:t>
      </w:r>
      <w:r w:rsidRPr="00977165">
        <w:rPr>
          <w:rFonts w:eastAsia="Calibri"/>
          <w:color w:val="000000"/>
          <w:szCs w:val="22"/>
        </w:rPr>
        <w:t>na terenie całego kraju. W przypadku adapterów zrezygnowano z tego wymogu, gdyż są to proste urządzenia, służące wyłącznie do retransmisji programu DAB+ do złącza kablowego AUX lub UKF FM</w:t>
      </w:r>
      <w:r>
        <w:rPr>
          <w:rFonts w:eastAsia="Calibri"/>
          <w:color w:val="000000"/>
          <w:szCs w:val="22"/>
        </w:rPr>
        <w:t>,</w:t>
      </w:r>
      <w:r w:rsidRPr="00977165">
        <w:rPr>
          <w:rFonts w:eastAsia="Calibri"/>
          <w:color w:val="000000"/>
          <w:szCs w:val="22"/>
        </w:rPr>
        <w:t xml:space="preserve"> lub Bluetooth</w:t>
      </w:r>
      <w:r>
        <w:rPr>
          <w:rFonts w:eastAsia="Calibri"/>
          <w:color w:val="000000"/>
          <w:szCs w:val="22"/>
        </w:rPr>
        <w:t>,</w:t>
      </w:r>
      <w:r w:rsidRPr="00977165">
        <w:rPr>
          <w:rFonts w:eastAsia="Calibri"/>
          <w:color w:val="000000"/>
          <w:szCs w:val="22"/>
        </w:rPr>
        <w:t xml:space="preserve"> czy innego rozwiązania technicznego i w większości nie posiadają odbiornika UKF FM.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lastRenderedPageBreak/>
        <w:t>Punkt 10 w</w:t>
      </w:r>
      <w:r w:rsidRPr="0066439A">
        <w:rPr>
          <w:rFonts w:eastAsia="Calibri"/>
          <w:color w:val="000000"/>
          <w:szCs w:val="22"/>
        </w:rPr>
        <w:t xml:space="preserve">prowadza </w:t>
      </w:r>
      <w:r>
        <w:rPr>
          <w:rFonts w:eastAsia="Calibri"/>
          <w:color w:val="000000"/>
          <w:szCs w:val="22"/>
        </w:rPr>
        <w:t>wymagania</w:t>
      </w:r>
      <w:r w:rsidRPr="00317737">
        <w:rPr>
          <w:rFonts w:eastAsia="Calibri"/>
          <w:color w:val="000000"/>
          <w:szCs w:val="22"/>
        </w:rPr>
        <w:t xml:space="preserve"> </w:t>
      </w:r>
      <w:r w:rsidR="002419FB">
        <w:rPr>
          <w:rFonts w:eastAsia="Calibri"/>
          <w:color w:val="000000"/>
          <w:szCs w:val="22"/>
        </w:rPr>
        <w:t xml:space="preserve">dla </w:t>
      </w:r>
      <w:r w:rsidRPr="00317737">
        <w:rPr>
          <w:rFonts w:eastAsia="Calibri"/>
          <w:color w:val="000000"/>
          <w:szCs w:val="22"/>
        </w:rPr>
        <w:t xml:space="preserve">wyświetlacza odbiornika </w:t>
      </w:r>
      <w:r>
        <w:rPr>
          <w:rFonts w:eastAsia="Calibri"/>
          <w:color w:val="000000"/>
          <w:szCs w:val="22"/>
        </w:rPr>
        <w:t>radiofonii DAB+. W szczególności określony został standard kodowania znaków alfanumerycznych</w:t>
      </w:r>
      <w:r w:rsidR="002419FB">
        <w:rPr>
          <w:rFonts w:eastAsia="Calibri"/>
          <w:color w:val="000000"/>
          <w:szCs w:val="22"/>
        </w:rPr>
        <w:t>,</w:t>
      </w:r>
      <w:r>
        <w:rPr>
          <w:rFonts w:eastAsia="Calibri"/>
          <w:color w:val="000000"/>
          <w:szCs w:val="22"/>
        </w:rPr>
        <w:t xml:space="preserve"> zapewniając przez to poprawne wyświetlanie polskich znaków diakrytycznych w nazwach programów i innych usługach tekstowych (DL, EPG, </w:t>
      </w:r>
      <w:proofErr w:type="spellStart"/>
      <w:r w:rsidRPr="00296420">
        <w:rPr>
          <w:rFonts w:eastAsia="Calibri"/>
          <w:i/>
          <w:color w:val="000000"/>
          <w:szCs w:val="22"/>
        </w:rPr>
        <w:t>Journaline</w:t>
      </w:r>
      <w:proofErr w:type="spellEnd"/>
      <w:r>
        <w:rPr>
          <w:rFonts w:eastAsia="Calibri"/>
          <w:color w:val="000000"/>
          <w:szCs w:val="22"/>
        </w:rPr>
        <w:t xml:space="preserve">), a w przypadku </w:t>
      </w:r>
      <w:r w:rsidRPr="00E8132B">
        <w:rPr>
          <w:rFonts w:eastAsia="Calibri"/>
          <w:color w:val="000000"/>
          <w:szCs w:val="22"/>
        </w:rPr>
        <w:t>braku możliwości technicznych wyświetlania liter ze znakami diakrytycznymi (np. dla wyświetlaczy segmentowych)</w:t>
      </w:r>
      <w:r w:rsidR="002419FB">
        <w:rPr>
          <w:rFonts w:eastAsia="Calibri"/>
          <w:color w:val="000000"/>
          <w:szCs w:val="22"/>
        </w:rPr>
        <w:t xml:space="preserve"> – </w:t>
      </w:r>
      <w:r w:rsidRPr="00E8132B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>sposób zastępowania liter zapewniający zachowanie czytelności przekazu.</w:t>
      </w:r>
    </w:p>
    <w:p w:rsidR="00BE3EB9" w:rsidRPr="003B4F57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Punkt 11 wprowadza wymagania dla tunera</w:t>
      </w:r>
      <w:r w:rsidRPr="00CD58E8">
        <w:rPr>
          <w:rFonts w:eastAsia="Calibri"/>
          <w:color w:val="000000"/>
          <w:szCs w:val="22"/>
        </w:rPr>
        <w:t xml:space="preserve"> radiowego odbiornika </w:t>
      </w:r>
      <w:r>
        <w:rPr>
          <w:rFonts w:eastAsia="Calibri"/>
          <w:color w:val="000000"/>
          <w:szCs w:val="22"/>
        </w:rPr>
        <w:t>radiofonii</w:t>
      </w:r>
      <w:r w:rsidRPr="00CD58E8">
        <w:rPr>
          <w:rFonts w:eastAsia="Calibri"/>
          <w:color w:val="000000"/>
          <w:szCs w:val="22"/>
        </w:rPr>
        <w:t xml:space="preserve"> DAB+</w:t>
      </w:r>
      <w:r>
        <w:rPr>
          <w:rFonts w:eastAsia="Calibri"/>
          <w:color w:val="000000"/>
          <w:szCs w:val="22"/>
        </w:rPr>
        <w:t>.</w:t>
      </w:r>
      <w:r w:rsidRPr="005538FB">
        <w:rPr>
          <w:rFonts w:eastAsia="Calibri"/>
          <w:color w:val="000000"/>
          <w:szCs w:val="22"/>
        </w:rPr>
        <w:t xml:space="preserve"> Aby zapewnić zgodność między zasięgiem od stacji nadawczych radiofonii cyfrowej DAB+</w:t>
      </w:r>
      <w:r w:rsidR="002419FB">
        <w:rPr>
          <w:rFonts w:eastAsia="Calibri"/>
          <w:color w:val="000000"/>
          <w:szCs w:val="22"/>
        </w:rPr>
        <w:t>,</w:t>
      </w:r>
      <w:r w:rsidRPr="001D0B37">
        <w:rPr>
          <w:rFonts w:eastAsia="Calibri"/>
          <w:color w:val="000000"/>
          <w:szCs w:val="22"/>
        </w:rPr>
        <w:t xml:space="preserve"> </w:t>
      </w:r>
      <w:r w:rsidRPr="005538FB">
        <w:rPr>
          <w:rFonts w:eastAsia="Calibri"/>
          <w:color w:val="000000"/>
          <w:szCs w:val="22"/>
        </w:rPr>
        <w:t xml:space="preserve">wyznaczonym analitycznie, a zasięgiem rzeczywistym </w:t>
      </w:r>
      <w:r>
        <w:rPr>
          <w:rFonts w:eastAsia="Calibri"/>
          <w:color w:val="000000"/>
          <w:szCs w:val="22"/>
        </w:rPr>
        <w:t>oraz w celu zapewnienia ochrony przed zakłóceniami interferencyjnymi pochodzącymi od emisji sąsiedniokanałowych</w:t>
      </w:r>
      <w:r w:rsidR="002419FB">
        <w:rPr>
          <w:rFonts w:eastAsia="Calibri"/>
          <w:color w:val="000000"/>
          <w:szCs w:val="22"/>
        </w:rPr>
        <w:t>,</w:t>
      </w:r>
      <w:r>
        <w:rPr>
          <w:rFonts w:eastAsia="Calibri"/>
          <w:color w:val="000000"/>
          <w:szCs w:val="22"/>
        </w:rPr>
        <w:t xml:space="preserve"> </w:t>
      </w:r>
      <w:r w:rsidRPr="005538FB">
        <w:rPr>
          <w:rFonts w:eastAsia="Calibri"/>
          <w:color w:val="000000"/>
          <w:szCs w:val="22"/>
        </w:rPr>
        <w:t xml:space="preserve">postawiono wymagania dotyczące czułości </w:t>
      </w:r>
      <w:r>
        <w:rPr>
          <w:rFonts w:eastAsia="Calibri"/>
          <w:color w:val="000000"/>
          <w:szCs w:val="22"/>
        </w:rPr>
        <w:t xml:space="preserve">i selektywności </w:t>
      </w:r>
      <w:r w:rsidRPr="005538FB">
        <w:rPr>
          <w:rFonts w:eastAsia="Calibri"/>
          <w:color w:val="000000"/>
          <w:szCs w:val="22"/>
        </w:rPr>
        <w:t>odbiorników zgodnie ze specyfik</w:t>
      </w:r>
      <w:r>
        <w:rPr>
          <w:rFonts w:eastAsia="Calibri"/>
          <w:color w:val="000000"/>
          <w:szCs w:val="22"/>
        </w:rPr>
        <w:t>acją techniczną ETSI TS 103 46</w:t>
      </w:r>
      <w:r w:rsidRPr="00265451">
        <w:t xml:space="preserve"> </w:t>
      </w:r>
      <w:r w:rsidRPr="00265451">
        <w:rPr>
          <w:rFonts w:eastAsia="Calibri"/>
          <w:color w:val="000000"/>
          <w:szCs w:val="22"/>
        </w:rPr>
        <w:t>V1.1.1</w:t>
      </w:r>
      <w:r>
        <w:rPr>
          <w:rFonts w:eastAsia="Calibri"/>
          <w:color w:val="000000"/>
          <w:szCs w:val="22"/>
        </w:rPr>
        <w:t xml:space="preserve">. Wymagania te mają na celu zapewnienie efektywnego wykorzystywania widma radiowego i unikanie zakłóceń interferencyjnych między różnymi multipleksami DAB+ i innymi systemami radiowymi. </w:t>
      </w:r>
      <w:r w:rsidRPr="003B4F57">
        <w:rPr>
          <w:rFonts w:eastAsia="Calibri"/>
          <w:color w:val="000000"/>
          <w:szCs w:val="22"/>
        </w:rPr>
        <w:t xml:space="preserve">Dla odbiorników stacjonarnych przyjęto złącze o impedancji 75 </w:t>
      </w:r>
      <w:r w:rsidRPr="00AB7FB0">
        <w:rPr>
          <w:rFonts w:eastAsia="Calibri"/>
          <w:color w:val="000000"/>
          <w:szCs w:val="22"/>
        </w:rPr>
        <w:t>Ω</w:t>
      </w:r>
      <w:r w:rsidRPr="003B4F57">
        <w:rPr>
          <w:rFonts w:eastAsia="Calibri"/>
          <w:color w:val="000000"/>
          <w:szCs w:val="22"/>
        </w:rPr>
        <w:t>, co pozwoli odbiorcom na wykorzystanie posiadanych przez nich także anten telewizyjnych</w:t>
      </w:r>
      <w:r>
        <w:rPr>
          <w:rFonts w:eastAsia="Calibri"/>
          <w:color w:val="000000"/>
          <w:szCs w:val="22"/>
        </w:rPr>
        <w:t xml:space="preserve"> pasma VHF</w:t>
      </w:r>
      <w:r w:rsidRPr="003B4F57">
        <w:rPr>
          <w:rFonts w:eastAsia="Calibri"/>
          <w:color w:val="000000"/>
          <w:szCs w:val="22"/>
        </w:rPr>
        <w:t xml:space="preserve">, przeznaczonych do odbioru multipleksu MUX8 naziemnej telewizji cyfrowej. Systemy antenowe o impedancji 75 </w:t>
      </w:r>
      <w:r w:rsidRPr="00AB7FB0">
        <w:rPr>
          <w:rFonts w:eastAsia="Calibri"/>
          <w:color w:val="000000"/>
          <w:szCs w:val="22"/>
        </w:rPr>
        <w:t>Ω</w:t>
      </w:r>
      <w:r w:rsidRPr="003B4F57">
        <w:rPr>
          <w:rFonts w:eastAsia="Calibri"/>
          <w:color w:val="000000"/>
          <w:szCs w:val="22"/>
        </w:rPr>
        <w:t xml:space="preserve"> zazwyczaj montowane są na elewacjach i dachach budynków, dzięki czemu możliwe jest osiągnięcie lepszych parametrów odbiorczych niż w przypadku anteny wewnątrz budynków.</w:t>
      </w:r>
    </w:p>
    <w:p w:rsidR="00BE3EB9" w:rsidRPr="000F5DDA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3B4F57">
        <w:rPr>
          <w:rFonts w:eastAsia="Calibri"/>
          <w:color w:val="000000"/>
          <w:szCs w:val="22"/>
        </w:rPr>
        <w:t xml:space="preserve">W przypadku odbiorników samochodowych wybrano złącze o impedancji 50 </w:t>
      </w:r>
      <w:r w:rsidRPr="00AB7FB0">
        <w:rPr>
          <w:rFonts w:eastAsia="Calibri"/>
          <w:color w:val="000000"/>
          <w:szCs w:val="22"/>
        </w:rPr>
        <w:t>Ω</w:t>
      </w:r>
      <w:r w:rsidRPr="003B4F57">
        <w:rPr>
          <w:rFonts w:eastAsia="Calibri"/>
          <w:color w:val="000000"/>
          <w:szCs w:val="22"/>
        </w:rPr>
        <w:t>, co jest zgodne ze specyfik</w:t>
      </w:r>
      <w:r>
        <w:rPr>
          <w:rFonts w:eastAsia="Calibri"/>
          <w:color w:val="000000"/>
          <w:szCs w:val="22"/>
        </w:rPr>
        <w:t>acją techniczną ETSI TS 103 461</w:t>
      </w:r>
      <w:r w:rsidRPr="004856F8">
        <w:t xml:space="preserve"> </w:t>
      </w:r>
      <w:r w:rsidRPr="004856F8">
        <w:rPr>
          <w:rFonts w:eastAsia="Calibri"/>
          <w:color w:val="000000"/>
          <w:szCs w:val="22"/>
        </w:rPr>
        <w:t>V1.1.1</w:t>
      </w:r>
      <w:r w:rsidRPr="003B4F57">
        <w:rPr>
          <w:rFonts w:eastAsia="Calibri"/>
          <w:color w:val="000000"/>
          <w:szCs w:val="22"/>
        </w:rPr>
        <w:t xml:space="preserve">. Anteny samochodowe o impedancji 50 </w:t>
      </w:r>
      <w:r w:rsidRPr="003F2A42">
        <w:rPr>
          <w:rFonts w:eastAsia="Calibri"/>
          <w:color w:val="000000"/>
          <w:szCs w:val="22"/>
        </w:rPr>
        <w:t>Ω</w:t>
      </w:r>
      <w:r w:rsidRPr="003B4F57">
        <w:rPr>
          <w:rFonts w:eastAsia="Calibri"/>
          <w:color w:val="000000"/>
          <w:szCs w:val="22"/>
        </w:rPr>
        <w:t xml:space="preserve"> są ogólnodostępne na rynku polskim.</w:t>
      </w:r>
    </w:p>
    <w:p w:rsidR="00BE3EB9" w:rsidRPr="000F5DDA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0F5DDA">
        <w:rPr>
          <w:rFonts w:eastAsia="Calibri"/>
          <w:color w:val="000000"/>
          <w:szCs w:val="22"/>
        </w:rPr>
        <w:t>W niniejszym projekcie rozporządzeni</w:t>
      </w:r>
      <w:r>
        <w:rPr>
          <w:rFonts w:eastAsia="Calibri"/>
          <w:color w:val="000000"/>
          <w:szCs w:val="22"/>
        </w:rPr>
        <w:t>a</w:t>
      </w:r>
      <w:r w:rsidRPr="000F5DDA">
        <w:rPr>
          <w:rFonts w:eastAsia="Calibri"/>
          <w:color w:val="000000"/>
          <w:szCs w:val="22"/>
        </w:rPr>
        <w:t xml:space="preserve"> nie określa</w:t>
      </w:r>
      <w:r>
        <w:rPr>
          <w:rFonts w:eastAsia="Calibri"/>
          <w:color w:val="000000"/>
          <w:szCs w:val="22"/>
        </w:rPr>
        <w:t xml:space="preserve"> się</w:t>
      </w:r>
      <w:r w:rsidRPr="000F5DDA">
        <w:rPr>
          <w:rFonts w:eastAsia="Calibri"/>
          <w:color w:val="000000"/>
          <w:szCs w:val="22"/>
        </w:rPr>
        <w:t xml:space="preserve"> wymagań na dostęp warunkowy, gdyż w Polsce nie stosuje się </w:t>
      </w:r>
      <w:r>
        <w:rPr>
          <w:rFonts w:eastAsia="Calibri"/>
          <w:color w:val="000000"/>
          <w:szCs w:val="22"/>
        </w:rPr>
        <w:t xml:space="preserve">go </w:t>
      </w:r>
      <w:r w:rsidRPr="000F5DDA">
        <w:rPr>
          <w:rFonts w:eastAsia="Calibri"/>
          <w:color w:val="000000"/>
          <w:szCs w:val="22"/>
        </w:rPr>
        <w:t xml:space="preserve">w </w:t>
      </w:r>
      <w:r>
        <w:rPr>
          <w:rFonts w:eastAsia="Calibri"/>
          <w:color w:val="000000"/>
          <w:szCs w:val="22"/>
        </w:rPr>
        <w:t>bezpłatnej radiofonii</w:t>
      </w:r>
      <w:r w:rsidRPr="000F5DDA">
        <w:rPr>
          <w:rFonts w:eastAsia="Calibri"/>
          <w:color w:val="000000"/>
          <w:szCs w:val="22"/>
        </w:rPr>
        <w:t xml:space="preserve"> naziemnej i nie jest planowan</w:t>
      </w:r>
      <w:r>
        <w:rPr>
          <w:rFonts w:eastAsia="Calibri"/>
          <w:color w:val="000000"/>
          <w:szCs w:val="22"/>
        </w:rPr>
        <w:t>e jego stosowanie</w:t>
      </w:r>
      <w:r w:rsidRPr="000F5DDA">
        <w:rPr>
          <w:rFonts w:eastAsia="Calibri"/>
          <w:color w:val="000000"/>
          <w:szCs w:val="22"/>
        </w:rPr>
        <w:t xml:space="preserve">. </w:t>
      </w:r>
      <w:r w:rsidRPr="00151BE0">
        <w:rPr>
          <w:rFonts w:eastAsia="Calibri"/>
          <w:color w:val="000000"/>
          <w:szCs w:val="22"/>
        </w:rPr>
        <w:t xml:space="preserve">Zgodnie z </w:t>
      </w:r>
      <w:r w:rsidRPr="00DB0657">
        <w:rPr>
          <w:rFonts w:eastAsia="Calibri"/>
          <w:color w:val="000000"/>
          <w:szCs w:val="22"/>
        </w:rPr>
        <w:t>Zielon</w:t>
      </w:r>
      <w:r>
        <w:rPr>
          <w:rFonts w:eastAsia="Calibri"/>
          <w:color w:val="000000"/>
          <w:szCs w:val="22"/>
        </w:rPr>
        <w:t>ą</w:t>
      </w:r>
      <w:r w:rsidRPr="00DB0657">
        <w:rPr>
          <w:rFonts w:eastAsia="Calibri"/>
          <w:color w:val="000000"/>
          <w:szCs w:val="22"/>
        </w:rPr>
        <w:t xml:space="preserve"> Księg</w:t>
      </w:r>
      <w:r>
        <w:rPr>
          <w:rFonts w:eastAsia="Calibri"/>
          <w:color w:val="000000"/>
          <w:szCs w:val="22"/>
        </w:rPr>
        <w:t>ą</w:t>
      </w:r>
      <w:r w:rsidRPr="00DB0657">
        <w:rPr>
          <w:rFonts w:eastAsia="Calibri"/>
          <w:color w:val="000000"/>
          <w:szCs w:val="22"/>
        </w:rPr>
        <w:t xml:space="preserve"> cyfryzacji radia w Polsce</w:t>
      </w:r>
      <w:r w:rsidRPr="00151BE0">
        <w:rPr>
          <w:rFonts w:eastAsia="Calibri"/>
          <w:color w:val="000000"/>
          <w:szCs w:val="22"/>
        </w:rPr>
        <w:t xml:space="preserve"> </w:t>
      </w:r>
      <w:r w:rsidR="002419FB">
        <w:rPr>
          <w:rFonts w:eastAsia="Calibri"/>
          <w:color w:val="000000"/>
          <w:szCs w:val="22"/>
        </w:rPr>
        <w:t xml:space="preserve">(dokumentem </w:t>
      </w:r>
      <w:r w:rsidRPr="00AB7FB0">
        <w:rPr>
          <w:rFonts w:eastAsia="Calibri"/>
          <w:color w:val="000000"/>
          <w:szCs w:val="22"/>
        </w:rPr>
        <w:t>Krajowej Rady Radiofoni</w:t>
      </w:r>
      <w:r>
        <w:rPr>
          <w:rFonts w:eastAsia="Calibri"/>
          <w:color w:val="000000"/>
          <w:szCs w:val="22"/>
        </w:rPr>
        <w:t>i</w:t>
      </w:r>
      <w:r w:rsidRPr="00AB7FB0">
        <w:rPr>
          <w:rFonts w:eastAsia="Calibri"/>
          <w:color w:val="000000"/>
          <w:szCs w:val="22"/>
        </w:rPr>
        <w:t xml:space="preserve"> i Telewizji</w:t>
      </w:r>
      <w:r>
        <w:rPr>
          <w:rFonts w:eastAsia="Calibri"/>
          <w:color w:val="000000"/>
          <w:szCs w:val="22"/>
        </w:rPr>
        <w:t xml:space="preserve"> </w:t>
      </w:r>
      <w:r w:rsidR="002419FB">
        <w:rPr>
          <w:rFonts w:eastAsia="Calibri"/>
          <w:color w:val="000000"/>
          <w:szCs w:val="22"/>
        </w:rPr>
        <w:t xml:space="preserve">z </w:t>
      </w:r>
      <w:r>
        <w:rPr>
          <w:rFonts w:eastAsia="Calibri"/>
          <w:color w:val="000000"/>
          <w:szCs w:val="22"/>
        </w:rPr>
        <w:t>2016 r.</w:t>
      </w:r>
      <w:r w:rsidR="002419FB">
        <w:rPr>
          <w:rFonts w:eastAsia="Calibri"/>
          <w:color w:val="000000"/>
          <w:szCs w:val="22"/>
        </w:rPr>
        <w:t>)</w:t>
      </w:r>
      <w:r>
        <w:rPr>
          <w:rFonts w:eastAsia="Calibri"/>
          <w:color w:val="000000"/>
          <w:szCs w:val="22"/>
        </w:rPr>
        <w:t xml:space="preserve"> radiofonia</w:t>
      </w:r>
      <w:r w:rsidRPr="00151BE0">
        <w:rPr>
          <w:rFonts w:eastAsia="Calibri"/>
          <w:color w:val="000000"/>
          <w:szCs w:val="22"/>
        </w:rPr>
        <w:t xml:space="preserve"> naziemna ma pozostać bezpłatna. </w:t>
      </w:r>
    </w:p>
    <w:p w:rsidR="00BE3EB9" w:rsidRPr="000F5DDA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0F5DDA">
        <w:rPr>
          <w:rFonts w:eastAsia="Calibri"/>
          <w:color w:val="000000"/>
          <w:szCs w:val="22"/>
        </w:rPr>
        <w:t xml:space="preserve">Publikacja wymagań dla urządzeń odbiorczych nie </w:t>
      </w:r>
      <w:r>
        <w:rPr>
          <w:rFonts w:eastAsia="Calibri"/>
          <w:color w:val="000000"/>
          <w:szCs w:val="22"/>
        </w:rPr>
        <w:t xml:space="preserve">powoduje zmiany sytuacji </w:t>
      </w:r>
      <w:r w:rsidRPr="000F5DDA">
        <w:rPr>
          <w:rFonts w:eastAsia="Calibri"/>
          <w:color w:val="000000"/>
          <w:szCs w:val="22"/>
        </w:rPr>
        <w:t>operatorów sieci nadawczej</w:t>
      </w:r>
      <w:r>
        <w:rPr>
          <w:rFonts w:eastAsia="Calibri"/>
          <w:color w:val="000000"/>
          <w:szCs w:val="22"/>
        </w:rPr>
        <w:t>, gdyż programy w standardzie DAB+ są już obecnie w kraju nadawane.</w:t>
      </w:r>
    </w:p>
    <w:p w:rsidR="00BE3EB9" w:rsidRPr="000F5DDA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Projektowane r</w:t>
      </w:r>
      <w:r w:rsidRPr="000F5DDA">
        <w:rPr>
          <w:rFonts w:eastAsia="Calibri"/>
          <w:color w:val="000000"/>
          <w:szCs w:val="22"/>
        </w:rPr>
        <w:t xml:space="preserve">ozporządzenie nie ma </w:t>
      </w:r>
      <w:r>
        <w:rPr>
          <w:rFonts w:eastAsia="Calibri"/>
          <w:color w:val="000000"/>
          <w:szCs w:val="22"/>
        </w:rPr>
        <w:t>także bezpośredniego wpływu</w:t>
      </w:r>
      <w:r w:rsidRPr="000F5DDA">
        <w:rPr>
          <w:rFonts w:eastAsia="Calibri"/>
          <w:color w:val="000000"/>
          <w:szCs w:val="22"/>
        </w:rPr>
        <w:t xml:space="preserve"> na konsumentów, lecz publikacja rozporządzenia pozwoli </w:t>
      </w:r>
      <w:r>
        <w:rPr>
          <w:rFonts w:eastAsia="Calibri"/>
          <w:color w:val="000000"/>
          <w:szCs w:val="22"/>
        </w:rPr>
        <w:t xml:space="preserve">im już obecnie </w:t>
      </w:r>
      <w:r w:rsidRPr="000F5DDA">
        <w:rPr>
          <w:rFonts w:eastAsia="Calibri"/>
          <w:color w:val="000000"/>
          <w:szCs w:val="22"/>
        </w:rPr>
        <w:t>na świadomy wybór urządzeń</w:t>
      </w:r>
      <w:r>
        <w:rPr>
          <w:rFonts w:eastAsia="Calibri"/>
          <w:color w:val="000000"/>
          <w:szCs w:val="22"/>
        </w:rPr>
        <w:t xml:space="preserve"> odbiorczych</w:t>
      </w:r>
      <w:r w:rsidRPr="00656B67">
        <w:rPr>
          <w:rFonts w:eastAsia="Calibri"/>
          <w:color w:val="000000"/>
          <w:szCs w:val="22"/>
        </w:rPr>
        <w:t xml:space="preserve"> </w:t>
      </w:r>
      <w:r w:rsidRPr="000F5DDA">
        <w:rPr>
          <w:rFonts w:eastAsia="Calibri"/>
          <w:color w:val="000000"/>
          <w:szCs w:val="22"/>
        </w:rPr>
        <w:t>w ramach naturalnej wymiany sprzętu</w:t>
      </w:r>
      <w:r>
        <w:rPr>
          <w:rFonts w:eastAsia="Calibri"/>
          <w:color w:val="000000"/>
          <w:szCs w:val="22"/>
        </w:rPr>
        <w:t xml:space="preserve">. </w:t>
      </w:r>
      <w:r w:rsidRPr="000F5DDA">
        <w:rPr>
          <w:rFonts w:eastAsia="Calibri"/>
          <w:color w:val="000000"/>
          <w:szCs w:val="22"/>
        </w:rPr>
        <w:t xml:space="preserve">Informacja o </w:t>
      </w:r>
      <w:r>
        <w:rPr>
          <w:rFonts w:eastAsia="Calibri"/>
          <w:color w:val="000000"/>
          <w:szCs w:val="22"/>
        </w:rPr>
        <w:t xml:space="preserve">wymaganiach technicznych radiofonii cyfrowej </w:t>
      </w:r>
      <w:r w:rsidRPr="000F5DDA">
        <w:rPr>
          <w:rFonts w:eastAsia="Calibri"/>
          <w:color w:val="000000"/>
          <w:szCs w:val="22"/>
        </w:rPr>
        <w:t xml:space="preserve">pozwoli </w:t>
      </w:r>
      <w:r>
        <w:rPr>
          <w:rFonts w:eastAsia="Calibri"/>
          <w:color w:val="000000"/>
          <w:szCs w:val="22"/>
        </w:rPr>
        <w:t xml:space="preserve">tym samym </w:t>
      </w:r>
      <w:r w:rsidRPr="000F5DDA">
        <w:rPr>
          <w:rFonts w:eastAsia="Calibri"/>
          <w:color w:val="000000"/>
          <w:szCs w:val="22"/>
        </w:rPr>
        <w:t>na bardziej świadome decyzje zakupowe</w:t>
      </w:r>
      <w:r>
        <w:rPr>
          <w:rFonts w:eastAsia="Calibri"/>
          <w:color w:val="000000"/>
          <w:szCs w:val="22"/>
        </w:rPr>
        <w:t xml:space="preserve"> oraz przyczyni się do </w:t>
      </w:r>
      <w:r>
        <w:rPr>
          <w:rFonts w:eastAsia="Calibri"/>
          <w:color w:val="000000"/>
          <w:szCs w:val="22"/>
        </w:rPr>
        <w:lastRenderedPageBreak/>
        <w:t>wzrostu zakupu odbiorników radiofonii DAB+</w:t>
      </w:r>
      <w:r w:rsidRPr="000F5DDA">
        <w:rPr>
          <w:rFonts w:eastAsia="Calibri"/>
          <w:color w:val="000000"/>
          <w:szCs w:val="22"/>
        </w:rPr>
        <w:t xml:space="preserve">. </w:t>
      </w:r>
      <w:r w:rsidRPr="00C85CAA">
        <w:rPr>
          <w:rFonts w:eastAsia="Calibri"/>
          <w:color w:val="000000"/>
          <w:szCs w:val="22"/>
        </w:rPr>
        <w:t>Dopiero</w:t>
      </w:r>
      <w:r>
        <w:rPr>
          <w:rFonts w:eastAsia="Calibri"/>
          <w:color w:val="000000"/>
          <w:szCs w:val="22"/>
        </w:rPr>
        <w:t xml:space="preserve"> ewentualna</w:t>
      </w:r>
      <w:r w:rsidRPr="00C85CAA">
        <w:rPr>
          <w:rFonts w:eastAsia="Calibri"/>
          <w:color w:val="000000"/>
          <w:szCs w:val="22"/>
        </w:rPr>
        <w:t xml:space="preserve"> </w:t>
      </w:r>
      <w:r>
        <w:rPr>
          <w:rFonts w:eastAsia="Calibri"/>
          <w:color w:val="000000"/>
          <w:szCs w:val="22"/>
        </w:rPr>
        <w:t xml:space="preserve">decyzja o </w:t>
      </w:r>
      <w:r w:rsidRPr="00C85CAA">
        <w:rPr>
          <w:rFonts w:eastAsia="Calibri"/>
          <w:color w:val="000000"/>
          <w:szCs w:val="22"/>
        </w:rPr>
        <w:t>wyłącz</w:t>
      </w:r>
      <w:r>
        <w:rPr>
          <w:rFonts w:eastAsia="Calibri"/>
          <w:color w:val="000000"/>
          <w:szCs w:val="22"/>
        </w:rPr>
        <w:t>e</w:t>
      </w:r>
      <w:r w:rsidRPr="00C85CAA">
        <w:rPr>
          <w:rFonts w:eastAsia="Calibri"/>
          <w:color w:val="000000"/>
          <w:szCs w:val="22"/>
        </w:rPr>
        <w:t>ni</w:t>
      </w:r>
      <w:r>
        <w:rPr>
          <w:rFonts w:eastAsia="Calibri"/>
          <w:color w:val="000000"/>
          <w:szCs w:val="22"/>
        </w:rPr>
        <w:t>u</w:t>
      </w:r>
      <w:r w:rsidRPr="00C85CAA">
        <w:rPr>
          <w:rFonts w:eastAsia="Calibri"/>
          <w:color w:val="000000"/>
          <w:szCs w:val="22"/>
        </w:rPr>
        <w:t xml:space="preserve"> radiofonicznej sieci nadawczej </w:t>
      </w:r>
      <w:r>
        <w:rPr>
          <w:rFonts w:eastAsia="Calibri"/>
          <w:color w:val="000000"/>
          <w:szCs w:val="22"/>
        </w:rPr>
        <w:t>UKF FM będzie miała</w:t>
      </w:r>
      <w:r w:rsidRPr="00C85CAA">
        <w:rPr>
          <w:rFonts w:eastAsia="Calibri"/>
          <w:color w:val="000000"/>
          <w:szCs w:val="22"/>
        </w:rPr>
        <w:t xml:space="preserve"> wpływ na </w:t>
      </w:r>
      <w:r>
        <w:rPr>
          <w:rFonts w:eastAsia="Calibri"/>
          <w:color w:val="000000"/>
          <w:szCs w:val="22"/>
        </w:rPr>
        <w:t xml:space="preserve">sytuację </w:t>
      </w:r>
      <w:r w:rsidRPr="00C85CAA">
        <w:rPr>
          <w:rFonts w:eastAsia="Calibri"/>
          <w:color w:val="000000"/>
          <w:szCs w:val="22"/>
        </w:rPr>
        <w:t>konsumentów.</w:t>
      </w:r>
      <w:r w:rsidRPr="00ED49FF">
        <w:rPr>
          <w:rFonts w:eastAsia="Calibri"/>
          <w:color w:val="000000"/>
          <w:szCs w:val="22"/>
        </w:rPr>
        <w:t xml:space="preserve"> </w:t>
      </w:r>
    </w:p>
    <w:p w:rsidR="00BE3EB9" w:rsidRPr="000F5DDA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EA30D0">
        <w:rPr>
          <w:rFonts w:eastAsia="Calibri"/>
          <w:color w:val="000000"/>
          <w:szCs w:val="22"/>
        </w:rPr>
        <w:t xml:space="preserve">Projektowane przepisy zostały przeanalizowane pod kątem wpływu na małe i średnie przedsiębiorstwa. Regulacje zawarte w projekcie </w:t>
      </w:r>
      <w:r w:rsidR="00B253A3">
        <w:rPr>
          <w:rFonts w:eastAsia="Calibri"/>
          <w:color w:val="000000"/>
          <w:szCs w:val="22"/>
        </w:rPr>
        <w:t xml:space="preserve">rozporządzenia </w:t>
      </w:r>
      <w:r>
        <w:rPr>
          <w:rFonts w:eastAsia="Calibri"/>
          <w:color w:val="000000"/>
          <w:szCs w:val="22"/>
        </w:rPr>
        <w:t>nie będą miały</w:t>
      </w:r>
      <w:r w:rsidRPr="00EA30D0">
        <w:rPr>
          <w:rFonts w:eastAsia="Calibri"/>
          <w:color w:val="000000"/>
          <w:szCs w:val="22"/>
        </w:rPr>
        <w:t xml:space="preserve"> bezpośredniego wpływu </w:t>
      </w:r>
      <w:r>
        <w:rPr>
          <w:rFonts w:eastAsia="Calibri"/>
          <w:color w:val="000000"/>
          <w:szCs w:val="22"/>
        </w:rPr>
        <w:t xml:space="preserve">na funkcjonowanie przedsiębiorstw. </w:t>
      </w:r>
      <w:r w:rsidRPr="00EA30D0">
        <w:rPr>
          <w:rFonts w:eastAsia="Calibri"/>
          <w:color w:val="000000"/>
          <w:szCs w:val="22"/>
        </w:rPr>
        <w:t>Skutki ekonomiczne będą wynikać głównie z decyzji o zmianie standardu nadawania, a nie z doprecyzowania wymagań funkcjonalnych.</w:t>
      </w:r>
    </w:p>
    <w:p w:rsidR="00BE3EB9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 w:rsidRPr="000F5DDA">
        <w:rPr>
          <w:rFonts w:eastAsia="Calibri"/>
          <w:color w:val="000000"/>
          <w:szCs w:val="22"/>
        </w:rPr>
        <w:t xml:space="preserve">Przedmiotowe rozporządzenie jest zgodne ze stanem prawnym obowiązującym w </w:t>
      </w:r>
      <w:r>
        <w:rPr>
          <w:rFonts w:eastAsia="Calibri"/>
          <w:color w:val="000000"/>
          <w:szCs w:val="22"/>
        </w:rPr>
        <w:t>UE</w:t>
      </w:r>
      <w:r w:rsidRPr="000F5DDA">
        <w:rPr>
          <w:rFonts w:eastAsia="Calibri"/>
          <w:color w:val="000000"/>
          <w:szCs w:val="22"/>
        </w:rPr>
        <w:t xml:space="preserve">. </w:t>
      </w:r>
    </w:p>
    <w:p w:rsidR="00BE3EB9" w:rsidRPr="000F5DDA" w:rsidRDefault="00BE3EB9" w:rsidP="00BE3EB9">
      <w:pPr>
        <w:suppressAutoHyphens/>
        <w:spacing w:after="120"/>
        <w:jc w:val="both"/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>P</w:t>
      </w:r>
      <w:r w:rsidRPr="000F5DDA">
        <w:rPr>
          <w:rFonts w:eastAsia="Calibri"/>
          <w:color w:val="000000"/>
          <w:szCs w:val="22"/>
        </w:rPr>
        <w:t>rojekt rozporządzenia zawiera przepisy techniczne w rozumieniu rozporządzenia Rady Ministrów z dnia 23 grudnia 2002 r. w sprawie sposobu funkcjonowania krajowego systemu notyfikacji norm i aktów prawnych (Dz. U. poz. 2039 oraz z 2004 r. poz. 597), więc podlega obowiązkowi notyfikacji w trybie określonym we wskazanym rozporządzeniu.</w:t>
      </w:r>
    </w:p>
    <w:p w:rsidR="00BE3EB9" w:rsidRDefault="00BE3EB9" w:rsidP="00F37347">
      <w:pPr>
        <w:suppressAutoHyphens/>
        <w:spacing w:after="160"/>
        <w:jc w:val="both"/>
      </w:pPr>
      <w:r w:rsidRPr="00EA30D0">
        <w:t xml:space="preserve">Stosownie do postanowień art. 5 ustawy z dnia 7 lipca 2005 r. o działalności lobbingowej w procesie stanowienia prawa (Dz. U. z 2017 r. poz. 248), projekt </w:t>
      </w:r>
      <w:r>
        <w:t xml:space="preserve">rozporządzenia </w:t>
      </w:r>
      <w:r w:rsidRPr="00EA30D0">
        <w:t>zosta</w:t>
      </w:r>
      <w:r>
        <w:t>ł</w:t>
      </w:r>
      <w:r w:rsidRPr="00EA30D0">
        <w:t xml:space="preserve"> udostępniony w Biuletynie Informacji Publicznej</w:t>
      </w:r>
      <w:r w:rsidRPr="004269FF">
        <w:t xml:space="preserve"> na stronie podmiotowej Ministra Cyfryzacji</w:t>
      </w:r>
      <w:r w:rsidRPr="00EA30D0">
        <w:t>.</w:t>
      </w:r>
      <w:r w:rsidRPr="00673223">
        <w:rPr>
          <w:rFonts w:ascii="Calibri" w:eastAsiaTheme="minorHAnsi" w:hAnsi="Calibri" w:cstheme="minorBidi"/>
        </w:rPr>
        <w:t xml:space="preserve"> </w:t>
      </w:r>
      <w:r w:rsidRPr="00673223">
        <w:t xml:space="preserve">Nie odnotowano zgłoszeń </w:t>
      </w:r>
      <w:r>
        <w:t xml:space="preserve">lobbingowych </w:t>
      </w:r>
      <w:r w:rsidRPr="00673223">
        <w:t>zainteresowanych podmiotów</w:t>
      </w:r>
      <w:r>
        <w:t>.</w:t>
      </w:r>
    </w:p>
    <w:p w:rsidR="00BE3EB9" w:rsidRDefault="00BE3EB9" w:rsidP="00F37347">
      <w:pPr>
        <w:suppressAutoHyphens/>
        <w:spacing w:after="160"/>
        <w:jc w:val="both"/>
      </w:pPr>
      <w:r w:rsidRPr="00EA30D0">
        <w:t xml:space="preserve">Ponadto zgodnie z § 52 ust. 1 uchwały </w:t>
      </w:r>
      <w:r w:rsidR="00B253A3">
        <w:t>n</w:t>
      </w:r>
      <w:r w:rsidRPr="00EA30D0">
        <w:t xml:space="preserve">r 190 Rady Ministrów z dnia 29 października 2013 r. – Regulamin pracy Rady Ministrów (M.P. z 2016 r. </w:t>
      </w:r>
      <w:r w:rsidR="00B253A3">
        <w:t>poz. 1006</w:t>
      </w:r>
      <w:r w:rsidRPr="004269FF">
        <w:t xml:space="preserve">, z </w:t>
      </w:r>
      <w:proofErr w:type="spellStart"/>
      <w:r w:rsidRPr="004269FF">
        <w:t>późn</w:t>
      </w:r>
      <w:proofErr w:type="spellEnd"/>
      <w:r>
        <w:t xml:space="preserve">. </w:t>
      </w:r>
      <w:proofErr w:type="spellStart"/>
      <w:r w:rsidRPr="004269FF">
        <w:t>zm</w:t>
      </w:r>
      <w:proofErr w:type="spellEnd"/>
      <w:r w:rsidRPr="004269FF" w:rsidDel="004269FF">
        <w:t xml:space="preserve"> </w:t>
      </w:r>
      <w:r w:rsidRPr="00EA30D0">
        <w:t xml:space="preserve">), </w:t>
      </w:r>
      <w:r>
        <w:t xml:space="preserve">projekt rozporządzenia </w:t>
      </w:r>
      <w:r w:rsidRPr="00EA30D0">
        <w:t>zosta</w:t>
      </w:r>
      <w:r>
        <w:t>ł</w:t>
      </w:r>
      <w:r w:rsidRPr="00EA30D0">
        <w:t xml:space="preserve"> udostępniony w Biuletynie Informacji Publicznej na stronie podmiotowej Rządowego Centrum Legislacji, w serwisie Rządowy Proces Legislacyjny.</w:t>
      </w:r>
    </w:p>
    <w:p w:rsidR="00BE3EB9" w:rsidRPr="00110A34" w:rsidRDefault="00BE3EB9" w:rsidP="00F37347">
      <w:pPr>
        <w:suppressAutoHyphens/>
        <w:spacing w:after="160"/>
        <w:jc w:val="both"/>
      </w:pPr>
      <w:r w:rsidRPr="00110A34">
        <w:t xml:space="preserve">Termin 30 dni </w:t>
      </w:r>
      <w:r w:rsidR="00C679FA">
        <w:t>od dnia ogłoszenia przewidziany na</w:t>
      </w:r>
      <w:r w:rsidR="00B253A3">
        <w:t xml:space="preserve"> </w:t>
      </w:r>
      <w:r w:rsidRPr="00110A34">
        <w:t>wejście w życie rozporządzenia przyjęto</w:t>
      </w:r>
      <w:r w:rsidR="00C679FA">
        <w:t>,</w:t>
      </w:r>
      <w:r w:rsidRPr="00110A34">
        <w:t xml:space="preserve"> uwzględniając czas na wdrożenie </w:t>
      </w:r>
      <w:r w:rsidR="00C679FA">
        <w:t xml:space="preserve">przepisów </w:t>
      </w:r>
      <w:r w:rsidRPr="00110A34">
        <w:t>rozporządzenia przez producentów, dystrybutorów i sprzedawców</w:t>
      </w:r>
      <w:r>
        <w:t>,</w:t>
      </w:r>
      <w:r w:rsidRPr="00110A34">
        <w:t xml:space="preserve"> w celu umożliwienia świadomego prowadzenia do obrot</w:t>
      </w:r>
      <w:r>
        <w:t>u</w:t>
      </w:r>
      <w:r w:rsidRPr="00110A34">
        <w:t xml:space="preserve"> odbiorników radiowych spełniających warunki techniczne i eksploatacyjne oraz przygotowania informacji dla konsumentów.</w:t>
      </w:r>
    </w:p>
    <w:p w:rsidR="00BE3EB9" w:rsidRPr="00EA30D0" w:rsidRDefault="00BE3EB9" w:rsidP="00F37347">
      <w:pPr>
        <w:suppressAutoHyphens/>
        <w:spacing w:after="160"/>
        <w:jc w:val="both"/>
      </w:pPr>
    </w:p>
    <w:p w:rsidR="00BE3EB9" w:rsidRPr="00EA30D0" w:rsidRDefault="00BE3EB9" w:rsidP="00BE3EB9">
      <w:pPr>
        <w:suppressAutoHyphens/>
        <w:spacing w:after="160" w:line="259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9"/>
        <w:gridCol w:w="838"/>
        <w:gridCol w:w="382"/>
        <w:gridCol w:w="13"/>
        <w:gridCol w:w="350"/>
        <w:gridCol w:w="131"/>
        <w:gridCol w:w="157"/>
        <w:gridCol w:w="299"/>
        <w:gridCol w:w="472"/>
        <w:gridCol w:w="13"/>
        <w:gridCol w:w="91"/>
        <w:gridCol w:w="95"/>
        <w:gridCol w:w="248"/>
        <w:gridCol w:w="293"/>
        <w:gridCol w:w="176"/>
        <w:gridCol w:w="487"/>
        <w:gridCol w:w="53"/>
        <w:gridCol w:w="43"/>
        <w:gridCol w:w="355"/>
        <w:gridCol w:w="84"/>
        <w:gridCol w:w="339"/>
        <w:gridCol w:w="33"/>
        <w:gridCol w:w="217"/>
        <w:gridCol w:w="251"/>
        <w:gridCol w:w="262"/>
        <w:gridCol w:w="209"/>
        <w:gridCol w:w="488"/>
        <w:gridCol w:w="82"/>
        <w:gridCol w:w="954"/>
      </w:tblGrid>
      <w:tr w:rsidR="00BE3EB9" w:rsidRPr="00593B5F" w:rsidTr="00BE3EB9">
        <w:trPr>
          <w:trHeight w:val="1611"/>
        </w:trPr>
        <w:tc>
          <w:tcPr>
            <w:tcW w:w="3248" w:type="pct"/>
            <w:gridSpan w:val="17"/>
          </w:tcPr>
          <w:p w:rsidR="00BE3EB9" w:rsidRPr="00593B5F" w:rsidRDefault="00BE3EB9" w:rsidP="00E153CD">
            <w:pPr>
              <w:suppressAutoHyphens/>
              <w:spacing w:before="120"/>
              <w:ind w:hanging="45"/>
              <w:rPr>
                <w:color w:val="000000"/>
              </w:rPr>
            </w:pPr>
            <w:bookmarkStart w:id="32" w:name="t1"/>
            <w:r w:rsidRPr="00593B5F">
              <w:rPr>
                <w:b/>
                <w:color w:val="000000"/>
              </w:rPr>
              <w:lastRenderedPageBreak/>
              <w:t>Nazwa projektu</w:t>
            </w:r>
          </w:p>
          <w:p w:rsidR="00BE3EB9" w:rsidRPr="00BB1A14" w:rsidRDefault="00BE3EB9" w:rsidP="00E153CD">
            <w:pPr>
              <w:spacing w:before="240"/>
            </w:pPr>
            <w:r>
              <w:rPr>
                <w:color w:val="000000"/>
              </w:rPr>
              <w:t>Rozporządzenie</w:t>
            </w:r>
            <w:r w:rsidRPr="00BB1A14">
              <w:rPr>
                <w:color w:val="000000"/>
              </w:rPr>
              <w:t xml:space="preserve"> Ministra Cyfryzacji </w:t>
            </w:r>
            <w:r w:rsidRPr="00BB1A14">
              <w:rPr>
                <w:bCs/>
              </w:rPr>
              <w:t>w sprawie wymagań technicznych i eksploatacyjnych dla</w:t>
            </w:r>
            <w:r w:rsidRPr="00BB1A14">
              <w:rPr>
                <w:b/>
                <w:bCs/>
              </w:rPr>
              <w:t xml:space="preserve"> </w:t>
            </w:r>
            <w:r w:rsidRPr="00BB1A14">
              <w:t>urządzeń konsumenckich służących do odbioru cyfrowych transmisji radiofonicznych</w:t>
            </w:r>
          </w:p>
          <w:p w:rsidR="00BE3EB9" w:rsidRDefault="00BE3EB9" w:rsidP="00E153CD">
            <w:pPr>
              <w:suppressAutoHyphens/>
              <w:spacing w:before="120"/>
              <w:ind w:hanging="45"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spacing w:before="120"/>
              <w:ind w:hanging="45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t>Ministerstwo wiodące i ministerstwa współpracujące</w:t>
            </w:r>
          </w:p>
          <w:bookmarkEnd w:id="32"/>
          <w:p w:rsidR="00BE3EB9" w:rsidRPr="00593B5F" w:rsidRDefault="00BE3EB9" w:rsidP="00E153CD">
            <w:pPr>
              <w:suppressAutoHyphens/>
              <w:ind w:hanging="34"/>
              <w:rPr>
                <w:color w:val="000000"/>
              </w:rPr>
            </w:pPr>
            <w:r w:rsidRPr="00593B5F">
              <w:rPr>
                <w:color w:val="000000"/>
              </w:rPr>
              <w:t>Ministerstwo Cyfryzacji</w:t>
            </w:r>
          </w:p>
          <w:p w:rsidR="00BE3EB9" w:rsidRPr="00593B5F" w:rsidRDefault="00BE3EB9" w:rsidP="00E153CD">
            <w:pPr>
              <w:suppressAutoHyphens/>
              <w:rPr>
                <w:b/>
              </w:rPr>
            </w:pPr>
          </w:p>
          <w:p w:rsidR="00BE3EB9" w:rsidRPr="00593B5F" w:rsidRDefault="00BE3EB9" w:rsidP="00E153CD">
            <w:pPr>
              <w:suppressAutoHyphens/>
              <w:rPr>
                <w:b/>
              </w:rPr>
            </w:pPr>
            <w:r w:rsidRPr="00593B5F">
              <w:rPr>
                <w:b/>
              </w:rPr>
              <w:t>Osoba odpowiedzialna za projekt w randze Ministra, Sekretarz</w:t>
            </w:r>
            <w:r>
              <w:rPr>
                <w:b/>
              </w:rPr>
              <w:t>a Stanu lub Podsekretarza Stanu:</w:t>
            </w:r>
          </w:p>
          <w:p w:rsidR="00BE3EB9" w:rsidRPr="008E577A" w:rsidRDefault="00BE3EB9" w:rsidP="00E153CD">
            <w:pPr>
              <w:suppressAutoHyphens/>
            </w:pPr>
            <w:r w:rsidRPr="008E577A">
              <w:t>Pani Wanda Buk – Podsekretarz Stanu w MC</w:t>
            </w:r>
          </w:p>
          <w:p w:rsidR="00BE3EB9" w:rsidRDefault="00BE3EB9" w:rsidP="00E153CD">
            <w:pPr>
              <w:suppressAutoHyphens/>
              <w:spacing w:before="120"/>
              <w:ind w:hanging="45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t>Kontakt do opiekuna merytorycznego projektu</w:t>
            </w:r>
            <w:r>
              <w:rPr>
                <w:b/>
                <w:color w:val="000000"/>
              </w:rPr>
              <w:t>:</w:t>
            </w:r>
          </w:p>
          <w:p w:rsidR="00BE3EB9" w:rsidRPr="00593B5F" w:rsidRDefault="00BE3EB9" w:rsidP="00E153CD">
            <w:pPr>
              <w:suppressAutoHyphens/>
              <w:ind w:hanging="34"/>
              <w:rPr>
                <w:color w:val="000000"/>
              </w:rPr>
            </w:pPr>
            <w:r>
              <w:rPr>
                <w:color w:val="000000"/>
              </w:rPr>
              <w:t>Pan Rafał Radłowski, t</w:t>
            </w:r>
            <w:r w:rsidRPr="00593B5F">
              <w:rPr>
                <w:color w:val="000000"/>
              </w:rPr>
              <w:t>el</w:t>
            </w:r>
            <w:r>
              <w:rPr>
                <w:color w:val="000000"/>
              </w:rPr>
              <w:t>.</w:t>
            </w:r>
            <w:r w:rsidRPr="00593B5F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22 245 58 09  </w:t>
            </w:r>
          </w:p>
        </w:tc>
        <w:tc>
          <w:tcPr>
            <w:tcW w:w="1752" w:type="pct"/>
            <w:gridSpan w:val="1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b/>
              </w:rPr>
            </w:pPr>
            <w:r w:rsidRPr="00593B5F">
              <w:rPr>
                <w:b/>
              </w:rPr>
              <w:t>Data sporządzenia</w:t>
            </w:r>
            <w:r w:rsidRPr="00593B5F">
              <w:rPr>
                <w:b/>
              </w:rPr>
              <w:br/>
            </w:r>
            <w:r w:rsidR="001C61AF">
              <w:t>11.09</w:t>
            </w:r>
            <w:r>
              <w:t>.</w:t>
            </w:r>
            <w:r w:rsidRPr="00593B5F">
              <w:t>201</w:t>
            </w:r>
            <w:r>
              <w:t>9</w:t>
            </w:r>
            <w:r w:rsidRPr="00593B5F">
              <w:t xml:space="preserve"> r.</w:t>
            </w:r>
          </w:p>
          <w:p w:rsidR="00BE3EB9" w:rsidRPr="00593B5F" w:rsidRDefault="00BE3EB9" w:rsidP="00E153CD">
            <w:pPr>
              <w:suppressAutoHyphens/>
              <w:rPr>
                <w:b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b/>
              </w:rPr>
            </w:pPr>
            <w:r w:rsidRPr="00593B5F">
              <w:rPr>
                <w:b/>
              </w:rPr>
              <w:t xml:space="preserve">Źródło: </w:t>
            </w:r>
            <w:bookmarkStart w:id="33" w:name="Lista1"/>
          </w:p>
          <w:bookmarkEnd w:id="33"/>
          <w:p w:rsidR="00BE3EB9" w:rsidRPr="00593B5F" w:rsidRDefault="00BE3EB9" w:rsidP="00E153CD">
            <w:pPr>
              <w:suppressAutoHyphens/>
            </w:pPr>
            <w:r w:rsidRPr="00593B5F">
              <w:t xml:space="preserve">Art. </w:t>
            </w:r>
            <w:r>
              <w:t>132</w:t>
            </w:r>
            <w:r w:rsidRPr="00593B5F">
              <w:t xml:space="preserve"> ust. </w:t>
            </w:r>
            <w:r>
              <w:t>4</w:t>
            </w:r>
            <w:r w:rsidRPr="00593B5F">
              <w:t xml:space="preserve"> ustawy z dnia 16 lipca 2004 r. </w:t>
            </w:r>
            <w:r>
              <w:t>–</w:t>
            </w:r>
            <w:r w:rsidRPr="00593B5F">
              <w:t xml:space="preserve"> Prawo telekomunikacyjne (Dz. U. </w:t>
            </w:r>
            <w:r w:rsidRPr="00257B8B">
              <w:t>z 2018 r. poz. 1954</w:t>
            </w:r>
            <w:r>
              <w:t xml:space="preserve">, z </w:t>
            </w:r>
            <w:proofErr w:type="spellStart"/>
            <w:r>
              <w:t>późn</w:t>
            </w:r>
            <w:proofErr w:type="spellEnd"/>
            <w:r>
              <w:t>. zm.</w:t>
            </w:r>
            <w:r w:rsidRPr="00593B5F">
              <w:t>)</w:t>
            </w:r>
          </w:p>
          <w:p w:rsidR="00BE3EB9" w:rsidRPr="00593B5F" w:rsidRDefault="00BE3EB9" w:rsidP="00E153CD">
            <w:pPr>
              <w:suppressAutoHyphens/>
            </w:pPr>
          </w:p>
          <w:p w:rsidR="00BE3EB9" w:rsidRDefault="00BE3EB9" w:rsidP="00E153CD">
            <w:pPr>
              <w:suppressAutoHyphens/>
              <w:spacing w:before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w wykazie prac M</w:t>
            </w:r>
            <w:r w:rsidRPr="007E26E4"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:</w:t>
            </w:r>
          </w:p>
          <w:p w:rsidR="00BE3EB9" w:rsidRPr="00593B5F" w:rsidRDefault="00BE3EB9" w:rsidP="00E153CD">
            <w:pPr>
              <w:suppressAutoHyphens/>
              <w:spacing w:before="120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BE3EB9" w:rsidRPr="00593B5F" w:rsidRDefault="00BE3EB9" w:rsidP="00E153CD">
            <w:pPr>
              <w:suppressAutoHyphens/>
              <w:ind w:left="57"/>
              <w:jc w:val="center"/>
              <w:rPr>
                <w:b/>
                <w:color w:val="FFFFFF"/>
              </w:rPr>
            </w:pPr>
            <w:r w:rsidRPr="00593B5F">
              <w:rPr>
                <w:b/>
                <w:color w:val="FFFFFF"/>
              </w:rPr>
              <w:t>OCENA SKUTKÓW REGULACJI</w:t>
            </w:r>
          </w:p>
        </w:tc>
      </w:tr>
      <w:tr w:rsidR="00BE3EB9" w:rsidRPr="00593B5F" w:rsidTr="00BE3EB9">
        <w:trPr>
          <w:trHeight w:val="333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</w:rPr>
            </w:pPr>
            <w:r w:rsidRPr="00593B5F">
              <w:rPr>
                <w:b/>
              </w:rPr>
              <w:t>Jaki problem jest rozwiązywany?</w:t>
            </w:r>
            <w:bookmarkStart w:id="34" w:name="Wybór1"/>
            <w:bookmarkEnd w:id="34"/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BE3EB9" w:rsidRDefault="00BE3EB9" w:rsidP="00E153CD">
            <w:pPr>
              <w:suppressAutoHyphens/>
              <w:spacing w:after="120"/>
              <w:jc w:val="both"/>
            </w:pPr>
            <w:r w:rsidRPr="00177EBF">
              <w:t>Projektowane rozporządzenie określa wymagania techniczne i eksploatacyjne</w:t>
            </w:r>
            <w:r>
              <w:t xml:space="preserve"> dla </w:t>
            </w:r>
            <w:r w:rsidRPr="00EA166A">
              <w:t>odbiornik</w:t>
            </w:r>
            <w:r>
              <w:t>ów</w:t>
            </w:r>
            <w:r w:rsidRPr="00EA166A">
              <w:t xml:space="preserve"> </w:t>
            </w:r>
            <w:r>
              <w:t xml:space="preserve">służących </w:t>
            </w:r>
            <w:r w:rsidRPr="00EA166A">
              <w:t xml:space="preserve">do odbioru usług radiofonii cyfrowej nadawanych w systemie DAB+ drogą naziemną bezprzewodową lub kablową w paśmie III VHF </w:t>
            </w:r>
            <w:r>
              <w:t>(174</w:t>
            </w:r>
            <w:r w:rsidR="00B76DBA" w:rsidRPr="00B76DBA">
              <w:t>–</w:t>
            </w:r>
            <w:r>
              <w:t xml:space="preserve">240 MHz) </w:t>
            </w:r>
            <w:r w:rsidRPr="00EA166A">
              <w:t>w Polsce.</w:t>
            </w:r>
          </w:p>
          <w:p w:rsidR="00BE3EB9" w:rsidRPr="0066439A" w:rsidRDefault="00BE3EB9" w:rsidP="00E153CD">
            <w:pPr>
              <w:suppressAutoHyphens/>
              <w:spacing w:after="120"/>
              <w:jc w:val="both"/>
              <w:rPr>
                <w:rFonts w:eastAsia="Calibri"/>
                <w:color w:val="000000"/>
                <w:szCs w:val="22"/>
              </w:rPr>
            </w:pPr>
            <w:r>
              <w:rPr>
                <w:rFonts w:eastAsia="Calibri"/>
                <w:color w:val="000000"/>
                <w:szCs w:val="22"/>
              </w:rPr>
              <w:t>Wprowadzane rozwiązania</w:t>
            </w:r>
            <w:r w:rsidRPr="00370091">
              <w:rPr>
                <w:rFonts w:eastAsia="Calibri"/>
                <w:color w:val="000000"/>
                <w:szCs w:val="22"/>
              </w:rPr>
              <w:t xml:space="preserve"> </w:t>
            </w:r>
            <w:r>
              <w:rPr>
                <w:rFonts w:eastAsia="Calibri"/>
                <w:color w:val="000000"/>
                <w:szCs w:val="22"/>
              </w:rPr>
              <w:t xml:space="preserve">wykorzystują wnioski z </w:t>
            </w:r>
            <w:r w:rsidRPr="00370091">
              <w:rPr>
                <w:rFonts w:eastAsia="Calibri"/>
                <w:color w:val="000000"/>
                <w:szCs w:val="22"/>
              </w:rPr>
              <w:t>zalecenia Digital</w:t>
            </w:r>
            <w:r>
              <w:rPr>
                <w:rFonts w:eastAsia="Calibri"/>
                <w:color w:val="000000"/>
                <w:szCs w:val="22"/>
              </w:rPr>
              <w:t xml:space="preserve"> Radio </w:t>
            </w:r>
            <w:proofErr w:type="spellStart"/>
            <w:r>
              <w:rPr>
                <w:rFonts w:eastAsia="Calibri"/>
                <w:color w:val="000000"/>
                <w:szCs w:val="22"/>
              </w:rPr>
              <w:t>Receiver</w:t>
            </w:r>
            <w:proofErr w:type="spellEnd"/>
            <w:r>
              <w:rPr>
                <w:rFonts w:eastAsia="Calibri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Cs w:val="22"/>
              </w:rPr>
              <w:t>Profiles</w:t>
            </w:r>
            <w:proofErr w:type="spellEnd"/>
            <w:r>
              <w:rPr>
                <w:rFonts w:eastAsia="Calibri"/>
                <w:color w:val="000000"/>
                <w:szCs w:val="22"/>
              </w:rPr>
              <w:t xml:space="preserve"> wydanego przez</w:t>
            </w:r>
            <w:r w:rsidRPr="00370091">
              <w:rPr>
                <w:rFonts w:eastAsia="Calibri"/>
                <w:color w:val="000000"/>
                <w:szCs w:val="22"/>
              </w:rPr>
              <w:t xml:space="preserve"> </w:t>
            </w:r>
            <w:proofErr w:type="spellStart"/>
            <w:r w:rsidRPr="00370091">
              <w:rPr>
                <w:rFonts w:eastAsia="Calibri"/>
                <w:color w:val="000000"/>
                <w:szCs w:val="22"/>
              </w:rPr>
              <w:t>WorldDAB</w:t>
            </w:r>
            <w:proofErr w:type="spellEnd"/>
            <w:r w:rsidRPr="00370091">
              <w:rPr>
                <w:rFonts w:eastAsia="Calibri"/>
                <w:color w:val="000000"/>
                <w:szCs w:val="22"/>
              </w:rPr>
              <w:t xml:space="preserve"> Forum </w:t>
            </w:r>
            <w:r>
              <w:rPr>
                <w:rFonts w:eastAsia="Calibri"/>
                <w:color w:val="000000"/>
                <w:szCs w:val="22"/>
              </w:rPr>
              <w:t xml:space="preserve">w dniu </w:t>
            </w:r>
            <w:r w:rsidRPr="00370091">
              <w:rPr>
                <w:rFonts w:eastAsia="Calibri"/>
                <w:color w:val="000000"/>
                <w:szCs w:val="22"/>
              </w:rPr>
              <w:t xml:space="preserve">16 marca 2016 </w:t>
            </w:r>
            <w:r>
              <w:rPr>
                <w:rFonts w:eastAsia="Calibri"/>
                <w:color w:val="000000"/>
                <w:szCs w:val="22"/>
              </w:rPr>
              <w:t xml:space="preserve">r. z uwzględnieniem </w:t>
            </w:r>
            <w:r w:rsidRPr="00370091">
              <w:rPr>
                <w:rFonts w:eastAsia="Calibri"/>
                <w:color w:val="000000"/>
                <w:szCs w:val="22"/>
              </w:rPr>
              <w:t>now</w:t>
            </w:r>
            <w:r>
              <w:rPr>
                <w:rFonts w:eastAsia="Calibri"/>
                <w:color w:val="000000"/>
                <w:szCs w:val="22"/>
              </w:rPr>
              <w:t>ych</w:t>
            </w:r>
            <w:r w:rsidRPr="00370091">
              <w:rPr>
                <w:rFonts w:eastAsia="Calibri"/>
                <w:color w:val="000000"/>
                <w:szCs w:val="22"/>
              </w:rPr>
              <w:t xml:space="preserve"> w</w:t>
            </w:r>
            <w:r>
              <w:rPr>
                <w:rFonts w:eastAsia="Calibri"/>
                <w:color w:val="000000"/>
                <w:szCs w:val="22"/>
              </w:rPr>
              <w:t>ersji standardów i doświadczeń</w:t>
            </w:r>
            <w:r w:rsidRPr="00370091">
              <w:rPr>
                <w:rFonts w:eastAsia="Calibri"/>
                <w:color w:val="000000"/>
                <w:szCs w:val="22"/>
              </w:rPr>
              <w:t xml:space="preserve"> z kilkuletniej emisji DAB+ w Polsce. 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</w:rPr>
            </w:pPr>
            <w:r w:rsidRPr="00593B5F">
              <w:rPr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auto"/>
          </w:tcPr>
          <w:p w:rsidR="00BE3EB9" w:rsidRDefault="00BE3EB9" w:rsidP="00E153CD">
            <w:pPr>
              <w:suppressAutoHyphens/>
              <w:jc w:val="both"/>
              <w:rPr>
                <w:color w:val="000000"/>
                <w:spacing w:val="-2"/>
              </w:rPr>
            </w:pPr>
            <w:r w:rsidRPr="001C10C1">
              <w:rPr>
                <w:color w:val="000000"/>
                <w:spacing w:val="-2"/>
              </w:rPr>
              <w:t xml:space="preserve">Projektowane rozporządzenie </w:t>
            </w:r>
            <w:r>
              <w:rPr>
                <w:color w:val="000000"/>
                <w:spacing w:val="-2"/>
              </w:rPr>
              <w:t xml:space="preserve">jest działaniem przygotowującym do skutecznego wprowadzenia radiofonii DAB+, które będzie możliwe, jeśli konsumenci będą wyposażeni w odbiorniki radiofonii DAB+, spełniające </w:t>
            </w:r>
            <w:r w:rsidR="00B76DBA">
              <w:rPr>
                <w:color w:val="000000"/>
                <w:spacing w:val="-2"/>
              </w:rPr>
              <w:t xml:space="preserve">wymagania określone </w:t>
            </w:r>
            <w:r>
              <w:rPr>
                <w:color w:val="000000"/>
                <w:spacing w:val="-2"/>
              </w:rPr>
              <w:t>w projektowanym rozporządzeniu.</w:t>
            </w: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Ponadto, projektowane rozporządzenie pozwoli na uporządkowanie rynku odbiorników. Projektowane rozporządzenie uwzględnia rozwiązania techniczne i eksploatacyjne </w:t>
            </w:r>
            <w:r w:rsidRPr="007E4D94">
              <w:rPr>
                <w:color w:val="000000"/>
                <w:spacing w:val="-2"/>
              </w:rPr>
              <w:t xml:space="preserve">stosowane już </w:t>
            </w:r>
            <w:r>
              <w:rPr>
                <w:color w:val="000000"/>
                <w:spacing w:val="-2"/>
              </w:rPr>
              <w:t xml:space="preserve">obecnie </w:t>
            </w:r>
            <w:r w:rsidRPr="007E4D94">
              <w:rPr>
                <w:color w:val="000000"/>
                <w:spacing w:val="-2"/>
              </w:rPr>
              <w:t>przez producentów sprzętu</w:t>
            </w:r>
            <w:r>
              <w:rPr>
                <w:color w:val="000000"/>
                <w:spacing w:val="-2"/>
              </w:rPr>
              <w:t>.</w:t>
            </w:r>
          </w:p>
        </w:tc>
      </w:tr>
      <w:tr w:rsidR="00BE3EB9" w:rsidRPr="00593B5F" w:rsidTr="00BE3EB9">
        <w:trPr>
          <w:trHeight w:val="307"/>
        </w:trPr>
        <w:tc>
          <w:tcPr>
            <w:tcW w:w="5000" w:type="pct"/>
            <w:gridSpan w:val="29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</w:rPr>
            </w:pPr>
            <w:r w:rsidRPr="00593B5F">
              <w:rPr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593B5F">
              <w:rPr>
                <w:b/>
                <w:color w:val="000000"/>
              </w:rPr>
              <w:t>?</w:t>
            </w:r>
            <w:r w:rsidRPr="00593B5F">
              <w:rPr>
                <w:i/>
                <w:color w:val="000000"/>
              </w:rPr>
              <w:t xml:space="preserve"> </w:t>
            </w:r>
          </w:p>
        </w:tc>
      </w:tr>
      <w:tr w:rsidR="00BE3EB9" w:rsidRPr="00593B5F" w:rsidTr="00BE3EB9">
        <w:trPr>
          <w:trHeight w:val="359"/>
        </w:trPr>
        <w:tc>
          <w:tcPr>
            <w:tcW w:w="5000" w:type="pct"/>
            <w:gridSpan w:val="29"/>
            <w:shd w:val="clear" w:color="auto" w:fill="FFFFFF" w:themeFill="background1"/>
            <w:vAlign w:val="center"/>
          </w:tcPr>
          <w:p w:rsidR="00BE3EB9" w:rsidRPr="00885440" w:rsidRDefault="00BE3EB9" w:rsidP="00E153CD">
            <w:pPr>
              <w:suppressAutoHyphens/>
              <w:jc w:val="both"/>
              <w:rPr>
                <w:color w:val="000000"/>
                <w:spacing w:val="-2"/>
              </w:rPr>
            </w:pPr>
            <w:r w:rsidRPr="00885440">
              <w:rPr>
                <w:color w:val="000000"/>
                <w:spacing w:val="-2"/>
              </w:rPr>
              <w:t>R</w:t>
            </w:r>
            <w:r>
              <w:rPr>
                <w:color w:val="000000"/>
                <w:spacing w:val="-2"/>
              </w:rPr>
              <w:t>egularne nadawanie programów r</w:t>
            </w:r>
            <w:r w:rsidRPr="00885440">
              <w:rPr>
                <w:color w:val="000000"/>
                <w:spacing w:val="-2"/>
              </w:rPr>
              <w:t>adiofoni</w:t>
            </w:r>
            <w:r>
              <w:rPr>
                <w:color w:val="000000"/>
                <w:spacing w:val="-2"/>
              </w:rPr>
              <w:t>i</w:t>
            </w:r>
            <w:r w:rsidRPr="00885440">
              <w:rPr>
                <w:color w:val="000000"/>
                <w:spacing w:val="-2"/>
              </w:rPr>
              <w:t xml:space="preserve"> DAB+ został</w:t>
            </w:r>
            <w:r>
              <w:rPr>
                <w:color w:val="000000"/>
                <w:spacing w:val="-2"/>
              </w:rPr>
              <w:t>o</w:t>
            </w:r>
            <w:r w:rsidRPr="00885440">
              <w:rPr>
                <w:color w:val="000000"/>
                <w:spacing w:val="-2"/>
              </w:rPr>
              <w:t xml:space="preserve"> wprowadzan</w:t>
            </w:r>
            <w:r>
              <w:rPr>
                <w:color w:val="000000"/>
                <w:spacing w:val="-2"/>
              </w:rPr>
              <w:t>e</w:t>
            </w:r>
            <w:r w:rsidRPr="00885440">
              <w:rPr>
                <w:color w:val="000000"/>
                <w:spacing w:val="-2"/>
              </w:rPr>
              <w:t xml:space="preserve"> w następujących państwach: Australia, Austria, Belgia Czechy, Dania, Francja Niemcy, Gibraltar, Watykan, Irlandia, Włochy, Kuwejt, Malta, Monako, Holandia, Norwegia, Polska, Słowenia, Korea Południowa, Hiszpania, Szwecja, Szwajcaria, Wielka Brytania (https://www.worlddab.org/country-information)</w:t>
            </w:r>
            <w:r>
              <w:rPr>
                <w:color w:val="000000"/>
                <w:spacing w:val="-2"/>
              </w:rPr>
              <w:t>.</w:t>
            </w:r>
          </w:p>
          <w:p w:rsidR="00BE3EB9" w:rsidRPr="00593B5F" w:rsidRDefault="00BE3EB9" w:rsidP="00E153CD">
            <w:pPr>
              <w:suppressAutoHyphens/>
              <w:jc w:val="both"/>
              <w:rPr>
                <w:b/>
                <w:color w:val="000000"/>
              </w:rPr>
            </w:pPr>
            <w:r w:rsidRPr="00885440">
              <w:rPr>
                <w:color w:val="000000"/>
                <w:spacing w:val="-2"/>
              </w:rPr>
              <w:t>Dodatkowo</w:t>
            </w:r>
            <w:r>
              <w:rPr>
                <w:color w:val="000000"/>
                <w:spacing w:val="-2"/>
              </w:rPr>
              <w:t>,</w:t>
            </w:r>
            <w:r w:rsidRPr="00885440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w </w:t>
            </w:r>
            <w:r w:rsidRPr="00885440">
              <w:rPr>
                <w:color w:val="000000"/>
                <w:spacing w:val="-2"/>
              </w:rPr>
              <w:t xml:space="preserve">prawie 30 krajach prowadzone </w:t>
            </w:r>
            <w:r>
              <w:rPr>
                <w:color w:val="000000"/>
                <w:spacing w:val="-2"/>
              </w:rPr>
              <w:t>jest próbne nadawanie</w:t>
            </w:r>
            <w:r w:rsidRPr="00885440">
              <w:rPr>
                <w:color w:val="000000"/>
                <w:spacing w:val="-2"/>
              </w:rPr>
              <w:t xml:space="preserve"> radiofonii DAB</w:t>
            </w:r>
            <w:r>
              <w:rPr>
                <w:color w:val="000000"/>
                <w:spacing w:val="-2"/>
              </w:rPr>
              <w:t>+</w:t>
            </w:r>
            <w:r w:rsidRPr="00885440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oraz podejmowane są</w:t>
            </w:r>
            <w:r w:rsidRPr="00885440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działania regulacyjne w zakresie radia cyfrowego,</w:t>
            </w:r>
            <w:r w:rsidRPr="00885440">
              <w:rPr>
                <w:color w:val="000000"/>
                <w:spacing w:val="-2"/>
              </w:rPr>
              <w:t xml:space="preserve"> mające na celu wprowadzenie stałych emisji</w:t>
            </w:r>
            <w:r>
              <w:rPr>
                <w:color w:val="000000"/>
                <w:spacing w:val="-2"/>
              </w:rPr>
              <w:t xml:space="preserve"> DAB+</w:t>
            </w:r>
            <w:r w:rsidRPr="00885440">
              <w:rPr>
                <w:color w:val="000000"/>
                <w:spacing w:val="-2"/>
              </w:rPr>
              <w:t>.</w:t>
            </w:r>
          </w:p>
        </w:tc>
      </w:tr>
      <w:tr w:rsidR="00BE3EB9" w:rsidRPr="00593B5F" w:rsidTr="00BE3EB9">
        <w:trPr>
          <w:trHeight w:val="359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t>Podmioty, na które oddziałuje projekt</w:t>
            </w:r>
          </w:p>
        </w:tc>
      </w:tr>
      <w:tr w:rsidR="00BE3EB9" w:rsidRPr="00593B5F" w:rsidTr="00BE3EB9">
        <w:trPr>
          <w:trHeight w:val="142"/>
        </w:trPr>
        <w:tc>
          <w:tcPr>
            <w:tcW w:w="1307" w:type="pct"/>
            <w:gridSpan w:val="2"/>
            <w:shd w:val="clear" w:color="auto" w:fill="auto"/>
          </w:tcPr>
          <w:p w:rsidR="00BE3EB9" w:rsidRPr="00593B5F" w:rsidRDefault="00BE3EB9" w:rsidP="00E153CD">
            <w:pPr>
              <w:suppressAutoHyphens/>
              <w:spacing w:before="40"/>
              <w:jc w:val="center"/>
              <w:rPr>
                <w:color w:val="000000"/>
                <w:spacing w:val="-2"/>
              </w:rPr>
            </w:pPr>
            <w:r w:rsidRPr="00593B5F">
              <w:rPr>
                <w:color w:val="000000"/>
                <w:spacing w:val="-2"/>
              </w:rPr>
              <w:t>Grupa</w:t>
            </w:r>
          </w:p>
        </w:tc>
        <w:tc>
          <w:tcPr>
            <w:tcW w:w="1123" w:type="pct"/>
            <w:gridSpan w:val="9"/>
            <w:shd w:val="clear" w:color="auto" w:fill="auto"/>
          </w:tcPr>
          <w:p w:rsidR="00BE3EB9" w:rsidRPr="00593B5F" w:rsidRDefault="00BE3EB9" w:rsidP="00E153CD">
            <w:pPr>
              <w:suppressAutoHyphens/>
              <w:spacing w:before="40"/>
              <w:jc w:val="center"/>
              <w:rPr>
                <w:color w:val="000000"/>
                <w:spacing w:val="-2"/>
              </w:rPr>
            </w:pPr>
            <w:r w:rsidRPr="00593B5F">
              <w:rPr>
                <w:color w:val="000000"/>
                <w:spacing w:val="-2"/>
              </w:rPr>
              <w:t>Wielkość</w:t>
            </w:r>
          </w:p>
        </w:tc>
        <w:tc>
          <w:tcPr>
            <w:tcW w:w="1468" w:type="pct"/>
            <w:gridSpan w:val="12"/>
            <w:shd w:val="clear" w:color="auto" w:fill="auto"/>
          </w:tcPr>
          <w:p w:rsidR="00BE3EB9" w:rsidRPr="00593B5F" w:rsidRDefault="00BE3EB9" w:rsidP="00E153CD">
            <w:pPr>
              <w:suppressAutoHyphens/>
              <w:spacing w:before="40"/>
              <w:jc w:val="center"/>
              <w:rPr>
                <w:color w:val="000000"/>
                <w:spacing w:val="-2"/>
              </w:rPr>
            </w:pPr>
            <w:r w:rsidRPr="00593B5F">
              <w:rPr>
                <w:color w:val="000000"/>
                <w:spacing w:val="-2"/>
              </w:rPr>
              <w:t>Źródło danych</w:t>
            </w:r>
            <w:r w:rsidRPr="00593B5F" w:rsidDel="00260F33">
              <w:rPr>
                <w:color w:val="000000"/>
                <w:spacing w:val="-2"/>
              </w:rPr>
              <w:t xml:space="preserve"> </w:t>
            </w:r>
          </w:p>
        </w:tc>
        <w:tc>
          <w:tcPr>
            <w:tcW w:w="1103" w:type="pct"/>
            <w:gridSpan w:val="6"/>
            <w:shd w:val="clear" w:color="auto" w:fill="auto"/>
          </w:tcPr>
          <w:p w:rsidR="00BE3EB9" w:rsidRPr="00593B5F" w:rsidRDefault="00BE3EB9" w:rsidP="00E153CD">
            <w:pPr>
              <w:suppressAutoHyphens/>
              <w:spacing w:before="40"/>
              <w:jc w:val="center"/>
              <w:rPr>
                <w:color w:val="000000"/>
                <w:spacing w:val="-2"/>
              </w:rPr>
            </w:pPr>
            <w:r w:rsidRPr="00593B5F">
              <w:rPr>
                <w:color w:val="000000"/>
                <w:spacing w:val="-2"/>
              </w:rPr>
              <w:t>Oddziaływanie</w:t>
            </w:r>
          </w:p>
        </w:tc>
      </w:tr>
      <w:tr w:rsidR="00BE3EB9" w:rsidRPr="00593B5F" w:rsidTr="00BE3EB9">
        <w:trPr>
          <w:trHeight w:val="142"/>
        </w:trPr>
        <w:tc>
          <w:tcPr>
            <w:tcW w:w="1307" w:type="pct"/>
            <w:gridSpan w:val="2"/>
            <w:shd w:val="clear" w:color="auto" w:fill="auto"/>
          </w:tcPr>
          <w:p w:rsidR="00BE3EB9" w:rsidRPr="00593B5F" w:rsidRDefault="00BE3EB9" w:rsidP="00E153CD">
            <w:pPr>
              <w:suppressAutoHyphens/>
              <w:spacing w:before="120"/>
            </w:pPr>
            <w:r>
              <w:t>Producenci odbiorników radiofonii DAB+</w:t>
            </w:r>
          </w:p>
        </w:tc>
        <w:tc>
          <w:tcPr>
            <w:tcW w:w="1123" w:type="pct"/>
            <w:gridSpan w:val="9"/>
            <w:shd w:val="clear" w:color="auto" w:fill="auto"/>
          </w:tcPr>
          <w:p w:rsidR="00BE3EB9" w:rsidRDefault="00BE3EB9" w:rsidP="00E153CD">
            <w:pPr>
              <w:suppressAutoHyphens/>
            </w:pPr>
          </w:p>
          <w:p w:rsidR="00BE3EB9" w:rsidRPr="00503979" w:rsidRDefault="00BE3EB9" w:rsidP="00E153CD">
            <w:r>
              <w:t>brak danych</w:t>
            </w:r>
          </w:p>
        </w:tc>
        <w:tc>
          <w:tcPr>
            <w:tcW w:w="1468" w:type="pct"/>
            <w:gridSpan w:val="12"/>
            <w:shd w:val="clear" w:color="auto" w:fill="auto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</w:p>
        </w:tc>
        <w:tc>
          <w:tcPr>
            <w:tcW w:w="1103" w:type="pct"/>
            <w:gridSpan w:val="6"/>
            <w:shd w:val="clear" w:color="auto" w:fill="auto"/>
          </w:tcPr>
          <w:p w:rsidR="00BE3EB9" w:rsidRDefault="00B76DBA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Wejście w życie </w:t>
            </w:r>
            <w:r w:rsidR="00BE3EB9">
              <w:rPr>
                <w:color w:val="000000"/>
                <w:spacing w:val="-2"/>
              </w:rPr>
              <w:t>rozporządzenia może przyczynić się do odpowiedniego planowania produkcji i wzrostu sprzedaży</w:t>
            </w:r>
            <w:r w:rsidR="00BE3EB9" w:rsidRPr="00432C31">
              <w:rPr>
                <w:color w:val="000000"/>
                <w:spacing w:val="-2"/>
              </w:rPr>
              <w:t xml:space="preserve"> odbiorników radio</w:t>
            </w:r>
            <w:r w:rsidR="00BE3EB9">
              <w:rPr>
                <w:color w:val="000000"/>
                <w:spacing w:val="-2"/>
              </w:rPr>
              <w:t>fonii DAB+.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Jednocześnie p</w:t>
            </w:r>
            <w:r w:rsidRPr="003A1A10">
              <w:rPr>
                <w:color w:val="000000"/>
                <w:spacing w:val="-2"/>
              </w:rPr>
              <w:t>rojektowane rozporządzenie nie ma bezpośredniego wpływu finansowego na producentów odbiorników radiofonii DAB+, gdyż takie odbiorniki są obecnie produkowane i sprzedawane.</w:t>
            </w:r>
          </w:p>
        </w:tc>
      </w:tr>
      <w:tr w:rsidR="00BE3EB9" w:rsidRPr="00593B5F" w:rsidTr="00BE3EB9">
        <w:trPr>
          <w:trHeight w:val="142"/>
        </w:trPr>
        <w:tc>
          <w:tcPr>
            <w:tcW w:w="1307" w:type="pct"/>
            <w:gridSpan w:val="2"/>
            <w:shd w:val="clear" w:color="auto" w:fill="auto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lastRenderedPageBreak/>
              <w:t>Konsumenci</w:t>
            </w:r>
          </w:p>
        </w:tc>
        <w:tc>
          <w:tcPr>
            <w:tcW w:w="1123" w:type="pct"/>
            <w:gridSpan w:val="9"/>
            <w:shd w:val="clear" w:color="auto" w:fill="auto"/>
          </w:tcPr>
          <w:p w:rsidR="00BE3EB9" w:rsidRPr="00593B5F" w:rsidRDefault="00BE3EB9" w:rsidP="003A3FD1">
            <w:pPr>
              <w:suppressAutoHyphens/>
              <w:rPr>
                <w:color w:val="000000"/>
                <w:spacing w:val="-2"/>
              </w:rPr>
            </w:pPr>
            <w:r w:rsidRPr="00247E47">
              <w:rPr>
                <w:spacing w:val="-2"/>
              </w:rPr>
              <w:t xml:space="preserve">Liczba odbiorników analogowych w gospodarstwach domowych i </w:t>
            </w:r>
            <w:r w:rsidR="00A42D65">
              <w:rPr>
                <w:spacing w:val="-2"/>
              </w:rPr>
              <w:t>samochodach osobowych</w:t>
            </w:r>
            <w:r w:rsidR="00A42D65" w:rsidRPr="00247E47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wynosi </w:t>
            </w:r>
            <w:r w:rsidR="00A42D65">
              <w:rPr>
                <w:spacing w:val="-2"/>
              </w:rPr>
              <w:t>36,5</w:t>
            </w:r>
            <w:r w:rsidRPr="00247E47">
              <w:rPr>
                <w:spacing w:val="-2"/>
              </w:rPr>
              <w:t xml:space="preserve">mln, jako suma gospodarstw domowych </w:t>
            </w:r>
            <w:r w:rsidR="003A3FD1">
              <w:rPr>
                <w:spacing w:val="-2"/>
              </w:rPr>
              <w:t>i</w:t>
            </w:r>
            <w:r w:rsidR="003A3FD1" w:rsidRPr="00247E47">
              <w:rPr>
                <w:spacing w:val="-2"/>
              </w:rPr>
              <w:t xml:space="preserve"> </w:t>
            </w:r>
            <w:r w:rsidRPr="00247E47">
              <w:rPr>
                <w:spacing w:val="-2"/>
              </w:rPr>
              <w:t xml:space="preserve">samochodów </w:t>
            </w:r>
            <w:r w:rsidR="00C12C41">
              <w:rPr>
                <w:spacing w:val="-2"/>
              </w:rPr>
              <w:t>osobowych</w:t>
            </w:r>
          </w:p>
        </w:tc>
        <w:tc>
          <w:tcPr>
            <w:tcW w:w="1468" w:type="pct"/>
            <w:gridSpan w:val="12"/>
            <w:shd w:val="clear" w:color="auto" w:fill="auto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Główny Urząd Statystyczny. Bank danych lokalnych</w:t>
            </w:r>
          </w:p>
        </w:tc>
        <w:tc>
          <w:tcPr>
            <w:tcW w:w="1103" w:type="pct"/>
            <w:gridSpan w:val="6"/>
            <w:shd w:val="clear" w:color="auto" w:fill="auto"/>
          </w:tcPr>
          <w:p w:rsidR="00BE3EB9" w:rsidRPr="00593B5F" w:rsidRDefault="00BE3EB9" w:rsidP="00F37347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W</w:t>
            </w:r>
            <w:r w:rsidRPr="003A1A10">
              <w:rPr>
                <w:color w:val="000000"/>
                <w:spacing w:val="-2"/>
              </w:rPr>
              <w:t xml:space="preserve">ejście w życie </w:t>
            </w:r>
            <w:r>
              <w:rPr>
                <w:color w:val="000000"/>
                <w:spacing w:val="-2"/>
              </w:rPr>
              <w:t xml:space="preserve">rozporządzenia </w:t>
            </w:r>
            <w:r w:rsidRPr="003A1A10">
              <w:rPr>
                <w:color w:val="000000"/>
                <w:spacing w:val="-2"/>
              </w:rPr>
              <w:t xml:space="preserve">pozwoli na świadomy wybór urządzeń przez </w:t>
            </w:r>
            <w:r w:rsidR="00F37347">
              <w:rPr>
                <w:color w:val="000000"/>
                <w:spacing w:val="-2"/>
              </w:rPr>
              <w:t xml:space="preserve">konsumentów </w:t>
            </w:r>
            <w:r w:rsidRPr="003A1A10">
              <w:rPr>
                <w:color w:val="000000"/>
                <w:spacing w:val="-2"/>
              </w:rPr>
              <w:t>(w ramach naturalnej wymiany sprzętu), które będą umożliwiały prawidłowy odbiór programów nadawanych w standardzie DAB</w:t>
            </w:r>
            <w:r w:rsidR="00D4574C">
              <w:rPr>
                <w:color w:val="000000"/>
                <w:spacing w:val="-2"/>
              </w:rPr>
              <w:t>+</w:t>
            </w:r>
            <w:r w:rsidR="00B76DBA">
              <w:rPr>
                <w:color w:val="000000"/>
                <w:spacing w:val="-2"/>
              </w:rPr>
              <w:t>.</w:t>
            </w:r>
            <w:r w:rsidRPr="003A1A10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Projektowane r</w:t>
            </w:r>
            <w:r w:rsidRPr="00947465">
              <w:rPr>
                <w:color w:val="000000"/>
                <w:spacing w:val="-2"/>
              </w:rPr>
              <w:t>ozporządzenie nie ma bezpośredniego wpływ</w:t>
            </w:r>
            <w:r>
              <w:rPr>
                <w:color w:val="000000"/>
                <w:spacing w:val="-2"/>
              </w:rPr>
              <w:t xml:space="preserve">u finansowego </w:t>
            </w:r>
            <w:r w:rsidRPr="00947465">
              <w:rPr>
                <w:color w:val="000000"/>
                <w:spacing w:val="-2"/>
              </w:rPr>
              <w:t xml:space="preserve">na </w:t>
            </w:r>
            <w:r>
              <w:rPr>
                <w:color w:val="000000"/>
                <w:spacing w:val="-2"/>
              </w:rPr>
              <w:t>konsumentów.</w:t>
            </w:r>
          </w:p>
        </w:tc>
      </w:tr>
      <w:tr w:rsidR="00BE3EB9" w:rsidRPr="00593B5F" w:rsidTr="00BE3EB9">
        <w:trPr>
          <w:trHeight w:val="142"/>
        </w:trPr>
        <w:tc>
          <w:tcPr>
            <w:tcW w:w="1307" w:type="pct"/>
            <w:gridSpan w:val="2"/>
            <w:shd w:val="clear" w:color="auto" w:fill="auto"/>
          </w:tcPr>
          <w:p w:rsidR="00BE3EB9" w:rsidRPr="00257B8B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Operatorzy sieci nadawczych</w:t>
            </w:r>
          </w:p>
        </w:tc>
        <w:tc>
          <w:tcPr>
            <w:tcW w:w="1123" w:type="pct"/>
            <w:gridSpan w:val="9"/>
            <w:shd w:val="clear" w:color="auto" w:fill="auto"/>
          </w:tcPr>
          <w:p w:rsidR="00BE3EB9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Liczba operatorów sieci radiofonicznych wynosi 140</w:t>
            </w:r>
            <w:r w:rsidR="00B76DBA">
              <w:rPr>
                <w:color w:val="000000"/>
                <w:spacing w:val="-2"/>
              </w:rPr>
              <w:t>.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</w:p>
        </w:tc>
        <w:tc>
          <w:tcPr>
            <w:tcW w:w="1468" w:type="pct"/>
            <w:gridSpan w:val="12"/>
            <w:shd w:val="clear" w:color="auto" w:fill="auto"/>
          </w:tcPr>
          <w:p w:rsidR="00BE3EB9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Urząd Komunikacji Elektronicznej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(w</w:t>
            </w:r>
            <w:r w:rsidRPr="00A93B3A">
              <w:rPr>
                <w:color w:val="000000"/>
                <w:spacing w:val="-2"/>
              </w:rPr>
              <w:t>ykazy obowiązujących pozwoleń na używanie urządzeń nadawczych dla stacji radiofonicznych pracujących w służbie radiodyfuzyjne</w:t>
            </w:r>
            <w:r>
              <w:rPr>
                <w:color w:val="000000"/>
                <w:spacing w:val="-2"/>
              </w:rPr>
              <w:t>j).</w:t>
            </w:r>
          </w:p>
        </w:tc>
        <w:tc>
          <w:tcPr>
            <w:tcW w:w="1103" w:type="pct"/>
            <w:gridSpan w:val="6"/>
            <w:shd w:val="clear" w:color="auto" w:fill="auto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EB1A33">
              <w:rPr>
                <w:color w:val="000000"/>
                <w:spacing w:val="-2"/>
              </w:rPr>
              <w:t>Publikacja minimalnych wymagań dla urządzeń odbiorczych</w:t>
            </w:r>
            <w:r w:rsidRPr="003A1A10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nie ma bezpośredniego wpływu na operatorów sieci, przyczyni się </w:t>
            </w:r>
            <w:r w:rsidRPr="003A1A10">
              <w:rPr>
                <w:color w:val="000000"/>
                <w:spacing w:val="-2"/>
              </w:rPr>
              <w:t xml:space="preserve">do </w:t>
            </w:r>
            <w:r>
              <w:rPr>
                <w:color w:val="000000"/>
                <w:spacing w:val="-2"/>
              </w:rPr>
              <w:t xml:space="preserve">lepszego </w:t>
            </w:r>
            <w:r w:rsidRPr="003A1A10">
              <w:rPr>
                <w:color w:val="000000"/>
                <w:spacing w:val="-2"/>
              </w:rPr>
              <w:t xml:space="preserve">planowania i rozwoju </w:t>
            </w:r>
            <w:r w:rsidR="00D4574C">
              <w:rPr>
                <w:color w:val="000000"/>
                <w:spacing w:val="-2"/>
              </w:rPr>
              <w:t xml:space="preserve">radiowych </w:t>
            </w:r>
            <w:r w:rsidRPr="003A1A10">
              <w:rPr>
                <w:color w:val="000000"/>
                <w:spacing w:val="-2"/>
              </w:rPr>
              <w:t xml:space="preserve">sieci nadawczych programów radiofonii w </w:t>
            </w:r>
            <w:r w:rsidRPr="003A1A10">
              <w:rPr>
                <w:color w:val="000000"/>
                <w:spacing w:val="-2"/>
              </w:rPr>
              <w:lastRenderedPageBreak/>
              <w:t xml:space="preserve">standardzie DAB+ </w:t>
            </w:r>
            <w:r w:rsidR="00B76DBA">
              <w:rPr>
                <w:color w:val="000000"/>
                <w:spacing w:val="-2"/>
              </w:rPr>
              <w:t>.</w:t>
            </w:r>
          </w:p>
        </w:tc>
      </w:tr>
      <w:tr w:rsidR="00BE3EB9" w:rsidRPr="00593B5F" w:rsidTr="00BE3EB9">
        <w:trPr>
          <w:trHeight w:val="142"/>
        </w:trPr>
        <w:tc>
          <w:tcPr>
            <w:tcW w:w="1307" w:type="pct"/>
            <w:gridSpan w:val="2"/>
            <w:shd w:val="clear" w:color="auto" w:fill="auto"/>
          </w:tcPr>
          <w:p w:rsidR="00BE3EB9" w:rsidRPr="00257B8B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lastRenderedPageBreak/>
              <w:t>Nadawcy treści</w:t>
            </w:r>
          </w:p>
        </w:tc>
        <w:tc>
          <w:tcPr>
            <w:tcW w:w="1123" w:type="pct"/>
            <w:gridSpan w:val="9"/>
            <w:shd w:val="clear" w:color="auto" w:fill="auto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Liczba nadawców radiofonicznych w Polsce wynosi 147</w:t>
            </w:r>
          </w:p>
        </w:tc>
        <w:tc>
          <w:tcPr>
            <w:tcW w:w="1468" w:type="pct"/>
            <w:gridSpan w:val="12"/>
            <w:shd w:val="clear" w:color="auto" w:fill="auto"/>
          </w:tcPr>
          <w:p w:rsidR="00BE3EB9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Krajowa Rada Radiofonii i Telewizji.</w:t>
            </w:r>
          </w:p>
          <w:p w:rsidR="00BE3EB9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[Wykaz k</w:t>
            </w:r>
            <w:r w:rsidRPr="005F3EBB">
              <w:rPr>
                <w:color w:val="000000"/>
                <w:spacing w:val="-2"/>
              </w:rPr>
              <w:t xml:space="preserve">oncesji </w:t>
            </w:r>
            <w:r w:rsidR="00B76DBA" w:rsidRPr="00B76DBA">
              <w:rPr>
                <w:color w:val="000000"/>
                <w:spacing w:val="-2"/>
              </w:rPr>
              <w:t>–</w:t>
            </w:r>
            <w:r w:rsidRPr="005F3EBB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r</w:t>
            </w:r>
            <w:r w:rsidRPr="005F3EBB">
              <w:rPr>
                <w:color w:val="000000"/>
                <w:spacing w:val="-2"/>
              </w:rPr>
              <w:t>adiofonia naziemna (obowiązujące)</w:t>
            </w:r>
            <w:r>
              <w:rPr>
                <w:color w:val="000000"/>
                <w:spacing w:val="-2"/>
              </w:rPr>
              <w:t>].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</w:p>
        </w:tc>
        <w:tc>
          <w:tcPr>
            <w:tcW w:w="1103" w:type="pct"/>
            <w:gridSpan w:val="6"/>
            <w:shd w:val="clear" w:color="auto" w:fill="auto"/>
          </w:tcPr>
          <w:p w:rsidR="00BE3EB9" w:rsidRPr="00EB1A33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EB1A33">
              <w:rPr>
                <w:color w:val="000000"/>
                <w:spacing w:val="-2"/>
              </w:rPr>
              <w:t>Wprowadzenie nowych wymagań dla odbiorników nie oznacza automatyc</w:t>
            </w:r>
            <w:r>
              <w:rPr>
                <w:color w:val="000000"/>
                <w:spacing w:val="-2"/>
              </w:rPr>
              <w:t xml:space="preserve">znie zmian po stronie nadawców. 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Określenie minimalnych wymagań na odbiorniki radiofonii DAB+</w:t>
            </w:r>
            <w:r w:rsidRPr="00EB1A33">
              <w:rPr>
                <w:color w:val="000000"/>
                <w:spacing w:val="-2"/>
              </w:rPr>
              <w:t xml:space="preserve"> pozwoli nadawcom </w:t>
            </w:r>
            <w:r>
              <w:rPr>
                <w:color w:val="000000"/>
                <w:spacing w:val="-2"/>
              </w:rPr>
              <w:t>w przyszłości na zwiększenie liczby programów i może spowodować pojawieni</w:t>
            </w:r>
            <w:r w:rsidR="00B76DBA">
              <w:rPr>
                <w:color w:val="000000"/>
                <w:spacing w:val="-2"/>
              </w:rPr>
              <w:t>e</w:t>
            </w:r>
            <w:r>
              <w:rPr>
                <w:color w:val="000000"/>
                <w:spacing w:val="-2"/>
              </w:rPr>
              <w:t xml:space="preserve"> się nowych nadawców na rynku.</w:t>
            </w:r>
          </w:p>
        </w:tc>
      </w:tr>
      <w:tr w:rsidR="00BE3EB9" w:rsidRPr="00593B5F" w:rsidTr="00BE3EB9">
        <w:trPr>
          <w:trHeight w:val="302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BE3EB9" w:rsidRPr="00593B5F" w:rsidTr="00BE3EB9">
        <w:trPr>
          <w:trHeight w:val="342"/>
        </w:trPr>
        <w:tc>
          <w:tcPr>
            <w:tcW w:w="5000" w:type="pct"/>
            <w:gridSpan w:val="29"/>
            <w:shd w:val="clear" w:color="auto" w:fill="FFFFFF"/>
          </w:tcPr>
          <w:p w:rsidR="00BE3EB9" w:rsidRPr="00E467F8" w:rsidRDefault="00BE3EB9" w:rsidP="00E153CD">
            <w:pPr>
              <w:pStyle w:val="Tekstpodstawowywcity2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467F8">
              <w:rPr>
                <w:rFonts w:ascii="Times New Roman" w:hAnsi="Times New Roman"/>
                <w:color w:val="000000"/>
                <w:sz w:val="24"/>
              </w:rPr>
              <w:t xml:space="preserve">Projekt </w:t>
            </w:r>
            <w:r w:rsidR="00B76DBA">
              <w:rPr>
                <w:rFonts w:ascii="Times New Roman" w:hAnsi="Times New Roman"/>
                <w:color w:val="000000"/>
                <w:sz w:val="24"/>
              </w:rPr>
              <w:t xml:space="preserve">rozporządzenia </w:t>
            </w:r>
            <w:r w:rsidRPr="00E467F8">
              <w:rPr>
                <w:rFonts w:ascii="Times New Roman" w:hAnsi="Times New Roman"/>
                <w:color w:val="000000"/>
                <w:sz w:val="24"/>
              </w:rPr>
              <w:t>zo</w:t>
            </w:r>
            <w:r>
              <w:rPr>
                <w:rFonts w:ascii="Times New Roman" w:hAnsi="Times New Roman"/>
                <w:color w:val="000000"/>
                <w:sz w:val="24"/>
              </w:rPr>
              <w:t>stał</w:t>
            </w:r>
            <w:r w:rsidRPr="00E467F8">
              <w:rPr>
                <w:rFonts w:ascii="Times New Roman" w:hAnsi="Times New Roman"/>
                <w:color w:val="000000"/>
                <w:sz w:val="24"/>
              </w:rPr>
              <w:t xml:space="preserve"> poddany konsultacjom publicznym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i opiniowaniu</w:t>
            </w:r>
            <w:r w:rsidRPr="00E467F8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E3EB9" w:rsidRPr="00E467F8" w:rsidRDefault="00BE3EB9" w:rsidP="00E153CD">
            <w:pPr>
              <w:pStyle w:val="Tekstpodstawowywcity2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467F8">
              <w:rPr>
                <w:rFonts w:ascii="Times New Roman" w:hAnsi="Times New Roman"/>
                <w:color w:val="000000"/>
                <w:sz w:val="24"/>
              </w:rPr>
              <w:t>W rama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ch konsultacji </w:t>
            </w:r>
            <w:r w:rsidR="00B76DBA">
              <w:rPr>
                <w:rFonts w:ascii="Times New Roman" w:hAnsi="Times New Roman"/>
                <w:color w:val="000000"/>
                <w:sz w:val="24"/>
              </w:rPr>
              <w:t xml:space="preserve">publicznych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projekt </w:t>
            </w:r>
            <w:r w:rsidR="00B76DBA">
              <w:rPr>
                <w:rFonts w:ascii="Times New Roman" w:hAnsi="Times New Roman"/>
                <w:color w:val="000000"/>
                <w:sz w:val="24"/>
              </w:rPr>
              <w:t xml:space="preserve">rozporządzenia </w:t>
            </w:r>
            <w:r>
              <w:rPr>
                <w:rFonts w:ascii="Times New Roman" w:hAnsi="Times New Roman"/>
                <w:color w:val="000000"/>
                <w:sz w:val="24"/>
              </w:rPr>
              <w:t>otrzymali</w:t>
            </w:r>
            <w:r w:rsidRPr="00E467F8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Prezes Urzędu Komunikacji Elektronicznej;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Prezes Urzędu Ochrony Konkurencji i Konsumentów;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Prezes Urzędu Ochrony Danych Osobowych;</w:t>
            </w:r>
          </w:p>
          <w:p w:rsidR="00BE3EB9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Pre</w:t>
            </w:r>
            <w:r>
              <w:t xml:space="preserve">zes </w:t>
            </w:r>
            <w:r w:rsidRPr="00E467F8">
              <w:t>Głównego Urzędu Statystycznego;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>
              <w:t>Rzecznik Małych i Średnich Przedsiębiorców;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 xml:space="preserve">Polska Izba Informatyki i Telekomunikacji; 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Krajowa Izba Gospodarcza Elektroniki i Telekomunikacji;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Polska Izba Komunikacji Elektronicznej;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Krajowa Izba Gospodarcza;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 xml:space="preserve">Krajowa Izba Komunikacji </w:t>
            </w:r>
            <w:proofErr w:type="spellStart"/>
            <w:r w:rsidRPr="00E467F8">
              <w:t>Ethernetowej</w:t>
            </w:r>
            <w:proofErr w:type="spellEnd"/>
            <w:r w:rsidRPr="00E467F8">
              <w:t>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Polska Izba Radiodyfuzji Cyfrowej;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Polska Izba Handlu;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Polskie Towarzystwo Informatyczne;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lastRenderedPageBreak/>
              <w:t>Stowarzyszenie Inżynierów Telekomunikacji;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Rada Dialogu Społecznego</w:t>
            </w:r>
            <w:r>
              <w:t>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Business Centre Club – Związek Pracodawców;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>
              <w:t xml:space="preserve">Niezależny Samorządny </w:t>
            </w:r>
            <w:r w:rsidRPr="00E467F8">
              <w:t xml:space="preserve">Związek Zawodowy </w:t>
            </w:r>
            <w:r w:rsidR="007C5B9D">
              <w:t>„</w:t>
            </w:r>
            <w:r w:rsidRPr="00E467F8">
              <w:t>Solidarność</w:t>
            </w:r>
            <w:r w:rsidR="007C5B9D">
              <w:t>”</w:t>
            </w:r>
            <w:r w:rsidRPr="00E467F8">
              <w:t>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 xml:space="preserve">Ogólnopolskie Porozumienie Związków Zawodowych; 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Forum Związków Zawodowych;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Pracodawcy Rzeczypospolitej Polskiej;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 xml:space="preserve">Konfederacja Lewiatan; 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 xml:space="preserve">Związek Rzemiosła Polskiego; 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Związek Przedsiębiorców i Pracodawców;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Związek Pracodawców Mediów Publicznych;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Związek Pracodawców Branży Internetowej IAB Polska;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 xml:space="preserve">Federacja Związków Zawodowych Pracowników Telekomunikacji; 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Polska Rada Biznesu;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Naczelna Organizacja Techniczna;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 xml:space="preserve">Związek Pracodawców Mediów Elektronicznych i Telekomunikacji </w:t>
            </w:r>
            <w:proofErr w:type="spellStart"/>
            <w:r w:rsidRPr="00E467F8">
              <w:t>Mediakom</w:t>
            </w:r>
            <w:proofErr w:type="spellEnd"/>
            <w:r w:rsidRPr="00E467F8">
              <w:t>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Izba Gospodarki Elektronicznej;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 xml:space="preserve">Fundacja </w:t>
            </w:r>
            <w:proofErr w:type="spellStart"/>
            <w:r w:rsidRPr="00E467F8">
              <w:t>ePaństwo</w:t>
            </w:r>
            <w:proofErr w:type="spellEnd"/>
            <w:r w:rsidRPr="00E467F8">
              <w:t>;</w:t>
            </w:r>
          </w:p>
          <w:p w:rsidR="00BE3EB9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467F8">
              <w:t>Związek Telewizji Kabl</w:t>
            </w:r>
            <w:r>
              <w:t>owych w Polsce Izba Gospodarcza;</w:t>
            </w:r>
          </w:p>
          <w:p w:rsidR="00BE3EB9" w:rsidRPr="00E467F8" w:rsidRDefault="00BE3EB9" w:rsidP="00BE3EB9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spacing w:line="240" w:lineRule="auto"/>
            </w:pPr>
            <w:r w:rsidRPr="00EF51BF">
              <w:t xml:space="preserve">Związek Importerów i Producentów Sprzętu Elektrycznego i Elektronicznego Branży RTV i IT – ZIPSEE </w:t>
            </w:r>
            <w:r w:rsidR="007C5B9D">
              <w:t>„</w:t>
            </w:r>
            <w:r w:rsidRPr="00EF51BF">
              <w:t>Cyfrowa Polska</w:t>
            </w:r>
            <w:r w:rsidR="007C5B9D">
              <w:t>”</w:t>
            </w:r>
            <w:r>
              <w:t>.</w:t>
            </w:r>
          </w:p>
          <w:p w:rsidR="00BE3EB9" w:rsidRPr="00E467F8" w:rsidRDefault="00BE3EB9" w:rsidP="00E153CD">
            <w:pPr>
              <w:ind w:left="425"/>
              <w:jc w:val="both"/>
              <w:rPr>
                <w:bCs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  <w:spacing w:val="-2"/>
              </w:rPr>
            </w:pPr>
            <w:r w:rsidRPr="00E467F8">
              <w:rPr>
                <w:bCs/>
              </w:rPr>
              <w:t>Zgodnie z art. 5 ustawy z dnia 7 lipca 2005 r. o działalności lobbingowej w procesie stanowienia prawa (Dz. U. z 2017 r. poz. 248) projektowane rozporządzen</w:t>
            </w:r>
            <w:r>
              <w:rPr>
                <w:bCs/>
              </w:rPr>
              <w:t xml:space="preserve">ie zostało </w:t>
            </w:r>
            <w:r w:rsidRPr="00E467F8">
              <w:rPr>
                <w:bCs/>
              </w:rPr>
              <w:t xml:space="preserve">udostępnione </w:t>
            </w:r>
            <w:r>
              <w:rPr>
                <w:bCs/>
              </w:rPr>
              <w:t xml:space="preserve">w Biuletynie Informacji Publicznej </w:t>
            </w:r>
            <w:r w:rsidRPr="00E467F8">
              <w:rPr>
                <w:bCs/>
              </w:rPr>
              <w:t>na stronie podmiotowej Ministra Cyfryzacji oraz w Biuletynie Informacji Publicznej na stronie podmiotowej Rządowego Centrum Legislacji, w serwisie Rządowy Proces Legislacyjny.</w:t>
            </w:r>
            <w:r w:rsidR="00C456BA" w:rsidRPr="00C456BA">
              <w:rPr>
                <w:bCs/>
              </w:rPr>
              <w:t xml:space="preserve"> Podczas prowadzonych konsultacji i opiniowania zostały zgłoszone uwagi do projektu rozporządzenia. Większość uwag została uwzględniona. Szczegółowe omówienie wyników konsultacji i opiniowania znajduje się w tabeli stanowiącej załącznik do Raportu z konsultacji. Nie odnotowano zgłoszeń zainteresowanych podmiotów w trybie przepisów o działalności lobbingowej w procesie stanowienia prawa.</w:t>
            </w:r>
          </w:p>
        </w:tc>
      </w:tr>
      <w:tr w:rsidR="00BE3EB9" w:rsidRPr="00593B5F" w:rsidTr="00BE3EB9">
        <w:trPr>
          <w:trHeight w:val="363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BE3EB9" w:rsidRPr="00593B5F" w:rsidTr="00BE3EB9">
        <w:trPr>
          <w:trHeight w:val="142"/>
        </w:trPr>
        <w:tc>
          <w:tcPr>
            <w:tcW w:w="1535" w:type="pct"/>
            <w:gridSpan w:val="4"/>
            <w:vMerge w:val="restart"/>
            <w:shd w:val="clear" w:color="auto" w:fill="FFFFFF"/>
          </w:tcPr>
          <w:p w:rsidR="00BE3EB9" w:rsidRPr="00593B5F" w:rsidRDefault="00BE3EB9" w:rsidP="00E153CD">
            <w:pPr>
              <w:suppressAutoHyphens/>
              <w:spacing w:before="40" w:after="40"/>
              <w:rPr>
                <w:i/>
                <w:color w:val="000000"/>
              </w:rPr>
            </w:pPr>
            <w:r w:rsidRPr="00593B5F">
              <w:rPr>
                <w:color w:val="000000"/>
              </w:rPr>
              <w:t>(ceny stałe z …… r.)</w:t>
            </w:r>
          </w:p>
        </w:tc>
        <w:tc>
          <w:tcPr>
            <w:tcW w:w="3465" w:type="pct"/>
            <w:gridSpan w:val="25"/>
            <w:shd w:val="clear" w:color="auto" w:fill="FFFFFF"/>
          </w:tcPr>
          <w:p w:rsidR="00BE3EB9" w:rsidRPr="00593B5F" w:rsidRDefault="00BE3EB9" w:rsidP="00E153CD">
            <w:pPr>
              <w:suppressAutoHyphens/>
              <w:spacing w:before="40" w:after="40"/>
              <w:jc w:val="center"/>
              <w:rPr>
                <w:i/>
                <w:color w:val="000000"/>
                <w:spacing w:val="-2"/>
              </w:rPr>
            </w:pPr>
            <w:r w:rsidRPr="00593B5F">
              <w:rPr>
                <w:color w:val="000000"/>
              </w:rPr>
              <w:t>Skutki w okresie 10 lat od wejścia w życie zmian [mln zł]</w:t>
            </w:r>
          </w:p>
        </w:tc>
      </w:tr>
      <w:tr w:rsidR="00916AD5" w:rsidRPr="00593B5F" w:rsidTr="00BE3EB9">
        <w:trPr>
          <w:trHeight w:val="142"/>
        </w:trPr>
        <w:tc>
          <w:tcPr>
            <w:tcW w:w="1535" w:type="pct"/>
            <w:gridSpan w:val="4"/>
            <w:vMerge/>
            <w:shd w:val="clear" w:color="auto" w:fill="FFFFFF"/>
          </w:tcPr>
          <w:p w:rsidR="00BE3EB9" w:rsidRPr="00593B5F" w:rsidRDefault="00BE3EB9" w:rsidP="00E153CD">
            <w:pPr>
              <w:suppressAutoHyphens/>
              <w:spacing w:before="40" w:after="40"/>
              <w:rPr>
                <w:i/>
                <w:color w:val="000000"/>
              </w:rPr>
            </w:pP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1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2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3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4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5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6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7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8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9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10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spacing w:before="40" w:after="40"/>
              <w:jc w:val="center"/>
              <w:rPr>
                <w:i/>
                <w:color w:val="000000"/>
                <w:spacing w:val="-2"/>
              </w:rPr>
            </w:pPr>
            <w:r w:rsidRPr="00593B5F">
              <w:rPr>
                <w:i/>
                <w:color w:val="000000"/>
                <w:spacing w:val="-2"/>
              </w:rPr>
              <w:t xml:space="preserve">Łącznie </w:t>
            </w:r>
            <w:r w:rsidRPr="00593B5F">
              <w:rPr>
                <w:i/>
                <w:color w:val="000000"/>
                <w:spacing w:val="-2"/>
              </w:rPr>
              <w:br/>
              <w:t>(0-10)</w:t>
            </w:r>
          </w:p>
        </w:tc>
      </w:tr>
      <w:tr w:rsidR="00916AD5" w:rsidRPr="00593B5F" w:rsidTr="00BE3EB9">
        <w:trPr>
          <w:trHeight w:val="321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b/>
                <w:color w:val="000000"/>
              </w:rPr>
              <w:t>Dochody ogółem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0</w:t>
            </w:r>
          </w:p>
        </w:tc>
      </w:tr>
      <w:tr w:rsidR="00916AD5" w:rsidRPr="00593B5F" w:rsidTr="00BE3EB9">
        <w:trPr>
          <w:trHeight w:val="321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budżet państwa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0</w:t>
            </w:r>
          </w:p>
        </w:tc>
      </w:tr>
      <w:tr w:rsidR="00916AD5" w:rsidRPr="00593B5F" w:rsidTr="00BE3EB9">
        <w:trPr>
          <w:trHeight w:val="344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JST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44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lastRenderedPageBreak/>
              <w:t>pozostałe jednostki (oddzielnie)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30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b/>
                <w:color w:val="000000"/>
              </w:rPr>
              <w:t>Wydatki ogółem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30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budżet państwa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51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JST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51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pozostałe jednostki (oddzielnie)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60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b/>
                <w:color w:val="000000"/>
              </w:rPr>
              <w:t>Saldo ogółem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60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budżet państwa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57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JST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16AD5" w:rsidRPr="00593B5F" w:rsidTr="00BE3EB9">
        <w:trPr>
          <w:trHeight w:val="357"/>
        </w:trPr>
        <w:tc>
          <w:tcPr>
            <w:tcW w:w="1535" w:type="pct"/>
            <w:gridSpan w:val="4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pozostałe jednostki (oddzielnie)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5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E3EB9" w:rsidRPr="00593B5F" w:rsidTr="00BE3EB9">
        <w:trPr>
          <w:trHeight w:val="348"/>
        </w:trPr>
        <w:tc>
          <w:tcPr>
            <w:tcW w:w="1528" w:type="pct"/>
            <w:gridSpan w:val="3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 xml:space="preserve">Źródła finansowania </w:t>
            </w:r>
          </w:p>
        </w:tc>
        <w:tc>
          <w:tcPr>
            <w:tcW w:w="3472" w:type="pct"/>
            <w:gridSpan w:val="26"/>
            <w:shd w:val="clear" w:color="auto" w:fill="FFFFFF"/>
            <w:vAlign w:val="center"/>
          </w:tcPr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  <w:r w:rsidRPr="00593B5F">
              <w:rPr>
                <w:color w:val="000000"/>
              </w:rPr>
              <w:t>Wejście w życie rozporządzenia nie spowoduje skutków dla sektora finansów publicznych, w tym dochodów i wydatków budżetu państwa oraz samorządu terytorialnego.</w:t>
            </w: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</w:tc>
      </w:tr>
      <w:tr w:rsidR="00BE3EB9" w:rsidRPr="00593B5F" w:rsidTr="00BE3EB9">
        <w:trPr>
          <w:trHeight w:val="1926"/>
        </w:trPr>
        <w:tc>
          <w:tcPr>
            <w:tcW w:w="1528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 xml:space="preserve">Dodatkowe informacje, </w:t>
            </w:r>
            <w:r w:rsidRPr="00593B5F">
              <w:rPr>
                <w:color w:val="000000"/>
              </w:rPr>
              <w:br/>
              <w:t>w tym wskazanie źródeł danych i przyjętych do obliczeń założeń</w:t>
            </w:r>
          </w:p>
        </w:tc>
        <w:tc>
          <w:tcPr>
            <w:tcW w:w="3472" w:type="pct"/>
            <w:gridSpan w:val="26"/>
            <w:shd w:val="clear" w:color="auto" w:fill="FFFFFF"/>
          </w:tcPr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</w:tc>
      </w:tr>
      <w:tr w:rsidR="00BE3EB9" w:rsidRPr="00593B5F" w:rsidTr="00BE3EB9">
        <w:trPr>
          <w:trHeight w:val="345"/>
        </w:trPr>
        <w:tc>
          <w:tcPr>
            <w:tcW w:w="5000" w:type="pct"/>
            <w:gridSpan w:val="29"/>
            <w:shd w:val="clear" w:color="auto" w:fill="99CCFF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120" w:after="120" w:line="240" w:lineRule="auto"/>
              <w:jc w:val="both"/>
              <w:rPr>
                <w:b/>
                <w:color w:val="000000"/>
                <w:spacing w:val="-2"/>
              </w:rPr>
            </w:pPr>
            <w:r w:rsidRPr="00593B5F">
              <w:rPr>
                <w:b/>
                <w:color w:val="000000"/>
                <w:spacing w:val="-2"/>
              </w:rPr>
              <w:t xml:space="preserve">Wpływ na </w:t>
            </w:r>
            <w:r w:rsidRPr="00593B5F">
              <w:rPr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  <w:spacing w:val="-2"/>
              </w:rPr>
            </w:pPr>
            <w:r w:rsidRPr="00593B5F">
              <w:rPr>
                <w:color w:val="000000"/>
                <w:spacing w:val="-2"/>
              </w:rPr>
              <w:t>Skutki</w:t>
            </w:r>
          </w:p>
        </w:tc>
      </w:tr>
      <w:tr w:rsidR="00916AD5" w:rsidRPr="00593B5F" w:rsidTr="00BE3EB9">
        <w:trPr>
          <w:trHeight w:val="142"/>
        </w:trPr>
        <w:tc>
          <w:tcPr>
            <w:tcW w:w="1905" w:type="pct"/>
            <w:gridSpan w:val="7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Czas w latach od wejścia w życie zmian</w:t>
            </w:r>
          </w:p>
        </w:tc>
        <w:tc>
          <w:tcPr>
            <w:tcW w:w="45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0</w:t>
            </w:r>
          </w:p>
        </w:tc>
        <w:tc>
          <w:tcPr>
            <w:tcW w:w="459" w:type="pct"/>
            <w:gridSpan w:val="5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1</w:t>
            </w: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2</w:t>
            </w: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3</w:t>
            </w: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5</w:t>
            </w: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color w:val="000000"/>
              </w:rPr>
            </w:pPr>
            <w:r w:rsidRPr="00593B5F">
              <w:rPr>
                <w:color w:val="000000"/>
              </w:rPr>
              <w:t>10</w:t>
            </w:r>
          </w:p>
        </w:tc>
        <w:tc>
          <w:tcPr>
            <w:tcW w:w="33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jc w:val="center"/>
              <w:rPr>
                <w:i/>
                <w:color w:val="000000"/>
                <w:spacing w:val="-2"/>
              </w:rPr>
            </w:pPr>
            <w:r w:rsidRPr="00593B5F">
              <w:rPr>
                <w:i/>
                <w:color w:val="000000"/>
                <w:spacing w:val="-2"/>
              </w:rPr>
              <w:t>Łącznie</w:t>
            </w:r>
            <w:r w:rsidRPr="00593B5F" w:rsidDel="0073273A">
              <w:rPr>
                <w:i/>
                <w:color w:val="000000"/>
                <w:spacing w:val="-2"/>
              </w:rPr>
              <w:t xml:space="preserve"> </w:t>
            </w:r>
            <w:r w:rsidRPr="00593B5F">
              <w:rPr>
                <w:i/>
                <w:color w:val="000000"/>
                <w:spacing w:val="-2"/>
              </w:rPr>
              <w:t>(0-10)</w:t>
            </w:r>
          </w:p>
        </w:tc>
      </w:tr>
      <w:tr w:rsidR="00916AD5" w:rsidRPr="00593B5F" w:rsidTr="00BE3EB9">
        <w:trPr>
          <w:trHeight w:val="142"/>
        </w:trPr>
        <w:tc>
          <w:tcPr>
            <w:tcW w:w="834" w:type="pct"/>
            <w:vMerge w:val="restar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W ujęciu pieniężnym</w:t>
            </w:r>
          </w:p>
          <w:p w:rsidR="00BE3EB9" w:rsidRPr="00593B5F" w:rsidRDefault="00BE3EB9" w:rsidP="00E153CD">
            <w:pPr>
              <w:suppressAutoHyphens/>
              <w:rPr>
                <w:spacing w:val="-2"/>
              </w:rPr>
            </w:pPr>
            <w:r w:rsidRPr="00593B5F">
              <w:rPr>
                <w:spacing w:val="-2"/>
              </w:rPr>
              <w:t xml:space="preserve">(w mln zł, 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spacing w:val="-2"/>
              </w:rPr>
              <w:t xml:space="preserve">ceny stałe z </w:t>
            </w:r>
            <w:r>
              <w:rPr>
                <w:spacing w:val="-2"/>
              </w:rPr>
              <w:t>2018</w:t>
            </w:r>
            <w:r w:rsidRPr="00593B5F">
              <w:rPr>
                <w:spacing w:val="-2"/>
              </w:rPr>
              <w:t xml:space="preserve"> r.)</w:t>
            </w: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duże przedsiębiorstwa</w:t>
            </w:r>
          </w:p>
        </w:tc>
        <w:tc>
          <w:tcPr>
            <w:tcW w:w="45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5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33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  <w:spacing w:val="-2"/>
              </w:rPr>
            </w:pPr>
          </w:p>
        </w:tc>
      </w:tr>
      <w:tr w:rsidR="00916AD5" w:rsidRPr="00593B5F" w:rsidTr="00BE3EB9">
        <w:trPr>
          <w:trHeight w:val="142"/>
        </w:trPr>
        <w:tc>
          <w:tcPr>
            <w:tcW w:w="834" w:type="pct"/>
            <w:vMerge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sektor mikro-, małych i średnich przedsiębiorstw</w:t>
            </w:r>
          </w:p>
        </w:tc>
        <w:tc>
          <w:tcPr>
            <w:tcW w:w="45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5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33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  <w:spacing w:val="-2"/>
              </w:rPr>
            </w:pPr>
          </w:p>
        </w:tc>
      </w:tr>
      <w:tr w:rsidR="00916AD5" w:rsidRPr="00593B5F" w:rsidTr="00BE3EB9">
        <w:trPr>
          <w:trHeight w:val="142"/>
        </w:trPr>
        <w:tc>
          <w:tcPr>
            <w:tcW w:w="834" w:type="pct"/>
            <w:vMerge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t>rodzina, obywatele oraz gospodarstwa domowe</w:t>
            </w:r>
          </w:p>
        </w:tc>
        <w:tc>
          <w:tcPr>
            <w:tcW w:w="45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5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33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  <w:spacing w:val="-2"/>
              </w:rPr>
            </w:pPr>
          </w:p>
        </w:tc>
      </w:tr>
      <w:tr w:rsidR="00916AD5" w:rsidRPr="00593B5F" w:rsidTr="00BE3EB9">
        <w:trPr>
          <w:trHeight w:val="142"/>
        </w:trPr>
        <w:tc>
          <w:tcPr>
            <w:tcW w:w="834" w:type="pct"/>
            <w:vMerge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593B5F">
              <w:rPr>
                <w:color w:val="000000"/>
              </w:rPr>
              <w:instrText xml:space="preserve"> FORMTEXT </w:instrText>
            </w:r>
            <w:r w:rsidRPr="00593B5F">
              <w:rPr>
                <w:color w:val="000000"/>
              </w:rPr>
            </w:r>
            <w:r w:rsidRPr="00593B5F">
              <w:rPr>
                <w:color w:val="000000"/>
              </w:rPr>
              <w:fldChar w:fldCharType="separate"/>
            </w:r>
            <w:r w:rsidRPr="00593B5F">
              <w:rPr>
                <w:noProof/>
                <w:color w:val="000000"/>
              </w:rPr>
              <w:t>(dodaj/usuń)</w:t>
            </w:r>
            <w:r w:rsidRPr="00593B5F">
              <w:rPr>
                <w:color w:val="000000"/>
              </w:rPr>
              <w:fldChar w:fldCharType="end"/>
            </w:r>
          </w:p>
        </w:tc>
        <w:tc>
          <w:tcPr>
            <w:tcW w:w="459" w:type="pct"/>
            <w:gridSpan w:val="2"/>
            <w:shd w:val="clear" w:color="auto" w:fill="FFFFFF"/>
          </w:tcPr>
          <w:p w:rsidR="00BE3EB9" w:rsidRPr="00593B5F" w:rsidRDefault="00BE3EB9" w:rsidP="00E153CD">
            <w:pPr>
              <w:suppressAutoHyphens/>
              <w:jc w:val="right"/>
              <w:rPr>
                <w:color w:val="000000"/>
              </w:rPr>
            </w:pPr>
          </w:p>
        </w:tc>
        <w:tc>
          <w:tcPr>
            <w:tcW w:w="459" w:type="pct"/>
            <w:gridSpan w:val="5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459" w:type="pct"/>
            <w:gridSpan w:val="4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459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339" w:type="pc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</w:p>
        </w:tc>
      </w:tr>
      <w:tr w:rsidR="00BE3EB9" w:rsidRPr="00593B5F" w:rsidTr="00BE3EB9">
        <w:trPr>
          <w:trHeight w:val="142"/>
        </w:trPr>
        <w:tc>
          <w:tcPr>
            <w:tcW w:w="834" w:type="pct"/>
            <w:vMerge w:val="restar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W ujęciu niepieniężnym</w:t>
            </w: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duże przedsiębiorstwa</w:t>
            </w:r>
          </w:p>
        </w:tc>
        <w:tc>
          <w:tcPr>
            <w:tcW w:w="3095" w:type="pct"/>
            <w:gridSpan w:val="22"/>
            <w:shd w:val="clear" w:color="auto" w:fill="FFFFFF"/>
          </w:tcPr>
          <w:p w:rsidR="00BE3EB9" w:rsidRPr="00593B5F" w:rsidRDefault="00433E1C" w:rsidP="00E153CD">
            <w:pPr>
              <w:suppressAutoHyphens/>
              <w:rPr>
                <w:color w:val="000000"/>
                <w:spacing w:val="-2"/>
              </w:rPr>
            </w:pPr>
            <w:r w:rsidRPr="00433E1C">
              <w:rPr>
                <w:color w:val="000000"/>
                <w:spacing w:val="-2"/>
              </w:rPr>
              <w:t>Precyzyjne określenie wymagań techniczno-eksploatacyjnych odbiorników radiofonii DAB+ pozwoli na uporządkowanie rynku. Dostawcy będą mogli dostosować swoje produkty do wymagań krajowych, a klienci wybrać produkt, którego podstawowe funkcje będą działać prawidłowo na terenie całego kraju.</w:t>
            </w:r>
          </w:p>
        </w:tc>
      </w:tr>
      <w:tr w:rsidR="00BE3EB9" w:rsidRPr="00593B5F" w:rsidTr="00BE3EB9">
        <w:trPr>
          <w:trHeight w:val="142"/>
        </w:trPr>
        <w:tc>
          <w:tcPr>
            <w:tcW w:w="834" w:type="pct"/>
            <w:vMerge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sektor mikro-, małych i średnich przedsiębiorstw</w:t>
            </w:r>
          </w:p>
        </w:tc>
        <w:tc>
          <w:tcPr>
            <w:tcW w:w="3095" w:type="pct"/>
            <w:gridSpan w:val="22"/>
            <w:shd w:val="clear" w:color="auto" w:fill="FFFFFF"/>
          </w:tcPr>
          <w:p w:rsidR="00BE3EB9" w:rsidRPr="00593B5F" w:rsidRDefault="00CE6D8B" w:rsidP="003471E3">
            <w:pPr>
              <w:suppressAutoHyphens/>
              <w:rPr>
                <w:color w:val="000000"/>
                <w:spacing w:val="-2"/>
              </w:rPr>
            </w:pPr>
            <w:r w:rsidRPr="00CE6D8B">
              <w:rPr>
                <w:color w:val="000000"/>
                <w:spacing w:val="-2"/>
              </w:rPr>
              <w:t>Możliwości odbiorników radiofonii DAB+ poprzez prezentowanie treści tekstowych i graficznych umożliwią rozwój rynku reklamowego.</w:t>
            </w:r>
          </w:p>
        </w:tc>
      </w:tr>
      <w:tr w:rsidR="00BE3EB9" w:rsidRPr="00593B5F" w:rsidTr="00BE3EB9">
        <w:trPr>
          <w:trHeight w:val="596"/>
        </w:trPr>
        <w:tc>
          <w:tcPr>
            <w:tcW w:w="834" w:type="pct"/>
            <w:vMerge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tabs>
                <w:tab w:val="right" w:pos="1936"/>
              </w:tabs>
              <w:suppressAutoHyphens/>
              <w:rPr>
                <w:color w:val="000000"/>
              </w:rPr>
            </w:pPr>
            <w:r w:rsidRPr="00593B5F">
              <w:t>rodzina, obywatele oraz gospodarstwa domowe</w:t>
            </w:r>
            <w:r w:rsidRPr="00593B5F">
              <w:rPr>
                <w:color w:val="000000"/>
              </w:rPr>
              <w:t xml:space="preserve"> </w:t>
            </w:r>
          </w:p>
        </w:tc>
        <w:tc>
          <w:tcPr>
            <w:tcW w:w="3095" w:type="pct"/>
            <w:gridSpan w:val="22"/>
            <w:shd w:val="clear" w:color="auto" w:fill="FFFFFF"/>
          </w:tcPr>
          <w:p w:rsidR="00B02968" w:rsidRDefault="00970CBE" w:rsidP="003A0B4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Rozpowszechnienie odbiorników radiofonii </w:t>
            </w:r>
            <w:r w:rsidR="00123201">
              <w:rPr>
                <w:color w:val="000000"/>
                <w:spacing w:val="-2"/>
              </w:rPr>
              <w:t>D</w:t>
            </w:r>
            <w:r w:rsidR="00811CCF">
              <w:rPr>
                <w:color w:val="000000"/>
                <w:spacing w:val="-2"/>
              </w:rPr>
              <w:t>AB+ umożliwi</w:t>
            </w:r>
            <w:r>
              <w:rPr>
                <w:color w:val="000000"/>
                <w:spacing w:val="-2"/>
              </w:rPr>
              <w:t xml:space="preserve"> korzystanie </w:t>
            </w:r>
            <w:r w:rsidR="00D4574C">
              <w:rPr>
                <w:color w:val="000000"/>
                <w:spacing w:val="-2"/>
              </w:rPr>
              <w:t>z</w:t>
            </w:r>
            <w:r>
              <w:rPr>
                <w:color w:val="000000"/>
                <w:spacing w:val="-2"/>
              </w:rPr>
              <w:t xml:space="preserve"> w</w:t>
            </w:r>
            <w:r w:rsidR="00B02968" w:rsidRPr="00B02968">
              <w:rPr>
                <w:color w:val="000000"/>
                <w:spacing w:val="-2"/>
              </w:rPr>
              <w:t>iększ</w:t>
            </w:r>
            <w:r w:rsidR="00D4574C">
              <w:rPr>
                <w:color w:val="000000"/>
                <w:spacing w:val="-2"/>
              </w:rPr>
              <w:t>ej</w:t>
            </w:r>
            <w:r w:rsidR="00B02968" w:rsidRPr="00B02968">
              <w:rPr>
                <w:color w:val="000000"/>
                <w:spacing w:val="-2"/>
              </w:rPr>
              <w:t xml:space="preserve"> pojemnoś</w:t>
            </w:r>
            <w:r w:rsidR="003471E3">
              <w:rPr>
                <w:color w:val="000000"/>
                <w:spacing w:val="-2"/>
              </w:rPr>
              <w:t>ci</w:t>
            </w:r>
            <w:r w:rsidR="00B02968" w:rsidRPr="00B02968">
              <w:rPr>
                <w:color w:val="000000"/>
                <w:spacing w:val="-2"/>
              </w:rPr>
              <w:t xml:space="preserve"> systemu DAB+</w:t>
            </w:r>
            <w:r w:rsidR="00811CCF">
              <w:rPr>
                <w:color w:val="000000"/>
                <w:spacing w:val="-2"/>
              </w:rPr>
              <w:t xml:space="preserve">, co </w:t>
            </w:r>
            <w:r w:rsidR="00B02968" w:rsidRPr="00B02968">
              <w:rPr>
                <w:color w:val="000000"/>
                <w:spacing w:val="-2"/>
              </w:rPr>
              <w:t>pozwala na ro</w:t>
            </w:r>
            <w:r w:rsidR="00811CCF">
              <w:rPr>
                <w:color w:val="000000"/>
                <w:spacing w:val="-2"/>
              </w:rPr>
              <w:t xml:space="preserve">zszerzenie oferty programowej o nowe </w:t>
            </w:r>
            <w:r w:rsidR="00B02968" w:rsidRPr="00B02968">
              <w:rPr>
                <w:color w:val="000000"/>
                <w:spacing w:val="-2"/>
              </w:rPr>
              <w:t>programy tematyczne (</w:t>
            </w:r>
            <w:r w:rsidR="00811CCF">
              <w:rPr>
                <w:color w:val="000000"/>
                <w:spacing w:val="-2"/>
              </w:rPr>
              <w:t xml:space="preserve">np. </w:t>
            </w:r>
            <w:r w:rsidR="00B02968" w:rsidRPr="00B02968">
              <w:rPr>
                <w:color w:val="000000"/>
                <w:spacing w:val="-2"/>
              </w:rPr>
              <w:t>dla dzieci, ekonomiczne, muzyczne, itp.)</w:t>
            </w:r>
          </w:p>
          <w:p w:rsidR="00BE3EB9" w:rsidRPr="00593B5F" w:rsidRDefault="00970CBE" w:rsidP="00D4574C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Funkcjonalności odbiorników radiofonii DAB+ </w:t>
            </w:r>
            <w:r w:rsidR="003471E3">
              <w:rPr>
                <w:color w:val="000000"/>
                <w:spacing w:val="-2"/>
              </w:rPr>
              <w:t xml:space="preserve">umożliwią </w:t>
            </w:r>
            <w:r w:rsidR="003471E3" w:rsidRPr="003A0B4D">
              <w:rPr>
                <w:color w:val="000000"/>
                <w:spacing w:val="-2"/>
              </w:rPr>
              <w:t>tworzenie</w:t>
            </w:r>
            <w:r w:rsidR="003A0B4D" w:rsidRPr="003A0B4D">
              <w:rPr>
                <w:color w:val="000000"/>
                <w:spacing w:val="-2"/>
              </w:rPr>
              <w:t xml:space="preserve"> usług skierowanych do osób z ograniczonym rozumieniem języka polskiego albo z ograniczeniami słuchu z uwagi na możliwości odbiornik</w:t>
            </w:r>
            <w:r w:rsidR="00D4574C">
              <w:rPr>
                <w:color w:val="000000"/>
                <w:spacing w:val="-2"/>
              </w:rPr>
              <w:t xml:space="preserve">ów radiofonii </w:t>
            </w:r>
            <w:r w:rsidR="003A0B4D" w:rsidRPr="003A0B4D">
              <w:rPr>
                <w:color w:val="000000"/>
                <w:spacing w:val="-2"/>
              </w:rPr>
              <w:t xml:space="preserve">DAB+, </w:t>
            </w:r>
            <w:r w:rsidR="003471E3" w:rsidRPr="003A0B4D">
              <w:rPr>
                <w:color w:val="000000"/>
                <w:spacing w:val="-2"/>
              </w:rPr>
              <w:t>które pozwalają</w:t>
            </w:r>
            <w:r w:rsidR="003A0B4D" w:rsidRPr="003A0B4D">
              <w:rPr>
                <w:color w:val="000000"/>
                <w:spacing w:val="-2"/>
              </w:rPr>
              <w:t xml:space="preserve"> nie tylko na przekaz głosowy, ale również na prezentowanie treści tekstowych i graficznych. Także dobra jakość dźwięku umożliwi lepsz</w:t>
            </w:r>
            <w:r w:rsidR="003A0B4D">
              <w:rPr>
                <w:color w:val="000000"/>
                <w:spacing w:val="-2"/>
              </w:rPr>
              <w:t>ą</w:t>
            </w:r>
            <w:r w:rsidR="003A0B4D" w:rsidRPr="003A0B4D">
              <w:rPr>
                <w:color w:val="000000"/>
                <w:spacing w:val="-2"/>
              </w:rPr>
              <w:t xml:space="preserve"> zrozumiałość treści przez osoby z upośledzeniem słuchu.</w:t>
            </w:r>
          </w:p>
        </w:tc>
      </w:tr>
      <w:tr w:rsidR="00BE3EB9" w:rsidRPr="00593B5F" w:rsidTr="00BE3EB9">
        <w:trPr>
          <w:trHeight w:val="240"/>
        </w:trPr>
        <w:tc>
          <w:tcPr>
            <w:tcW w:w="834" w:type="pct"/>
            <w:vMerge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tabs>
                <w:tab w:val="right" w:pos="1936"/>
              </w:tabs>
              <w:suppressAutoHyphens/>
            </w:pP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593B5F">
              <w:rPr>
                <w:color w:val="000000"/>
              </w:rPr>
              <w:instrText xml:space="preserve"> FORMTEXT </w:instrText>
            </w:r>
            <w:r w:rsidRPr="00593B5F">
              <w:rPr>
                <w:color w:val="000000"/>
              </w:rPr>
            </w:r>
            <w:r w:rsidRPr="00593B5F">
              <w:rPr>
                <w:color w:val="000000"/>
              </w:rPr>
              <w:fldChar w:fldCharType="separate"/>
            </w:r>
            <w:r w:rsidRPr="00593B5F">
              <w:rPr>
                <w:noProof/>
                <w:color w:val="000000"/>
              </w:rPr>
              <w:t>(dodaj/usuń)</w:t>
            </w:r>
            <w:r w:rsidRPr="00593B5F">
              <w:rPr>
                <w:color w:val="000000"/>
              </w:rPr>
              <w:fldChar w:fldCharType="end"/>
            </w:r>
          </w:p>
        </w:tc>
        <w:tc>
          <w:tcPr>
            <w:tcW w:w="3095" w:type="pct"/>
            <w:gridSpan w:val="22"/>
            <w:shd w:val="clear" w:color="auto" w:fill="FFFFFF"/>
          </w:tcPr>
          <w:p w:rsidR="00BE3EB9" w:rsidRPr="00593B5F" w:rsidRDefault="00BE3EB9" w:rsidP="00E153CD">
            <w:pPr>
              <w:tabs>
                <w:tab w:val="left" w:pos="3000"/>
              </w:tabs>
              <w:suppressAutoHyphens/>
              <w:rPr>
                <w:color w:val="000000"/>
                <w:spacing w:val="-2"/>
              </w:rPr>
            </w:pPr>
          </w:p>
        </w:tc>
      </w:tr>
      <w:tr w:rsidR="00BE3EB9" w:rsidRPr="00593B5F" w:rsidTr="00BE3EB9">
        <w:trPr>
          <w:trHeight w:val="142"/>
        </w:trPr>
        <w:tc>
          <w:tcPr>
            <w:tcW w:w="834" w:type="pct"/>
            <w:vMerge w:val="restart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Niemierzalne</w:t>
            </w: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593B5F">
              <w:rPr>
                <w:color w:val="000000"/>
              </w:rPr>
              <w:instrText xml:space="preserve"> FORMTEXT </w:instrText>
            </w:r>
            <w:r w:rsidRPr="00593B5F">
              <w:rPr>
                <w:color w:val="000000"/>
              </w:rPr>
            </w:r>
            <w:r w:rsidRPr="00593B5F">
              <w:rPr>
                <w:color w:val="000000"/>
              </w:rPr>
              <w:fldChar w:fldCharType="separate"/>
            </w:r>
            <w:r w:rsidRPr="00593B5F">
              <w:rPr>
                <w:noProof/>
                <w:color w:val="000000"/>
              </w:rPr>
              <w:t>(dodaj/usuń)</w:t>
            </w:r>
            <w:r w:rsidRPr="00593B5F">
              <w:rPr>
                <w:color w:val="000000"/>
              </w:rPr>
              <w:fldChar w:fldCharType="end"/>
            </w:r>
          </w:p>
        </w:tc>
        <w:tc>
          <w:tcPr>
            <w:tcW w:w="3095" w:type="pct"/>
            <w:gridSpan w:val="2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</w:p>
        </w:tc>
      </w:tr>
      <w:tr w:rsidR="00BE3EB9" w:rsidRPr="00593B5F" w:rsidTr="00BE3EB9">
        <w:trPr>
          <w:trHeight w:val="142"/>
        </w:trPr>
        <w:tc>
          <w:tcPr>
            <w:tcW w:w="834" w:type="pct"/>
            <w:vMerge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1071" w:type="pct"/>
            <w:gridSpan w:val="6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593B5F">
              <w:rPr>
                <w:color w:val="000000"/>
              </w:rPr>
              <w:instrText xml:space="preserve"> FORMTEXT </w:instrText>
            </w:r>
            <w:r w:rsidRPr="00593B5F">
              <w:rPr>
                <w:color w:val="000000"/>
              </w:rPr>
            </w:r>
            <w:r w:rsidRPr="00593B5F">
              <w:rPr>
                <w:color w:val="000000"/>
              </w:rPr>
              <w:fldChar w:fldCharType="separate"/>
            </w:r>
            <w:r w:rsidRPr="00593B5F">
              <w:rPr>
                <w:noProof/>
                <w:color w:val="000000"/>
              </w:rPr>
              <w:t>(dodaj/usuń)</w:t>
            </w:r>
            <w:r w:rsidRPr="00593B5F">
              <w:rPr>
                <w:color w:val="000000"/>
              </w:rPr>
              <w:fldChar w:fldCharType="end"/>
            </w:r>
          </w:p>
        </w:tc>
        <w:tc>
          <w:tcPr>
            <w:tcW w:w="3095" w:type="pct"/>
            <w:gridSpan w:val="2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</w:p>
        </w:tc>
      </w:tr>
      <w:tr w:rsidR="00BE3EB9" w:rsidRPr="00593B5F" w:rsidTr="00BE3EB9">
        <w:trPr>
          <w:trHeight w:val="1643"/>
        </w:trPr>
        <w:tc>
          <w:tcPr>
            <w:tcW w:w="1528" w:type="pct"/>
            <w:gridSpan w:val="3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 xml:space="preserve">Dodatkowe informacje, </w:t>
            </w:r>
            <w:r w:rsidRPr="00593B5F">
              <w:rPr>
                <w:color w:val="000000"/>
              </w:rPr>
              <w:br/>
              <w:t xml:space="preserve">w tym wskazanie źródeł danych i przyjętych do obliczeń założeń </w:t>
            </w:r>
          </w:p>
        </w:tc>
        <w:tc>
          <w:tcPr>
            <w:tcW w:w="3472" w:type="pct"/>
            <w:gridSpan w:val="26"/>
            <w:shd w:val="clear" w:color="auto" w:fill="FFFFFF"/>
            <w:vAlign w:val="center"/>
          </w:tcPr>
          <w:p w:rsidR="00BE3EB9" w:rsidRPr="00593B5F" w:rsidRDefault="00BE3EB9" w:rsidP="00D50C48">
            <w:pPr>
              <w:suppressAutoHyphens/>
              <w:jc w:val="both"/>
              <w:rPr>
                <w:color w:val="000000"/>
              </w:rPr>
            </w:pPr>
          </w:p>
        </w:tc>
      </w:tr>
      <w:tr w:rsidR="00BE3EB9" w:rsidRPr="00593B5F" w:rsidTr="00BE3EB9">
        <w:trPr>
          <w:trHeight w:val="342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BE3EB9" w:rsidRPr="00593B5F" w:rsidTr="00BE3EB9">
        <w:trPr>
          <w:trHeight w:val="151"/>
        </w:trPr>
        <w:tc>
          <w:tcPr>
            <w:tcW w:w="5000" w:type="pct"/>
            <w:gridSpan w:val="29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064067" wp14:editId="38E16EE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33655</wp:posOffset>
                      </wp:positionV>
                      <wp:extent cx="161925" cy="114300"/>
                      <wp:effectExtent l="0" t="0" r="28575" b="19050"/>
                      <wp:wrapNone/>
                      <wp:docPr id="4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19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AEE0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4" o:spid="_x0000_s1026" type="#_x0000_t32" style="position:absolute;margin-left:.15pt;margin-top:2.65pt;width:12.75pt;height:9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67A82C" wp14:editId="12AB722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33655</wp:posOffset>
                      </wp:positionV>
                      <wp:extent cx="161925" cy="114300"/>
                      <wp:effectExtent l="0" t="0" r="28575" b="19050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63BE6" id="Łącznik prosty ze strzałką 3" o:spid="_x0000_s1026" type="#_x0000_t32" style="position:absolute;margin-left:.15pt;margin-top:2.65pt;width:12.7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"/>
                  </w:pict>
                </mc:Fallback>
              </mc:AlternateContent>
            </w: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nie dotyczy</w:t>
            </w:r>
          </w:p>
        </w:tc>
      </w:tr>
      <w:tr w:rsidR="00BE3EB9" w:rsidRPr="00593B5F" w:rsidTr="00BE3EB9">
        <w:trPr>
          <w:trHeight w:val="946"/>
        </w:trPr>
        <w:tc>
          <w:tcPr>
            <w:tcW w:w="2504" w:type="pct"/>
            <w:gridSpan w:val="1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  <w:spacing w:val="-2"/>
              </w:rPr>
              <w:t xml:space="preserve">Wprowadzane są obciążenia poza bezwzględnie wymaganymi przez UE </w:t>
            </w:r>
            <w:r w:rsidRPr="00593B5F">
              <w:rPr>
                <w:color w:val="000000"/>
              </w:rPr>
              <w:t>(szczegóły w odwróconej tabeli zgodności).</w:t>
            </w:r>
          </w:p>
        </w:tc>
        <w:tc>
          <w:tcPr>
            <w:tcW w:w="2496" w:type="pct"/>
            <w:gridSpan w:val="17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tak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nie</w:t>
            </w:r>
          </w:p>
          <w:p w:rsidR="00BE3EB9" w:rsidRPr="00593B5F" w:rsidRDefault="003471E3" w:rsidP="00E153CD">
            <w:pPr>
              <w:suppressAutoHyphens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483284" wp14:editId="2AC6C9B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13335</wp:posOffset>
                      </wp:positionV>
                      <wp:extent cx="161925" cy="114300"/>
                      <wp:effectExtent l="0" t="0" r="28575" b="19050"/>
                      <wp:wrapNone/>
                      <wp:docPr id="7" name="Łącznik prosty ze strzałk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19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A3C6A" id="Łącznik prosty ze strzałką 7" o:spid="_x0000_s1026" type="#_x0000_t32" style="position:absolute;margin-left:1.65pt;margin-top:1.05pt;width:12.75pt;height:9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"/>
                  </w:pict>
                </mc:Fallback>
              </mc:AlternateContent>
            </w:r>
            <w:r w:rsidR="00BE3EB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34800A" wp14:editId="2420D95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17780</wp:posOffset>
                      </wp:positionV>
                      <wp:extent cx="161925" cy="114300"/>
                      <wp:effectExtent l="0" t="0" r="28575" b="19050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B8C10" id="Łącznik prosty ze strzałką 6" o:spid="_x0000_s1026" type="#_x0000_t32" style="position:absolute;margin-left:-.4pt;margin-top:1.4pt;width:12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"/>
                  </w:pict>
                </mc:Fallback>
              </mc:AlternateContent>
            </w:r>
            <w:r w:rsidR="00BE3EB9"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3EB9"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="00BE3EB9" w:rsidRPr="00593B5F">
              <w:rPr>
                <w:color w:val="000000"/>
              </w:rPr>
              <w:fldChar w:fldCharType="end"/>
            </w:r>
            <w:r w:rsidR="00BE3EB9" w:rsidRPr="00593B5F">
              <w:rPr>
                <w:color w:val="000000"/>
              </w:rPr>
              <w:t xml:space="preserve"> nie dotyczy</w:t>
            </w:r>
          </w:p>
        </w:tc>
      </w:tr>
      <w:tr w:rsidR="00BE3EB9" w:rsidRPr="00593B5F" w:rsidTr="00BE3EB9">
        <w:trPr>
          <w:trHeight w:val="1245"/>
        </w:trPr>
        <w:tc>
          <w:tcPr>
            <w:tcW w:w="2504" w:type="pct"/>
            <w:gridSpan w:val="1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 xml:space="preserve">zmniejszenie liczby dokumentów 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zmniejszenie liczby procedur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skrócenie czasu na załatwienie sprawy</w:t>
            </w:r>
          </w:p>
          <w:p w:rsidR="00BE3EB9" w:rsidRPr="00593B5F" w:rsidRDefault="00BE3EB9" w:rsidP="00E153CD">
            <w:pPr>
              <w:suppressAutoHyphens/>
              <w:rPr>
                <w:b/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inne:</w:t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93B5F">
              <w:rPr>
                <w:color w:val="000000"/>
              </w:rPr>
              <w:instrText xml:space="preserve"> FORMTEXT </w:instrText>
            </w:r>
            <w:r w:rsidRPr="00593B5F">
              <w:rPr>
                <w:color w:val="000000"/>
              </w:rPr>
            </w:r>
            <w:r w:rsidRPr="00593B5F">
              <w:rPr>
                <w:color w:val="000000"/>
              </w:rPr>
              <w:fldChar w:fldCharType="separate"/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color w:val="000000"/>
              </w:rPr>
              <w:fldChar w:fldCharType="end"/>
            </w:r>
          </w:p>
        </w:tc>
        <w:tc>
          <w:tcPr>
            <w:tcW w:w="2496" w:type="pct"/>
            <w:gridSpan w:val="17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zwiększenie liczby dokumentów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zwiększenie liczby procedur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wydłużenie czasu na załatwienie sprawy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inne:</w:t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93B5F">
              <w:rPr>
                <w:color w:val="000000"/>
              </w:rPr>
              <w:instrText xml:space="preserve"> FORMTEXT </w:instrText>
            </w:r>
            <w:r w:rsidRPr="00593B5F">
              <w:rPr>
                <w:color w:val="000000"/>
              </w:rPr>
            </w:r>
            <w:r w:rsidRPr="00593B5F">
              <w:rPr>
                <w:color w:val="000000"/>
              </w:rPr>
              <w:fldChar w:fldCharType="separate"/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noProof/>
                <w:color w:val="000000"/>
              </w:rPr>
              <w:t> </w:t>
            </w:r>
            <w:r w:rsidRPr="00593B5F">
              <w:rPr>
                <w:color w:val="000000"/>
              </w:rPr>
              <w:fldChar w:fldCharType="end"/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</w:tr>
      <w:tr w:rsidR="00BE3EB9" w:rsidRPr="00593B5F" w:rsidTr="00BE3EB9">
        <w:trPr>
          <w:trHeight w:val="870"/>
        </w:trPr>
        <w:tc>
          <w:tcPr>
            <w:tcW w:w="2504" w:type="pct"/>
            <w:gridSpan w:val="12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2496" w:type="pct"/>
            <w:gridSpan w:val="17"/>
            <w:shd w:val="clear" w:color="auto" w:fill="FFFFFF"/>
          </w:tcPr>
          <w:p w:rsidR="00BE3EB9" w:rsidRPr="00593B5F" w:rsidRDefault="00CB5D84" w:rsidP="00E153CD">
            <w:pPr>
              <w:suppressAutoHyphens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3E08E4" wp14:editId="35E7CE1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288290</wp:posOffset>
                      </wp:positionV>
                      <wp:extent cx="161925" cy="114300"/>
                      <wp:effectExtent l="0" t="0" r="28575" b="1905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C57F3" id="Łącznik prosty ze strzałką 5" o:spid="_x0000_s1026" type="#_x0000_t32" style="position:absolute;margin-left:-.5pt;margin-top:22.7pt;width:12.7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"/>
                  </w:pict>
                </mc:Fallback>
              </mc:AlternateContent>
            </w:r>
            <w:r w:rsidR="00BE3EB9"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3EB9"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="00BE3EB9" w:rsidRPr="00593B5F">
              <w:rPr>
                <w:color w:val="000000"/>
              </w:rPr>
              <w:fldChar w:fldCharType="end"/>
            </w:r>
            <w:r w:rsidR="00BE3EB9" w:rsidRPr="00593B5F">
              <w:rPr>
                <w:color w:val="000000"/>
              </w:rPr>
              <w:t xml:space="preserve"> tak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DA6290" wp14:editId="0D03DAC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33655</wp:posOffset>
                      </wp:positionV>
                      <wp:extent cx="161925" cy="135890"/>
                      <wp:effectExtent l="0" t="0" r="28575" b="35560"/>
                      <wp:wrapNone/>
                      <wp:docPr id="11" name="Łącznik prosty ze strzałką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1925" cy="135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C1A9E" id="Łącznik prosty ze strzałką 11" o:spid="_x0000_s1026" type="#_x0000_t32" style="position:absolute;margin-left:.2pt;margin-top:2.65pt;width:12.75pt;height:10.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"/>
                  </w:pict>
                </mc:Fallback>
              </mc:AlternateContent>
            </w: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nie</w:t>
            </w:r>
          </w:p>
          <w:p w:rsidR="00BE3EB9" w:rsidRPr="00593B5F" w:rsidRDefault="00CB5D84" w:rsidP="00E153CD">
            <w:pPr>
              <w:suppressAutoHyphens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EBA036" wp14:editId="556E14C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61925" cy="114300"/>
                      <wp:effectExtent l="0" t="0" r="28575" b="19050"/>
                      <wp:wrapNone/>
                      <wp:docPr id="8" name="Łącznik prosty ze strzałk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8935F" id="Łącznik prosty ze strzałką 8" o:spid="_x0000_s1026" type="#_x0000_t32" style="position:absolute;margin-left:-.5pt;margin-top:.3pt;width:12.7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"/>
                  </w:pict>
                </mc:Fallback>
              </mc:AlternateContent>
            </w:r>
            <w:r w:rsidR="00BE3EB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1F017B" wp14:editId="6F88D5EC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17780</wp:posOffset>
                      </wp:positionV>
                      <wp:extent cx="161925" cy="114300"/>
                      <wp:effectExtent l="0" t="0" r="28575" b="19050"/>
                      <wp:wrapNone/>
                      <wp:docPr id="10" name="Łącznik prosty ze strzałką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19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6FF57" id="Łącznik prosty ze strzałką 10" o:spid="_x0000_s1026" type="#_x0000_t32" style="position:absolute;margin-left:-.4pt;margin-top:1.4pt;width:12.75pt;height: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"/>
                  </w:pict>
                </mc:Fallback>
              </mc:AlternateContent>
            </w:r>
            <w:r w:rsidR="00BE3EB9"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3EB9"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="00BE3EB9" w:rsidRPr="00593B5F">
              <w:rPr>
                <w:color w:val="000000"/>
              </w:rPr>
              <w:fldChar w:fldCharType="end"/>
            </w:r>
            <w:r w:rsidR="00BE3EB9" w:rsidRPr="00593B5F">
              <w:rPr>
                <w:color w:val="000000"/>
              </w:rPr>
              <w:t xml:space="preserve"> nie dotyczy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</w:tc>
      </w:tr>
      <w:tr w:rsidR="00BE3EB9" w:rsidRPr="00593B5F" w:rsidTr="00BE3EB9">
        <w:trPr>
          <w:trHeight w:val="630"/>
        </w:trPr>
        <w:tc>
          <w:tcPr>
            <w:tcW w:w="5000" w:type="pct"/>
            <w:gridSpan w:val="29"/>
            <w:shd w:val="clear" w:color="auto" w:fill="FFFFFF"/>
          </w:tcPr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  <w:r w:rsidRPr="00593B5F">
              <w:rPr>
                <w:color w:val="000000"/>
              </w:rPr>
              <w:t>Komentarz:</w:t>
            </w: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jc w:val="both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t xml:space="preserve">Wpływ na rynek pracy 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auto"/>
          </w:tcPr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  <w:r w:rsidRPr="00593B5F">
              <w:rPr>
                <w:color w:val="000000"/>
              </w:rPr>
              <w:t>Projektowane rozporządzenie nie będzie miało wpływu na rynek pracy.</w:t>
            </w: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</w:rPr>
            </w:pP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jc w:val="both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t>Wpływ na pozostałe obszary</w:t>
            </w:r>
          </w:p>
        </w:tc>
      </w:tr>
      <w:tr w:rsidR="00BE3EB9" w:rsidRPr="00593B5F" w:rsidTr="00BE3EB9">
        <w:trPr>
          <w:trHeight w:val="1031"/>
        </w:trPr>
        <w:tc>
          <w:tcPr>
            <w:tcW w:w="1738" w:type="pct"/>
            <w:gridSpan w:val="5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środowisko naturalne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sytuacja i rozwój regionalny</w:t>
            </w:r>
          </w:p>
          <w:p w:rsidR="00BE3EB9" w:rsidRPr="00593B5F" w:rsidRDefault="00BE3EB9" w:rsidP="00916AD5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 xml:space="preserve">inne: </w:t>
            </w:r>
            <w:r w:rsidR="00916AD5">
              <w:rPr>
                <w:color w:val="000000"/>
              </w:rPr>
              <w:t xml:space="preserve">bezpieczeństwo obywateli </w:t>
            </w:r>
          </w:p>
        </w:tc>
        <w:tc>
          <w:tcPr>
            <w:tcW w:w="1806" w:type="pct"/>
            <w:gridSpan w:val="15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demografia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mienie państwowe</w:t>
            </w:r>
          </w:p>
        </w:tc>
        <w:tc>
          <w:tcPr>
            <w:tcW w:w="1456" w:type="pct"/>
            <w:gridSpan w:val="9"/>
            <w:shd w:val="clear" w:color="auto" w:fill="FFFFFF"/>
          </w:tcPr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</w:p>
          <w:p w:rsidR="00BE3EB9" w:rsidRPr="00593B5F" w:rsidRDefault="00BE3EB9" w:rsidP="00E153CD">
            <w:pPr>
              <w:suppressAutoHyphens/>
              <w:rPr>
                <w:color w:val="000000"/>
                <w:spacing w:val="-2"/>
              </w:rPr>
            </w:pP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informatyzacja</w:t>
            </w:r>
          </w:p>
          <w:p w:rsidR="00BE3EB9" w:rsidRPr="00593B5F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B5F">
              <w:rPr>
                <w:color w:val="000000"/>
              </w:rPr>
              <w:instrText xml:space="preserve"> FORMCHECKBOX </w:instrText>
            </w:r>
            <w:r w:rsidR="00C10E18">
              <w:rPr>
                <w:color w:val="000000"/>
              </w:rPr>
            </w:r>
            <w:r w:rsidR="00C10E18">
              <w:rPr>
                <w:color w:val="000000"/>
              </w:rPr>
              <w:fldChar w:fldCharType="separate"/>
            </w:r>
            <w:r w:rsidRPr="00593B5F">
              <w:rPr>
                <w:color w:val="000000"/>
              </w:rPr>
              <w:fldChar w:fldCharType="end"/>
            </w:r>
            <w:r w:rsidRPr="00593B5F">
              <w:rPr>
                <w:color w:val="000000"/>
              </w:rPr>
              <w:t xml:space="preserve"> </w:t>
            </w:r>
            <w:r w:rsidRPr="00593B5F">
              <w:rPr>
                <w:color w:val="000000"/>
                <w:spacing w:val="-2"/>
              </w:rPr>
              <w:t>zdrowie</w:t>
            </w:r>
          </w:p>
        </w:tc>
      </w:tr>
      <w:tr w:rsidR="00BE3EB9" w:rsidRPr="00593B5F" w:rsidTr="00BE3EB9">
        <w:trPr>
          <w:trHeight w:val="712"/>
        </w:trPr>
        <w:tc>
          <w:tcPr>
            <w:tcW w:w="1528" w:type="pct"/>
            <w:gridSpan w:val="3"/>
            <w:shd w:val="clear" w:color="auto" w:fill="FFFFFF"/>
            <w:vAlign w:val="center"/>
          </w:tcPr>
          <w:p w:rsidR="00BE3EB9" w:rsidRDefault="00BE3EB9" w:rsidP="00E153CD">
            <w:pPr>
              <w:suppressAutoHyphens/>
              <w:rPr>
                <w:color w:val="000000"/>
              </w:rPr>
            </w:pPr>
            <w:r w:rsidRPr="00593B5F">
              <w:rPr>
                <w:color w:val="000000"/>
              </w:rPr>
              <w:t>Omówienie wpływu</w:t>
            </w:r>
          </w:p>
          <w:p w:rsidR="00701BE9" w:rsidRPr="00593B5F" w:rsidRDefault="00701BE9" w:rsidP="00E153CD">
            <w:pPr>
              <w:suppressAutoHyphens/>
              <w:rPr>
                <w:color w:val="000000"/>
              </w:rPr>
            </w:pPr>
          </w:p>
        </w:tc>
        <w:tc>
          <w:tcPr>
            <w:tcW w:w="3472" w:type="pct"/>
            <w:gridSpan w:val="26"/>
            <w:shd w:val="clear" w:color="auto" w:fill="FFFFFF"/>
            <w:vAlign w:val="center"/>
          </w:tcPr>
          <w:p w:rsidR="00BE3EB9" w:rsidRPr="00247E47" w:rsidRDefault="0030668B" w:rsidP="00E153CD">
            <w:pPr>
              <w:suppressAutoHyphens/>
              <w:jc w:val="both"/>
              <w:rPr>
                <w:spacing w:val="-2"/>
              </w:rPr>
            </w:pPr>
            <w:r w:rsidRPr="0030668B">
              <w:rPr>
                <w:spacing w:val="-2"/>
              </w:rPr>
              <w:t>Brak wpływu na pozostałe obszary.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</w:rPr>
            </w:pPr>
            <w:r w:rsidRPr="00593B5F">
              <w:rPr>
                <w:b/>
                <w:spacing w:val="-2"/>
              </w:rPr>
              <w:t>Planowane wykonanie przepisów aktu prawnego</w:t>
            </w:r>
          </w:p>
        </w:tc>
      </w:tr>
      <w:tr w:rsidR="00BE3EB9" w:rsidRPr="00593B5F" w:rsidTr="00BE3EB9">
        <w:trPr>
          <w:trHeight w:val="1132"/>
        </w:trPr>
        <w:tc>
          <w:tcPr>
            <w:tcW w:w="5000" w:type="pct"/>
            <w:gridSpan w:val="29"/>
            <w:shd w:val="clear" w:color="auto" w:fill="FFFFFF"/>
          </w:tcPr>
          <w:p w:rsidR="00BE3EB9" w:rsidRPr="00593B5F" w:rsidRDefault="00BE3EB9" w:rsidP="00E153CD">
            <w:pPr>
              <w:suppressAutoHyphens/>
              <w:jc w:val="both"/>
              <w:rPr>
                <w:spacing w:val="-2"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spacing w:val="-2"/>
              </w:rPr>
            </w:pPr>
            <w:r w:rsidRPr="00D17C3D">
              <w:rPr>
                <w:spacing w:val="-2"/>
              </w:rPr>
              <w:t>Wejście w życie rozporządzenia</w:t>
            </w:r>
            <w:r>
              <w:rPr>
                <w:spacing w:val="-2"/>
              </w:rPr>
              <w:t xml:space="preserve"> przewidziane jest po upływie 30</w:t>
            </w:r>
            <w:r w:rsidRPr="00D17C3D">
              <w:rPr>
                <w:spacing w:val="-2"/>
              </w:rPr>
              <w:t xml:space="preserve"> dni od dnia ogłoszenia</w:t>
            </w:r>
            <w:r>
              <w:rPr>
                <w:spacing w:val="-2"/>
              </w:rPr>
              <w:t>.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BE3EB9" w:rsidRPr="00593B5F" w:rsidRDefault="00BE3EB9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</w:rPr>
            </w:pPr>
            <w:r w:rsidRPr="00593B5F">
              <w:rPr>
                <w:b/>
                <w:color w:val="000000"/>
              </w:rPr>
              <w:t xml:space="preserve"> </w:t>
            </w:r>
            <w:r w:rsidRPr="00593B5F">
              <w:rPr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BE3EB9" w:rsidRDefault="00BE3EB9" w:rsidP="00E153CD">
            <w:pPr>
              <w:suppressAutoHyphens/>
              <w:jc w:val="both"/>
              <w:rPr>
                <w:color w:val="000000"/>
                <w:spacing w:val="-2"/>
              </w:rPr>
            </w:pPr>
            <w:r w:rsidRPr="0030668B">
              <w:rPr>
                <w:spacing w:val="-2"/>
              </w:rPr>
              <w:t>Nie przewiduje się ewaluacji efektów projektu.</w:t>
            </w: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  <w:spacing w:val="-2"/>
              </w:rPr>
            </w:pP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BE3EB9" w:rsidRPr="00593B5F" w:rsidRDefault="00472CB7" w:rsidP="00BE3EB9">
            <w:pPr>
              <w:widowControl/>
              <w:numPr>
                <w:ilvl w:val="0"/>
                <w:numId w:val="46"/>
              </w:numPr>
              <w:suppressAutoHyphens/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 xml:space="preserve"> </w:t>
            </w:r>
            <w:r w:rsidR="00BE3EB9" w:rsidRPr="00593B5F">
              <w:rPr>
                <w:b/>
                <w:color w:val="000000"/>
                <w:spacing w:val="-2"/>
              </w:rPr>
              <w:t xml:space="preserve">Załączniki </w:t>
            </w:r>
            <w:r w:rsidR="00BE3EB9" w:rsidRPr="00593B5F">
              <w:rPr>
                <w:b/>
                <w:spacing w:val="-2"/>
              </w:rPr>
              <w:t>(istotne dokumenty źródłowe, badania, analizy itp.</w:t>
            </w:r>
            <w:r w:rsidR="00BE3EB9" w:rsidRPr="00593B5F">
              <w:rPr>
                <w:b/>
                <w:color w:val="000000"/>
                <w:spacing w:val="-2"/>
              </w:rPr>
              <w:t xml:space="preserve">) </w:t>
            </w:r>
          </w:p>
        </w:tc>
      </w:tr>
      <w:tr w:rsidR="00BE3EB9" w:rsidRPr="00593B5F" w:rsidTr="00BE3EB9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BE3EB9" w:rsidRPr="00593B5F" w:rsidRDefault="00BE3EB9" w:rsidP="00E153CD">
            <w:pPr>
              <w:suppressAutoHyphens/>
              <w:jc w:val="both"/>
              <w:rPr>
                <w:i/>
                <w:color w:val="000000"/>
                <w:spacing w:val="-2"/>
              </w:rPr>
            </w:pPr>
          </w:p>
          <w:p w:rsidR="00BE3EB9" w:rsidRPr="00593B5F" w:rsidRDefault="00BE3EB9" w:rsidP="00E153CD">
            <w:pPr>
              <w:suppressAutoHyphens/>
              <w:jc w:val="both"/>
              <w:rPr>
                <w:color w:val="000000"/>
                <w:spacing w:val="-2"/>
              </w:rPr>
            </w:pPr>
            <w:r w:rsidRPr="00593B5F">
              <w:rPr>
                <w:color w:val="000000"/>
                <w:spacing w:val="-2"/>
              </w:rPr>
              <w:t>Brak</w:t>
            </w:r>
            <w:r>
              <w:rPr>
                <w:color w:val="000000"/>
                <w:spacing w:val="-2"/>
              </w:rPr>
              <w:t>.</w:t>
            </w:r>
          </w:p>
        </w:tc>
      </w:tr>
    </w:tbl>
    <w:p w:rsidR="00BE3EB9" w:rsidRPr="008D7F85" w:rsidRDefault="00BE3EB9" w:rsidP="00BE3EB9">
      <w:pPr>
        <w:suppressAutoHyphens/>
      </w:pPr>
    </w:p>
    <w:p w:rsidR="00BE3EB9" w:rsidRPr="00B660DF" w:rsidRDefault="00BE3EB9" w:rsidP="00EE38A6">
      <w:pPr>
        <w:jc w:val="both"/>
      </w:pPr>
    </w:p>
    <w:p w:rsidR="00776D98" w:rsidRPr="00B660DF" w:rsidRDefault="00776D98" w:rsidP="00776D98"/>
    <w:p w:rsidR="00776D98" w:rsidRPr="00B660DF" w:rsidRDefault="00776D98" w:rsidP="00776D98"/>
    <w:p w:rsidR="00261A16" w:rsidRPr="00737F6A" w:rsidRDefault="00261A16" w:rsidP="00737F6A"/>
    <w:sectPr w:rsidR="00261A16" w:rsidRPr="00737F6A" w:rsidSect="001A7F15">
      <w:headerReference w:type="default" r:id="rId11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E18" w:rsidRDefault="00C10E18">
      <w:r>
        <w:separator/>
      </w:r>
    </w:p>
  </w:endnote>
  <w:endnote w:type="continuationSeparator" w:id="0">
    <w:p w:rsidR="00C10E18" w:rsidRDefault="00C1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E18" w:rsidRDefault="00C10E18">
      <w:r>
        <w:separator/>
      </w:r>
    </w:p>
  </w:footnote>
  <w:footnote w:type="continuationSeparator" w:id="0">
    <w:p w:rsidR="00C10E18" w:rsidRDefault="00C10E18">
      <w:r>
        <w:continuationSeparator/>
      </w:r>
    </w:p>
  </w:footnote>
  <w:footnote w:id="1">
    <w:p w:rsidR="00700A16" w:rsidRDefault="00700A16" w:rsidP="009442FF">
      <w:pPr>
        <w:pStyle w:val="ODNONIKtreodnonika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776D98">
        <w:t>Minister Cyfryzacji kieruje działem administracji rządowej – informatyzacja, na podstawie § 1 ust. 2 rozporządzenia Prezesa Rady Ministrów z dnia 20 kwietnia 2018 r. w sprawie szczegółowego zakresu działania Ministra Cyfryzacji (Dz. U. poz. 761).</w:t>
      </w:r>
    </w:p>
  </w:footnote>
  <w:footnote w:id="2">
    <w:p w:rsidR="00700A16" w:rsidRDefault="00700A16" w:rsidP="009442FF">
      <w:pPr>
        <w:pStyle w:val="Tekstprzypisudolnego"/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442FF">
        <w:rPr>
          <w:rFonts w:ascii="Times New Roman" w:eastAsiaTheme="minorEastAsia" w:hAnsi="Times New Roman" w:cs="Arial"/>
          <w:sz w:val="20"/>
          <w:szCs w:val="20"/>
        </w:rPr>
        <w:t>Niniejsze rozporządzenie  zostało notyfikowane Komisji Europejskiej w dniu … r., pod numerem ..., zgodnie z § 4 rozporządzenia Rady Ministrów z dnia 23 grudnia 2002 r. w sprawie sposobu funkcjonowania krajowego systemu notyfikacji norm i aktów prawnych (Dz. U. poz. 2039 oraz z 2004 r. poz. 597), które wdraża dyrektywę (UE) 2015/1535 Parlamentu Europejskiego i Rady z dnia 9 września 2015 r. ustanawiającą procedurę udzielania informacji w dziedzinie przepisów technicznych oraz zasad dotyczących usług społeczeństwa informacyjnego (Dz. Urz. UE L 241 z 17.09.2015, str. 1).</w:t>
      </w:r>
    </w:p>
  </w:footnote>
  <w:footnote w:id="3">
    <w:p w:rsidR="00700A16" w:rsidRDefault="00700A16" w:rsidP="009442FF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9442FF">
        <w:rPr>
          <w:rFonts w:ascii="Times New Roman" w:eastAsiaTheme="minorEastAsia" w:hAnsi="Times New Roman" w:cs="Arial"/>
          <w:sz w:val="20"/>
          <w:szCs w:val="20"/>
        </w:rPr>
        <w:t>Zmiany tekstu jednolitego wymienionej ustawy zosta</w:t>
      </w:r>
      <w:r w:rsidRPr="009442FF">
        <w:rPr>
          <w:rFonts w:ascii="Times New Roman" w:eastAsiaTheme="minorEastAsia" w:hAnsi="Times New Roman" w:cs="Arial" w:hint="eastAsia"/>
          <w:sz w:val="20"/>
          <w:szCs w:val="20"/>
        </w:rPr>
        <w:t>ł</w:t>
      </w:r>
      <w:r w:rsidRPr="009442FF">
        <w:rPr>
          <w:rFonts w:ascii="Times New Roman" w:eastAsiaTheme="minorEastAsia" w:hAnsi="Times New Roman" w:cs="Arial"/>
          <w:sz w:val="20"/>
          <w:szCs w:val="20"/>
        </w:rPr>
        <w:t>y og</w:t>
      </w:r>
      <w:r w:rsidRPr="009442FF">
        <w:rPr>
          <w:rFonts w:ascii="Times New Roman" w:eastAsiaTheme="minorEastAsia" w:hAnsi="Times New Roman" w:cs="Arial" w:hint="eastAsia"/>
          <w:sz w:val="20"/>
          <w:szCs w:val="20"/>
        </w:rPr>
        <w:t>ł</w:t>
      </w:r>
      <w:r w:rsidRPr="009442FF">
        <w:rPr>
          <w:rFonts w:ascii="Times New Roman" w:eastAsiaTheme="minorEastAsia" w:hAnsi="Times New Roman" w:cs="Arial"/>
          <w:sz w:val="20"/>
          <w:szCs w:val="20"/>
        </w:rPr>
        <w:t>oszone w Dz. U. z 2018 r. poz. 2245 i 2354 oraz z 2019 r. poz. 643, 730, 1030 i 1553.</w:t>
      </w:r>
    </w:p>
  </w:footnote>
  <w:footnote w:id="4">
    <w:p w:rsidR="00700A16" w:rsidRDefault="00700A16" w:rsidP="00147E96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147E96">
        <w:rPr>
          <w:rFonts w:ascii="Times New Roman" w:hAnsi="Times New Roman"/>
          <w:sz w:val="20"/>
          <w:szCs w:val="20"/>
        </w:rPr>
        <w:t>Zmiany tekstu jednolitego wymienionej ustawy zostały ogłoszone w Dz. U. z 2018 r. poz. 2244 i 2322 oraz z 2019 r. poz. 53,</w:t>
      </w:r>
      <w:r>
        <w:rPr>
          <w:rFonts w:ascii="Times New Roman" w:hAnsi="Times New Roman"/>
          <w:sz w:val="20"/>
          <w:szCs w:val="20"/>
        </w:rPr>
        <w:t xml:space="preserve"> </w:t>
      </w:r>
      <w:r w:rsidRPr="00147E96">
        <w:rPr>
          <w:rFonts w:ascii="Times New Roman" w:hAnsi="Times New Roman"/>
          <w:sz w:val="20"/>
          <w:szCs w:val="20"/>
        </w:rPr>
        <w:t>60,</w:t>
      </w:r>
      <w:r>
        <w:rPr>
          <w:rFonts w:ascii="Times New Roman" w:hAnsi="Times New Roman"/>
          <w:sz w:val="20"/>
          <w:szCs w:val="20"/>
        </w:rPr>
        <w:t xml:space="preserve"> </w:t>
      </w:r>
      <w:r w:rsidRPr="00147E96">
        <w:rPr>
          <w:rFonts w:ascii="Times New Roman" w:hAnsi="Times New Roman"/>
          <w:sz w:val="20"/>
          <w:szCs w:val="20"/>
        </w:rPr>
        <w:t>730,</w:t>
      </w:r>
      <w:r>
        <w:rPr>
          <w:rFonts w:ascii="Times New Roman" w:hAnsi="Times New Roman"/>
          <w:sz w:val="20"/>
          <w:szCs w:val="20"/>
        </w:rPr>
        <w:t xml:space="preserve"> </w:t>
      </w:r>
      <w:r w:rsidRPr="00147E96">
        <w:rPr>
          <w:rFonts w:ascii="Times New Roman" w:hAnsi="Times New Roman"/>
          <w:sz w:val="20"/>
          <w:szCs w:val="20"/>
        </w:rPr>
        <w:t>752,</w:t>
      </w:r>
      <w:r>
        <w:rPr>
          <w:rFonts w:ascii="Times New Roman" w:hAnsi="Times New Roman"/>
          <w:sz w:val="20"/>
          <w:szCs w:val="20"/>
        </w:rPr>
        <w:t xml:space="preserve"> 870, </w:t>
      </w:r>
      <w:r w:rsidRPr="00147E96">
        <w:rPr>
          <w:rFonts w:ascii="Times New Roman" w:hAnsi="Times New Roman"/>
          <w:sz w:val="20"/>
          <w:szCs w:val="20"/>
        </w:rPr>
        <w:t>1123,</w:t>
      </w:r>
      <w:r>
        <w:rPr>
          <w:rFonts w:ascii="Times New Roman" w:hAnsi="Times New Roman"/>
          <w:sz w:val="20"/>
          <w:szCs w:val="20"/>
        </w:rPr>
        <w:t xml:space="preserve"> </w:t>
      </w:r>
      <w:r w:rsidRPr="00147E96">
        <w:rPr>
          <w:rFonts w:ascii="Times New Roman" w:hAnsi="Times New Roman"/>
          <w:sz w:val="20"/>
          <w:szCs w:val="20"/>
        </w:rPr>
        <w:t>1180,</w:t>
      </w:r>
      <w:r>
        <w:rPr>
          <w:rFonts w:ascii="Times New Roman" w:hAnsi="Times New Roman"/>
          <w:sz w:val="20"/>
          <w:szCs w:val="20"/>
        </w:rPr>
        <w:t xml:space="preserve"> </w:t>
      </w:r>
      <w:r w:rsidRPr="00147E96">
        <w:rPr>
          <w:rFonts w:ascii="Times New Roman" w:hAnsi="Times New Roman"/>
          <w:sz w:val="20"/>
          <w:szCs w:val="20"/>
        </w:rPr>
        <w:t>1466 i 1501.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16" w:rsidRPr="00B371CC" w:rsidRDefault="00700A16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C61AF">
      <w:rPr>
        <w:noProof/>
      </w:rPr>
      <w:t>22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8F4080"/>
    <w:multiLevelType w:val="hybridMultilevel"/>
    <w:tmpl w:val="6AE079B4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 w15:restartNumberingAfterBreak="0">
    <w:nsid w:val="6466691C"/>
    <w:multiLevelType w:val="hybridMultilevel"/>
    <w:tmpl w:val="4D7E2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8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8"/>
  </w:num>
  <w:num w:numId="6">
    <w:abstractNumId w:val="33"/>
  </w:num>
  <w:num w:numId="7">
    <w:abstractNumId w:val="38"/>
  </w:num>
  <w:num w:numId="8">
    <w:abstractNumId w:val="33"/>
  </w:num>
  <w:num w:numId="9">
    <w:abstractNumId w:val="38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7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6"/>
  </w:num>
  <w:num w:numId="28">
    <w:abstractNumId w:val="26"/>
  </w:num>
  <w:num w:numId="29">
    <w:abstractNumId w:val="39"/>
  </w:num>
  <w:num w:numId="30">
    <w:abstractNumId w:val="35"/>
  </w:num>
  <w:num w:numId="31">
    <w:abstractNumId w:val="19"/>
  </w:num>
  <w:num w:numId="32">
    <w:abstractNumId w:val="11"/>
  </w:num>
  <w:num w:numId="33">
    <w:abstractNumId w:val="31"/>
  </w:num>
  <w:num w:numId="34">
    <w:abstractNumId w:val="20"/>
  </w:num>
  <w:num w:numId="35">
    <w:abstractNumId w:val="17"/>
  </w:num>
  <w:num w:numId="36">
    <w:abstractNumId w:val="22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1"/>
  </w:num>
  <w:num w:numId="43">
    <w:abstractNumId w:val="37"/>
  </w:num>
  <w:num w:numId="44">
    <w:abstractNumId w:val="12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D98"/>
    <w:rsid w:val="000012DA"/>
    <w:rsid w:val="0000246E"/>
    <w:rsid w:val="00003862"/>
    <w:rsid w:val="00012A35"/>
    <w:rsid w:val="00015C81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38B0"/>
    <w:rsid w:val="0005571B"/>
    <w:rsid w:val="00057AB3"/>
    <w:rsid w:val="00060076"/>
    <w:rsid w:val="00060432"/>
    <w:rsid w:val="000605D5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3971"/>
    <w:rsid w:val="000944EF"/>
    <w:rsid w:val="0009732D"/>
    <w:rsid w:val="000973F0"/>
    <w:rsid w:val="00097C27"/>
    <w:rsid w:val="000A1296"/>
    <w:rsid w:val="000A1C27"/>
    <w:rsid w:val="000A1DAD"/>
    <w:rsid w:val="000A2649"/>
    <w:rsid w:val="000A264C"/>
    <w:rsid w:val="000A323B"/>
    <w:rsid w:val="000A5792"/>
    <w:rsid w:val="000A74AF"/>
    <w:rsid w:val="000B0CC8"/>
    <w:rsid w:val="000B298D"/>
    <w:rsid w:val="000B39B8"/>
    <w:rsid w:val="000B5B2D"/>
    <w:rsid w:val="000B5DCE"/>
    <w:rsid w:val="000C05BA"/>
    <w:rsid w:val="000C0E8F"/>
    <w:rsid w:val="000C21C9"/>
    <w:rsid w:val="000C3FD6"/>
    <w:rsid w:val="000C4BC4"/>
    <w:rsid w:val="000C7239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E76D0"/>
    <w:rsid w:val="000F2BE3"/>
    <w:rsid w:val="000F3D0D"/>
    <w:rsid w:val="000F4BD7"/>
    <w:rsid w:val="000F6ED4"/>
    <w:rsid w:val="000F79E3"/>
    <w:rsid w:val="000F7A6E"/>
    <w:rsid w:val="001042BA"/>
    <w:rsid w:val="00106D03"/>
    <w:rsid w:val="00110330"/>
    <w:rsid w:val="00110465"/>
    <w:rsid w:val="00110628"/>
    <w:rsid w:val="0011245A"/>
    <w:rsid w:val="0011493E"/>
    <w:rsid w:val="00115B72"/>
    <w:rsid w:val="00116C0A"/>
    <w:rsid w:val="0011754E"/>
    <w:rsid w:val="0011760D"/>
    <w:rsid w:val="001209EC"/>
    <w:rsid w:val="00120A9E"/>
    <w:rsid w:val="00123201"/>
    <w:rsid w:val="00125A9C"/>
    <w:rsid w:val="0012703B"/>
    <w:rsid w:val="001270A2"/>
    <w:rsid w:val="00131237"/>
    <w:rsid w:val="001329AC"/>
    <w:rsid w:val="00134CA0"/>
    <w:rsid w:val="0014026F"/>
    <w:rsid w:val="001419C2"/>
    <w:rsid w:val="00142EAB"/>
    <w:rsid w:val="001457F7"/>
    <w:rsid w:val="00147218"/>
    <w:rsid w:val="00147A47"/>
    <w:rsid w:val="00147AA1"/>
    <w:rsid w:val="00147E96"/>
    <w:rsid w:val="001520CF"/>
    <w:rsid w:val="00155907"/>
    <w:rsid w:val="0015667C"/>
    <w:rsid w:val="00157110"/>
    <w:rsid w:val="0015742A"/>
    <w:rsid w:val="00157DA1"/>
    <w:rsid w:val="00162554"/>
    <w:rsid w:val="00163147"/>
    <w:rsid w:val="00164C57"/>
    <w:rsid w:val="00164C9D"/>
    <w:rsid w:val="0017149E"/>
    <w:rsid w:val="00172F7A"/>
    <w:rsid w:val="00173150"/>
    <w:rsid w:val="00173390"/>
    <w:rsid w:val="001736F0"/>
    <w:rsid w:val="00173BB3"/>
    <w:rsid w:val="001740D0"/>
    <w:rsid w:val="00174527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6191"/>
    <w:rsid w:val="001C1832"/>
    <w:rsid w:val="001C188C"/>
    <w:rsid w:val="001C5677"/>
    <w:rsid w:val="001C61AF"/>
    <w:rsid w:val="001D1783"/>
    <w:rsid w:val="001D200E"/>
    <w:rsid w:val="001D2484"/>
    <w:rsid w:val="001D511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4616"/>
    <w:rsid w:val="001F6616"/>
    <w:rsid w:val="00202BD4"/>
    <w:rsid w:val="00204A97"/>
    <w:rsid w:val="002061D9"/>
    <w:rsid w:val="002114EF"/>
    <w:rsid w:val="002166AD"/>
    <w:rsid w:val="00217871"/>
    <w:rsid w:val="00221ED8"/>
    <w:rsid w:val="002231EA"/>
    <w:rsid w:val="00223FDF"/>
    <w:rsid w:val="002279C0"/>
    <w:rsid w:val="0023727E"/>
    <w:rsid w:val="002419FB"/>
    <w:rsid w:val="00242081"/>
    <w:rsid w:val="00243777"/>
    <w:rsid w:val="00243E40"/>
    <w:rsid w:val="002441CD"/>
    <w:rsid w:val="002449C5"/>
    <w:rsid w:val="002501A3"/>
    <w:rsid w:val="0025166C"/>
    <w:rsid w:val="002555D4"/>
    <w:rsid w:val="00261A16"/>
    <w:rsid w:val="00262545"/>
    <w:rsid w:val="00263522"/>
    <w:rsid w:val="00264EC6"/>
    <w:rsid w:val="00271013"/>
    <w:rsid w:val="00271BC0"/>
    <w:rsid w:val="00273FE4"/>
    <w:rsid w:val="002765B4"/>
    <w:rsid w:val="00276A94"/>
    <w:rsid w:val="00287B5C"/>
    <w:rsid w:val="0029405D"/>
    <w:rsid w:val="00294FA6"/>
    <w:rsid w:val="00295A6F"/>
    <w:rsid w:val="002A0BDE"/>
    <w:rsid w:val="002A0DF0"/>
    <w:rsid w:val="002A20C4"/>
    <w:rsid w:val="002A4825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00A7"/>
    <w:rsid w:val="002C073D"/>
    <w:rsid w:val="002C277E"/>
    <w:rsid w:val="002C27CA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259F"/>
    <w:rsid w:val="002F3483"/>
    <w:rsid w:val="002F669F"/>
    <w:rsid w:val="00300496"/>
    <w:rsid w:val="00301C97"/>
    <w:rsid w:val="00302E2C"/>
    <w:rsid w:val="0030668B"/>
    <w:rsid w:val="0031004C"/>
    <w:rsid w:val="003105F6"/>
    <w:rsid w:val="00311297"/>
    <w:rsid w:val="003113BE"/>
    <w:rsid w:val="003122CA"/>
    <w:rsid w:val="003148FD"/>
    <w:rsid w:val="00314E94"/>
    <w:rsid w:val="00321080"/>
    <w:rsid w:val="00322D45"/>
    <w:rsid w:val="00323AAB"/>
    <w:rsid w:val="00324C2B"/>
    <w:rsid w:val="0032569A"/>
    <w:rsid w:val="00325A1F"/>
    <w:rsid w:val="003268F9"/>
    <w:rsid w:val="003301D3"/>
    <w:rsid w:val="00330BAF"/>
    <w:rsid w:val="00334E3A"/>
    <w:rsid w:val="003361DD"/>
    <w:rsid w:val="00341A6A"/>
    <w:rsid w:val="00343DD6"/>
    <w:rsid w:val="00345B9C"/>
    <w:rsid w:val="003471E3"/>
    <w:rsid w:val="00352DAE"/>
    <w:rsid w:val="00354EB9"/>
    <w:rsid w:val="003602AE"/>
    <w:rsid w:val="00360929"/>
    <w:rsid w:val="003647D5"/>
    <w:rsid w:val="003674B0"/>
    <w:rsid w:val="00371B33"/>
    <w:rsid w:val="0037727C"/>
    <w:rsid w:val="00377E70"/>
    <w:rsid w:val="00380904"/>
    <w:rsid w:val="003823EE"/>
    <w:rsid w:val="00382960"/>
    <w:rsid w:val="00383298"/>
    <w:rsid w:val="003846F7"/>
    <w:rsid w:val="003851ED"/>
    <w:rsid w:val="00385B39"/>
    <w:rsid w:val="00386785"/>
    <w:rsid w:val="00387A1C"/>
    <w:rsid w:val="00390E89"/>
    <w:rsid w:val="00391B1A"/>
    <w:rsid w:val="00394423"/>
    <w:rsid w:val="00395556"/>
    <w:rsid w:val="0039654F"/>
    <w:rsid w:val="00396942"/>
    <w:rsid w:val="00396B49"/>
    <w:rsid w:val="00396E3E"/>
    <w:rsid w:val="003A0B4D"/>
    <w:rsid w:val="003A20F6"/>
    <w:rsid w:val="003A26CD"/>
    <w:rsid w:val="003A306E"/>
    <w:rsid w:val="003A3FD1"/>
    <w:rsid w:val="003A60DC"/>
    <w:rsid w:val="003A6A46"/>
    <w:rsid w:val="003A7A35"/>
    <w:rsid w:val="003A7A63"/>
    <w:rsid w:val="003B000C"/>
    <w:rsid w:val="003B0F1D"/>
    <w:rsid w:val="003B4A57"/>
    <w:rsid w:val="003C0AD9"/>
    <w:rsid w:val="003C0ED0"/>
    <w:rsid w:val="003C1D49"/>
    <w:rsid w:val="003C35C4"/>
    <w:rsid w:val="003D0B78"/>
    <w:rsid w:val="003D12C2"/>
    <w:rsid w:val="003D31B9"/>
    <w:rsid w:val="003D3867"/>
    <w:rsid w:val="003E0D1A"/>
    <w:rsid w:val="003E2DA3"/>
    <w:rsid w:val="003F020D"/>
    <w:rsid w:val="003F03D9"/>
    <w:rsid w:val="003F2A37"/>
    <w:rsid w:val="003F2FBE"/>
    <w:rsid w:val="003F318D"/>
    <w:rsid w:val="003F5BAE"/>
    <w:rsid w:val="003F6ED7"/>
    <w:rsid w:val="003F7410"/>
    <w:rsid w:val="004000E9"/>
    <w:rsid w:val="00401518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25289"/>
    <w:rsid w:val="00425BBA"/>
    <w:rsid w:val="00426C9D"/>
    <w:rsid w:val="00427328"/>
    <w:rsid w:val="00432B76"/>
    <w:rsid w:val="00433E1C"/>
    <w:rsid w:val="00434D01"/>
    <w:rsid w:val="00435D26"/>
    <w:rsid w:val="00435DC0"/>
    <w:rsid w:val="00440C99"/>
    <w:rsid w:val="0044139E"/>
    <w:rsid w:val="0044175C"/>
    <w:rsid w:val="004426D0"/>
    <w:rsid w:val="00445F4D"/>
    <w:rsid w:val="0045021E"/>
    <w:rsid w:val="004504C0"/>
    <w:rsid w:val="004550FB"/>
    <w:rsid w:val="00457DE8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B7"/>
    <w:rsid w:val="00472CD6"/>
    <w:rsid w:val="00474E3C"/>
    <w:rsid w:val="00480A58"/>
    <w:rsid w:val="00482151"/>
    <w:rsid w:val="00485FAD"/>
    <w:rsid w:val="00487AED"/>
    <w:rsid w:val="00491EDF"/>
    <w:rsid w:val="0049260B"/>
    <w:rsid w:val="00492A3F"/>
    <w:rsid w:val="00494F62"/>
    <w:rsid w:val="004A2001"/>
    <w:rsid w:val="004A3590"/>
    <w:rsid w:val="004A6039"/>
    <w:rsid w:val="004B00A7"/>
    <w:rsid w:val="004B25E2"/>
    <w:rsid w:val="004B34D7"/>
    <w:rsid w:val="004B5037"/>
    <w:rsid w:val="004B5B2F"/>
    <w:rsid w:val="004B626A"/>
    <w:rsid w:val="004B660E"/>
    <w:rsid w:val="004C05BD"/>
    <w:rsid w:val="004C125F"/>
    <w:rsid w:val="004C3B06"/>
    <w:rsid w:val="004C3F97"/>
    <w:rsid w:val="004C78C0"/>
    <w:rsid w:val="004C7EE7"/>
    <w:rsid w:val="004D2DEE"/>
    <w:rsid w:val="004D2E1F"/>
    <w:rsid w:val="004D4691"/>
    <w:rsid w:val="004D7FD9"/>
    <w:rsid w:val="004E1324"/>
    <w:rsid w:val="004E19A5"/>
    <w:rsid w:val="004E37E5"/>
    <w:rsid w:val="004E3FDB"/>
    <w:rsid w:val="004E422E"/>
    <w:rsid w:val="004F1F4A"/>
    <w:rsid w:val="004F296D"/>
    <w:rsid w:val="004F470F"/>
    <w:rsid w:val="004F4D8E"/>
    <w:rsid w:val="004F508B"/>
    <w:rsid w:val="004F5982"/>
    <w:rsid w:val="004F695F"/>
    <w:rsid w:val="004F6CA4"/>
    <w:rsid w:val="00500752"/>
    <w:rsid w:val="00500AEE"/>
    <w:rsid w:val="00501A50"/>
    <w:rsid w:val="0050222D"/>
    <w:rsid w:val="00503AF3"/>
    <w:rsid w:val="005054D3"/>
    <w:rsid w:val="0050696D"/>
    <w:rsid w:val="0051094B"/>
    <w:rsid w:val="005110D7"/>
    <w:rsid w:val="00511D99"/>
    <w:rsid w:val="005121CD"/>
    <w:rsid w:val="005128D3"/>
    <w:rsid w:val="005147E8"/>
    <w:rsid w:val="005158F2"/>
    <w:rsid w:val="00521D91"/>
    <w:rsid w:val="005247CC"/>
    <w:rsid w:val="00526DFC"/>
    <w:rsid w:val="00526F43"/>
    <w:rsid w:val="00527651"/>
    <w:rsid w:val="00530437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9F7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44D1"/>
    <w:rsid w:val="005A4EB8"/>
    <w:rsid w:val="005A669D"/>
    <w:rsid w:val="005A75D8"/>
    <w:rsid w:val="005B49A9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AAC"/>
    <w:rsid w:val="005F2EBA"/>
    <w:rsid w:val="005F35ED"/>
    <w:rsid w:val="005F4C6B"/>
    <w:rsid w:val="005F7812"/>
    <w:rsid w:val="005F7A88"/>
    <w:rsid w:val="00603A1A"/>
    <w:rsid w:val="006046D5"/>
    <w:rsid w:val="00607A93"/>
    <w:rsid w:val="00610C08"/>
    <w:rsid w:val="00611F74"/>
    <w:rsid w:val="00615772"/>
    <w:rsid w:val="006157F3"/>
    <w:rsid w:val="00621256"/>
    <w:rsid w:val="00621FCC"/>
    <w:rsid w:val="00622E4B"/>
    <w:rsid w:val="00626603"/>
    <w:rsid w:val="00626E4A"/>
    <w:rsid w:val="006307B8"/>
    <w:rsid w:val="006333DA"/>
    <w:rsid w:val="00635134"/>
    <w:rsid w:val="006356E2"/>
    <w:rsid w:val="00642A65"/>
    <w:rsid w:val="00642EEF"/>
    <w:rsid w:val="006452AD"/>
    <w:rsid w:val="00645DCE"/>
    <w:rsid w:val="006465AC"/>
    <w:rsid w:val="006465BF"/>
    <w:rsid w:val="00650146"/>
    <w:rsid w:val="00653B22"/>
    <w:rsid w:val="00655544"/>
    <w:rsid w:val="006573DD"/>
    <w:rsid w:val="00657BF4"/>
    <w:rsid w:val="006603FB"/>
    <w:rsid w:val="006608DF"/>
    <w:rsid w:val="006623AC"/>
    <w:rsid w:val="006643F1"/>
    <w:rsid w:val="0066723F"/>
    <w:rsid w:val="0066779D"/>
    <w:rsid w:val="006678AF"/>
    <w:rsid w:val="006701EF"/>
    <w:rsid w:val="0067383F"/>
    <w:rsid w:val="00673BA5"/>
    <w:rsid w:val="00676A7D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979D2"/>
    <w:rsid w:val="006A210F"/>
    <w:rsid w:val="006A35D5"/>
    <w:rsid w:val="006A748A"/>
    <w:rsid w:val="006C24CD"/>
    <w:rsid w:val="006C31FF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1DFD"/>
    <w:rsid w:val="006F2648"/>
    <w:rsid w:val="006F2F10"/>
    <w:rsid w:val="006F446C"/>
    <w:rsid w:val="006F482B"/>
    <w:rsid w:val="006F6311"/>
    <w:rsid w:val="00700A16"/>
    <w:rsid w:val="00701952"/>
    <w:rsid w:val="00701BE9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080F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61"/>
    <w:rsid w:val="00771883"/>
    <w:rsid w:val="007745F2"/>
    <w:rsid w:val="00776D98"/>
    <w:rsid w:val="00776DC2"/>
    <w:rsid w:val="00780122"/>
    <w:rsid w:val="00780E9F"/>
    <w:rsid w:val="0078214B"/>
    <w:rsid w:val="0078443E"/>
    <w:rsid w:val="0078498A"/>
    <w:rsid w:val="00786A0D"/>
    <w:rsid w:val="007878FE"/>
    <w:rsid w:val="00792207"/>
    <w:rsid w:val="00792B64"/>
    <w:rsid w:val="00792E29"/>
    <w:rsid w:val="0079379A"/>
    <w:rsid w:val="00794953"/>
    <w:rsid w:val="00795908"/>
    <w:rsid w:val="007A1F2F"/>
    <w:rsid w:val="007A2A5C"/>
    <w:rsid w:val="007A5150"/>
    <w:rsid w:val="007A5373"/>
    <w:rsid w:val="007A789F"/>
    <w:rsid w:val="007B423D"/>
    <w:rsid w:val="007B75BC"/>
    <w:rsid w:val="007C0BD6"/>
    <w:rsid w:val="007C3806"/>
    <w:rsid w:val="007C5AF4"/>
    <w:rsid w:val="007C5B9D"/>
    <w:rsid w:val="007C5BB7"/>
    <w:rsid w:val="007D07D5"/>
    <w:rsid w:val="007D1405"/>
    <w:rsid w:val="007D1C64"/>
    <w:rsid w:val="007D32DD"/>
    <w:rsid w:val="007D6DCE"/>
    <w:rsid w:val="007D72C4"/>
    <w:rsid w:val="007E2CFE"/>
    <w:rsid w:val="007E59C9"/>
    <w:rsid w:val="007F0072"/>
    <w:rsid w:val="007F295D"/>
    <w:rsid w:val="007F2EB6"/>
    <w:rsid w:val="007F4B41"/>
    <w:rsid w:val="007F54C3"/>
    <w:rsid w:val="008016D1"/>
    <w:rsid w:val="00802949"/>
    <w:rsid w:val="0080301E"/>
    <w:rsid w:val="0080365F"/>
    <w:rsid w:val="00805593"/>
    <w:rsid w:val="00806FC7"/>
    <w:rsid w:val="00811C70"/>
    <w:rsid w:val="00811CCF"/>
    <w:rsid w:val="00812BE5"/>
    <w:rsid w:val="00816169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B2C"/>
    <w:rsid w:val="00836DB9"/>
    <w:rsid w:val="00837C67"/>
    <w:rsid w:val="008415B0"/>
    <w:rsid w:val="00842028"/>
    <w:rsid w:val="008436B8"/>
    <w:rsid w:val="008460B6"/>
    <w:rsid w:val="00846420"/>
    <w:rsid w:val="00850C9D"/>
    <w:rsid w:val="00852B59"/>
    <w:rsid w:val="00856272"/>
    <w:rsid w:val="008563FF"/>
    <w:rsid w:val="0085707D"/>
    <w:rsid w:val="0086018B"/>
    <w:rsid w:val="008611DD"/>
    <w:rsid w:val="008620DE"/>
    <w:rsid w:val="00862B85"/>
    <w:rsid w:val="00864A62"/>
    <w:rsid w:val="00866867"/>
    <w:rsid w:val="008678E9"/>
    <w:rsid w:val="00872257"/>
    <w:rsid w:val="00874B11"/>
    <w:rsid w:val="008753E6"/>
    <w:rsid w:val="0087738C"/>
    <w:rsid w:val="008802AF"/>
    <w:rsid w:val="00881926"/>
    <w:rsid w:val="00882A4C"/>
    <w:rsid w:val="00882ADD"/>
    <w:rsid w:val="0088318F"/>
    <w:rsid w:val="0088331D"/>
    <w:rsid w:val="008852B0"/>
    <w:rsid w:val="00885AE7"/>
    <w:rsid w:val="00886B60"/>
    <w:rsid w:val="00887889"/>
    <w:rsid w:val="00887E97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C7458"/>
    <w:rsid w:val="008D0391"/>
    <w:rsid w:val="008D2434"/>
    <w:rsid w:val="008E171D"/>
    <w:rsid w:val="008E2785"/>
    <w:rsid w:val="008E78A3"/>
    <w:rsid w:val="008E7AEF"/>
    <w:rsid w:val="008F0654"/>
    <w:rsid w:val="008F06CB"/>
    <w:rsid w:val="008F1601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6AD5"/>
    <w:rsid w:val="00917CE5"/>
    <w:rsid w:val="009217C0"/>
    <w:rsid w:val="00925241"/>
    <w:rsid w:val="00925CEC"/>
    <w:rsid w:val="00926A3F"/>
    <w:rsid w:val="0092794E"/>
    <w:rsid w:val="00930D30"/>
    <w:rsid w:val="009332A2"/>
    <w:rsid w:val="009359E3"/>
    <w:rsid w:val="00935E2D"/>
    <w:rsid w:val="00937598"/>
    <w:rsid w:val="0093790B"/>
    <w:rsid w:val="00943751"/>
    <w:rsid w:val="009442FF"/>
    <w:rsid w:val="00946DD0"/>
    <w:rsid w:val="009509E6"/>
    <w:rsid w:val="00952018"/>
    <w:rsid w:val="009523FD"/>
    <w:rsid w:val="00952800"/>
    <w:rsid w:val="0095300D"/>
    <w:rsid w:val="00956812"/>
    <w:rsid w:val="00956EEB"/>
    <w:rsid w:val="0095719A"/>
    <w:rsid w:val="009623E9"/>
    <w:rsid w:val="00963EEB"/>
    <w:rsid w:val="009648BC"/>
    <w:rsid w:val="00964C2F"/>
    <w:rsid w:val="00964C78"/>
    <w:rsid w:val="00965F88"/>
    <w:rsid w:val="00970CBE"/>
    <w:rsid w:val="00981A82"/>
    <w:rsid w:val="00984E03"/>
    <w:rsid w:val="00985CC9"/>
    <w:rsid w:val="00987E85"/>
    <w:rsid w:val="00990AC6"/>
    <w:rsid w:val="00995D55"/>
    <w:rsid w:val="009A0D12"/>
    <w:rsid w:val="009A1987"/>
    <w:rsid w:val="009A2BEE"/>
    <w:rsid w:val="009A5289"/>
    <w:rsid w:val="009A719F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0321"/>
    <w:rsid w:val="009D3316"/>
    <w:rsid w:val="009D419C"/>
    <w:rsid w:val="009D55AA"/>
    <w:rsid w:val="009E2905"/>
    <w:rsid w:val="009E3E77"/>
    <w:rsid w:val="009E3FAB"/>
    <w:rsid w:val="009E472D"/>
    <w:rsid w:val="009E5B3F"/>
    <w:rsid w:val="009E7D90"/>
    <w:rsid w:val="009F1AB0"/>
    <w:rsid w:val="009F501D"/>
    <w:rsid w:val="00A00B8F"/>
    <w:rsid w:val="00A039D5"/>
    <w:rsid w:val="00A046AD"/>
    <w:rsid w:val="00A079C1"/>
    <w:rsid w:val="00A11492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2734B"/>
    <w:rsid w:val="00A30E4F"/>
    <w:rsid w:val="00A32253"/>
    <w:rsid w:val="00A3310E"/>
    <w:rsid w:val="00A333A0"/>
    <w:rsid w:val="00A37E70"/>
    <w:rsid w:val="00A40253"/>
    <w:rsid w:val="00A42D65"/>
    <w:rsid w:val="00A437E1"/>
    <w:rsid w:val="00A4685E"/>
    <w:rsid w:val="00A50CD4"/>
    <w:rsid w:val="00A51191"/>
    <w:rsid w:val="00A5564B"/>
    <w:rsid w:val="00A56D62"/>
    <w:rsid w:val="00A56F07"/>
    <w:rsid w:val="00A5762C"/>
    <w:rsid w:val="00A600FC"/>
    <w:rsid w:val="00A60BCA"/>
    <w:rsid w:val="00A60C9F"/>
    <w:rsid w:val="00A625F4"/>
    <w:rsid w:val="00A638DA"/>
    <w:rsid w:val="00A64C6A"/>
    <w:rsid w:val="00A65B41"/>
    <w:rsid w:val="00A65E00"/>
    <w:rsid w:val="00A66A78"/>
    <w:rsid w:val="00A7436E"/>
    <w:rsid w:val="00A74E96"/>
    <w:rsid w:val="00A75A8E"/>
    <w:rsid w:val="00A81C15"/>
    <w:rsid w:val="00A824DD"/>
    <w:rsid w:val="00A83676"/>
    <w:rsid w:val="00A83B7B"/>
    <w:rsid w:val="00A84274"/>
    <w:rsid w:val="00A850F3"/>
    <w:rsid w:val="00A864E3"/>
    <w:rsid w:val="00A92379"/>
    <w:rsid w:val="00A934C6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B6D6C"/>
    <w:rsid w:val="00AC00F2"/>
    <w:rsid w:val="00AC1432"/>
    <w:rsid w:val="00AC31B5"/>
    <w:rsid w:val="00AC482E"/>
    <w:rsid w:val="00AC4EA1"/>
    <w:rsid w:val="00AC5381"/>
    <w:rsid w:val="00AC5920"/>
    <w:rsid w:val="00AD0E65"/>
    <w:rsid w:val="00AD2BF2"/>
    <w:rsid w:val="00AD4487"/>
    <w:rsid w:val="00AD4E90"/>
    <w:rsid w:val="00AD5422"/>
    <w:rsid w:val="00AE4179"/>
    <w:rsid w:val="00AE4425"/>
    <w:rsid w:val="00AE4FBE"/>
    <w:rsid w:val="00AE5600"/>
    <w:rsid w:val="00AE650F"/>
    <w:rsid w:val="00AE6555"/>
    <w:rsid w:val="00AE7D16"/>
    <w:rsid w:val="00AF4CAA"/>
    <w:rsid w:val="00AF571A"/>
    <w:rsid w:val="00AF60A0"/>
    <w:rsid w:val="00AF67FC"/>
    <w:rsid w:val="00AF76CD"/>
    <w:rsid w:val="00AF7DF5"/>
    <w:rsid w:val="00B006E5"/>
    <w:rsid w:val="00B024C2"/>
    <w:rsid w:val="00B02968"/>
    <w:rsid w:val="00B07700"/>
    <w:rsid w:val="00B13921"/>
    <w:rsid w:val="00B148D8"/>
    <w:rsid w:val="00B1528C"/>
    <w:rsid w:val="00B16ACD"/>
    <w:rsid w:val="00B20E63"/>
    <w:rsid w:val="00B21487"/>
    <w:rsid w:val="00B232D1"/>
    <w:rsid w:val="00B24DB5"/>
    <w:rsid w:val="00B253A3"/>
    <w:rsid w:val="00B31F9E"/>
    <w:rsid w:val="00B3268F"/>
    <w:rsid w:val="00B32C2C"/>
    <w:rsid w:val="00B33A1A"/>
    <w:rsid w:val="00B33E6C"/>
    <w:rsid w:val="00B35AB2"/>
    <w:rsid w:val="00B371CC"/>
    <w:rsid w:val="00B41CD9"/>
    <w:rsid w:val="00B427E6"/>
    <w:rsid w:val="00B428A6"/>
    <w:rsid w:val="00B43B2A"/>
    <w:rsid w:val="00B43E1F"/>
    <w:rsid w:val="00B45FBC"/>
    <w:rsid w:val="00B5106A"/>
    <w:rsid w:val="00B51A7D"/>
    <w:rsid w:val="00B535C2"/>
    <w:rsid w:val="00B55544"/>
    <w:rsid w:val="00B61FF1"/>
    <w:rsid w:val="00B642FC"/>
    <w:rsid w:val="00B64D26"/>
    <w:rsid w:val="00B64FBB"/>
    <w:rsid w:val="00B70E22"/>
    <w:rsid w:val="00B754D5"/>
    <w:rsid w:val="00B76DBA"/>
    <w:rsid w:val="00B774CB"/>
    <w:rsid w:val="00B77648"/>
    <w:rsid w:val="00B80402"/>
    <w:rsid w:val="00B80B9A"/>
    <w:rsid w:val="00B830B7"/>
    <w:rsid w:val="00B848EA"/>
    <w:rsid w:val="00B84B2B"/>
    <w:rsid w:val="00B90500"/>
    <w:rsid w:val="00B9176C"/>
    <w:rsid w:val="00B935A4"/>
    <w:rsid w:val="00BA1FF0"/>
    <w:rsid w:val="00BA3E87"/>
    <w:rsid w:val="00BA561A"/>
    <w:rsid w:val="00BB0DC6"/>
    <w:rsid w:val="00BB15E4"/>
    <w:rsid w:val="00BB1E19"/>
    <w:rsid w:val="00BB21D1"/>
    <w:rsid w:val="00BB32F2"/>
    <w:rsid w:val="00BB4338"/>
    <w:rsid w:val="00BB67FD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499F"/>
    <w:rsid w:val="00BD71FF"/>
    <w:rsid w:val="00BE0C44"/>
    <w:rsid w:val="00BE1B8B"/>
    <w:rsid w:val="00BE2A18"/>
    <w:rsid w:val="00BE2C01"/>
    <w:rsid w:val="00BE3EB9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06FC9"/>
    <w:rsid w:val="00C10E18"/>
    <w:rsid w:val="00C11943"/>
    <w:rsid w:val="00C11E6D"/>
    <w:rsid w:val="00C12C41"/>
    <w:rsid w:val="00C12E96"/>
    <w:rsid w:val="00C14763"/>
    <w:rsid w:val="00C16141"/>
    <w:rsid w:val="00C2363F"/>
    <w:rsid w:val="00C236C8"/>
    <w:rsid w:val="00C260B1"/>
    <w:rsid w:val="00C26E56"/>
    <w:rsid w:val="00C276B9"/>
    <w:rsid w:val="00C31406"/>
    <w:rsid w:val="00C37194"/>
    <w:rsid w:val="00C40637"/>
    <w:rsid w:val="00C40F6C"/>
    <w:rsid w:val="00C44426"/>
    <w:rsid w:val="00C445F3"/>
    <w:rsid w:val="00C451F4"/>
    <w:rsid w:val="00C456BA"/>
    <w:rsid w:val="00C45EB1"/>
    <w:rsid w:val="00C46839"/>
    <w:rsid w:val="00C46F6E"/>
    <w:rsid w:val="00C54428"/>
    <w:rsid w:val="00C54A3A"/>
    <w:rsid w:val="00C55566"/>
    <w:rsid w:val="00C56448"/>
    <w:rsid w:val="00C667BE"/>
    <w:rsid w:val="00C6766B"/>
    <w:rsid w:val="00C679FA"/>
    <w:rsid w:val="00C72223"/>
    <w:rsid w:val="00C76417"/>
    <w:rsid w:val="00C76907"/>
    <w:rsid w:val="00C7726F"/>
    <w:rsid w:val="00C823DA"/>
    <w:rsid w:val="00C8259F"/>
    <w:rsid w:val="00C82746"/>
    <w:rsid w:val="00C8312F"/>
    <w:rsid w:val="00C84C47"/>
    <w:rsid w:val="00C85076"/>
    <w:rsid w:val="00C8531C"/>
    <w:rsid w:val="00C858A4"/>
    <w:rsid w:val="00C86AFA"/>
    <w:rsid w:val="00C932D4"/>
    <w:rsid w:val="00CA438A"/>
    <w:rsid w:val="00CA4F39"/>
    <w:rsid w:val="00CB01EA"/>
    <w:rsid w:val="00CB18D0"/>
    <w:rsid w:val="00CB1C8A"/>
    <w:rsid w:val="00CB24F5"/>
    <w:rsid w:val="00CB2663"/>
    <w:rsid w:val="00CB2F99"/>
    <w:rsid w:val="00CB3BBE"/>
    <w:rsid w:val="00CB3D98"/>
    <w:rsid w:val="00CB59E9"/>
    <w:rsid w:val="00CB5D84"/>
    <w:rsid w:val="00CC0D6A"/>
    <w:rsid w:val="00CC1864"/>
    <w:rsid w:val="00CC3831"/>
    <w:rsid w:val="00CC3E3D"/>
    <w:rsid w:val="00CC519B"/>
    <w:rsid w:val="00CC6E6B"/>
    <w:rsid w:val="00CD12C1"/>
    <w:rsid w:val="00CD214E"/>
    <w:rsid w:val="00CD46FA"/>
    <w:rsid w:val="00CD5925"/>
    <w:rsid w:val="00CD5973"/>
    <w:rsid w:val="00CE31A6"/>
    <w:rsid w:val="00CE502A"/>
    <w:rsid w:val="00CE6D8B"/>
    <w:rsid w:val="00CF09AA"/>
    <w:rsid w:val="00CF4813"/>
    <w:rsid w:val="00CF5233"/>
    <w:rsid w:val="00CF7B1D"/>
    <w:rsid w:val="00D0244B"/>
    <w:rsid w:val="00D029B8"/>
    <w:rsid w:val="00D02F60"/>
    <w:rsid w:val="00D03786"/>
    <w:rsid w:val="00D0464E"/>
    <w:rsid w:val="00D04A96"/>
    <w:rsid w:val="00D052D3"/>
    <w:rsid w:val="00D07A7B"/>
    <w:rsid w:val="00D10E06"/>
    <w:rsid w:val="00D15197"/>
    <w:rsid w:val="00D16820"/>
    <w:rsid w:val="00D169C8"/>
    <w:rsid w:val="00D1793F"/>
    <w:rsid w:val="00D22AF5"/>
    <w:rsid w:val="00D235EA"/>
    <w:rsid w:val="00D23C62"/>
    <w:rsid w:val="00D24078"/>
    <w:rsid w:val="00D247A9"/>
    <w:rsid w:val="00D32721"/>
    <w:rsid w:val="00D328DC"/>
    <w:rsid w:val="00D33387"/>
    <w:rsid w:val="00D402FB"/>
    <w:rsid w:val="00D41E8D"/>
    <w:rsid w:val="00D4574C"/>
    <w:rsid w:val="00D47D7A"/>
    <w:rsid w:val="00D50ABD"/>
    <w:rsid w:val="00D50C48"/>
    <w:rsid w:val="00D50FDF"/>
    <w:rsid w:val="00D55290"/>
    <w:rsid w:val="00D57614"/>
    <w:rsid w:val="00D57791"/>
    <w:rsid w:val="00D6046A"/>
    <w:rsid w:val="00D6095F"/>
    <w:rsid w:val="00D60D2D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77D25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0EDE"/>
    <w:rsid w:val="00DA3FDD"/>
    <w:rsid w:val="00DA7017"/>
    <w:rsid w:val="00DA7028"/>
    <w:rsid w:val="00DB0D6D"/>
    <w:rsid w:val="00DB1AD2"/>
    <w:rsid w:val="00DB2B58"/>
    <w:rsid w:val="00DB5206"/>
    <w:rsid w:val="00DB6276"/>
    <w:rsid w:val="00DB63F5"/>
    <w:rsid w:val="00DC1C6B"/>
    <w:rsid w:val="00DC2C2E"/>
    <w:rsid w:val="00DC3CEC"/>
    <w:rsid w:val="00DC4AF0"/>
    <w:rsid w:val="00DC7886"/>
    <w:rsid w:val="00DD0CF2"/>
    <w:rsid w:val="00DD7F63"/>
    <w:rsid w:val="00DE1554"/>
    <w:rsid w:val="00DE2901"/>
    <w:rsid w:val="00DE590F"/>
    <w:rsid w:val="00DE7DC1"/>
    <w:rsid w:val="00DF172C"/>
    <w:rsid w:val="00DF3F7E"/>
    <w:rsid w:val="00DF4630"/>
    <w:rsid w:val="00DF7648"/>
    <w:rsid w:val="00E00E29"/>
    <w:rsid w:val="00E01686"/>
    <w:rsid w:val="00E02BAB"/>
    <w:rsid w:val="00E04CEB"/>
    <w:rsid w:val="00E060BC"/>
    <w:rsid w:val="00E11420"/>
    <w:rsid w:val="00E1269A"/>
    <w:rsid w:val="00E132FB"/>
    <w:rsid w:val="00E13F84"/>
    <w:rsid w:val="00E153CD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4FAB"/>
    <w:rsid w:val="00E46308"/>
    <w:rsid w:val="00E47DBE"/>
    <w:rsid w:val="00E51E17"/>
    <w:rsid w:val="00E52DAB"/>
    <w:rsid w:val="00E539B0"/>
    <w:rsid w:val="00E55994"/>
    <w:rsid w:val="00E574A3"/>
    <w:rsid w:val="00E60606"/>
    <w:rsid w:val="00E60C66"/>
    <w:rsid w:val="00E6164D"/>
    <w:rsid w:val="00E618C9"/>
    <w:rsid w:val="00E623AB"/>
    <w:rsid w:val="00E62774"/>
    <w:rsid w:val="00E62A7E"/>
    <w:rsid w:val="00E6307C"/>
    <w:rsid w:val="00E636FA"/>
    <w:rsid w:val="00E66C50"/>
    <w:rsid w:val="00E67746"/>
    <w:rsid w:val="00E679D3"/>
    <w:rsid w:val="00E71208"/>
    <w:rsid w:val="00E71444"/>
    <w:rsid w:val="00E71C91"/>
    <w:rsid w:val="00E720A1"/>
    <w:rsid w:val="00E725D9"/>
    <w:rsid w:val="00E75DDA"/>
    <w:rsid w:val="00E773E8"/>
    <w:rsid w:val="00E81A66"/>
    <w:rsid w:val="00E81C1E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5D97"/>
    <w:rsid w:val="00EC0F5A"/>
    <w:rsid w:val="00EC4265"/>
    <w:rsid w:val="00EC4CEB"/>
    <w:rsid w:val="00EC659E"/>
    <w:rsid w:val="00ED2072"/>
    <w:rsid w:val="00ED2AE0"/>
    <w:rsid w:val="00ED5474"/>
    <w:rsid w:val="00ED5553"/>
    <w:rsid w:val="00ED5E36"/>
    <w:rsid w:val="00ED6961"/>
    <w:rsid w:val="00EE38A6"/>
    <w:rsid w:val="00EE498C"/>
    <w:rsid w:val="00EE5D04"/>
    <w:rsid w:val="00EF0B96"/>
    <w:rsid w:val="00EF0D2B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4FF0"/>
    <w:rsid w:val="00F2668F"/>
    <w:rsid w:val="00F2742F"/>
    <w:rsid w:val="00F2753B"/>
    <w:rsid w:val="00F33F8B"/>
    <w:rsid w:val="00F340B2"/>
    <w:rsid w:val="00F37347"/>
    <w:rsid w:val="00F43390"/>
    <w:rsid w:val="00F4436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377E"/>
    <w:rsid w:val="00F66B34"/>
    <w:rsid w:val="00F675B9"/>
    <w:rsid w:val="00F704BA"/>
    <w:rsid w:val="00F711C9"/>
    <w:rsid w:val="00F728CD"/>
    <w:rsid w:val="00F73450"/>
    <w:rsid w:val="00F74C59"/>
    <w:rsid w:val="00F75C3A"/>
    <w:rsid w:val="00F82E30"/>
    <w:rsid w:val="00F831CB"/>
    <w:rsid w:val="00F84594"/>
    <w:rsid w:val="00F848A3"/>
    <w:rsid w:val="00F84ACF"/>
    <w:rsid w:val="00F85742"/>
    <w:rsid w:val="00F85BF8"/>
    <w:rsid w:val="00F871CE"/>
    <w:rsid w:val="00F87802"/>
    <w:rsid w:val="00F92C0A"/>
    <w:rsid w:val="00F93238"/>
    <w:rsid w:val="00F933D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2A9"/>
    <w:rsid w:val="00FD25A7"/>
    <w:rsid w:val="00FD27B6"/>
    <w:rsid w:val="00FD3689"/>
    <w:rsid w:val="00FD42A3"/>
    <w:rsid w:val="00FD60A2"/>
    <w:rsid w:val="00FD7468"/>
    <w:rsid w:val="00FD7CE0"/>
    <w:rsid w:val="00FE0B3B"/>
    <w:rsid w:val="00FE1BE2"/>
    <w:rsid w:val="00FE4485"/>
    <w:rsid w:val="00FE498C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95806D-E52C-4196-BCC6-C1BBF47F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99"/>
    <w:semiHidden/>
    <w:rsid w:val="007C5AF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1861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BE3EB9"/>
    <w:pPr>
      <w:widowControl/>
      <w:autoSpaceDE/>
      <w:autoSpaceDN/>
      <w:adjustRightInd/>
      <w:spacing w:before="120" w:line="240" w:lineRule="auto"/>
      <w:ind w:firstLine="425"/>
      <w:jc w:val="both"/>
    </w:pPr>
    <w:rPr>
      <w:rFonts w:ascii="Arial" w:eastAsia="Times New Roman" w:hAnsi="Arial" w:cs="Times New Roman"/>
      <w:sz w:val="22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3EB9"/>
    <w:rPr>
      <w:rFonts w:ascii="Arial" w:hAnsi="Arial"/>
      <w:sz w:val="22"/>
      <w:lang w:eastAsia="en-US"/>
    </w:rPr>
  </w:style>
  <w:style w:type="paragraph" w:styleId="Poprawka">
    <w:name w:val="Revision"/>
    <w:hidden/>
    <w:uiPriority w:val="99"/>
    <w:semiHidden/>
    <w:rsid w:val="00BE3EB9"/>
    <w:pPr>
      <w:spacing w:line="240" w:lineRule="auto"/>
    </w:pPr>
    <w:rPr>
      <w:rFonts w:ascii="Arial" w:hAnsi="Arial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3EB9"/>
    <w:pPr>
      <w:widowControl/>
      <w:autoSpaceDE/>
      <w:autoSpaceDN/>
      <w:adjustRightInd/>
      <w:spacing w:line="240" w:lineRule="auto"/>
    </w:pPr>
    <w:rPr>
      <w:rFonts w:ascii="Arial" w:eastAsia="Times New Roman" w:hAnsi="Arial" w:cs="Times New Roman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3EB9"/>
    <w:rPr>
      <w:rFonts w:ascii="Arial" w:hAnsi="Arial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BE3EB9"/>
    <w:rPr>
      <w:vertAlign w:val="superscript"/>
    </w:rPr>
  </w:style>
  <w:style w:type="character" w:customStyle="1" w:styleId="tlid-translation">
    <w:name w:val="tlid-translation"/>
    <w:basedOn w:val="Domylnaczcionkaakapitu"/>
    <w:rsid w:val="00BE3EB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E3EB9"/>
    <w:pPr>
      <w:widowControl/>
      <w:autoSpaceDE/>
      <w:autoSpaceDN/>
      <w:adjustRightInd/>
      <w:spacing w:after="120" w:line="480" w:lineRule="auto"/>
      <w:ind w:left="283"/>
    </w:pPr>
    <w:rPr>
      <w:rFonts w:ascii="Arial" w:eastAsia="Times New Roman" w:hAnsi="Arial" w:cs="Times New Roman"/>
      <w:sz w:val="22"/>
      <w:szCs w:val="24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E3EB9"/>
    <w:rPr>
      <w:rFonts w:ascii="Arial" w:hAnsi="Arial"/>
      <w:sz w:val="22"/>
      <w:lang w:eastAsia="en-US"/>
    </w:rPr>
  </w:style>
  <w:style w:type="table" w:styleId="rednialista2akcent1">
    <w:name w:val="Medium List 2 Accent 1"/>
    <w:basedOn w:val="Standardowy"/>
    <w:uiPriority w:val="66"/>
    <w:locked/>
    <w:rsid w:val="00BE3EB9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A60C9F"/>
    <w:pPr>
      <w:widowControl w:val="0"/>
      <w:spacing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60C9F"/>
    <w:pPr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0C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0C9F"/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wojc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LegislatorInfo xmlns="http://schemas.microsoft.com/vsto/legislator-magic-premium">
  <ZipxFilePath>C:\Users\m.wojcik\Desktop\pliki tymczasowe\projekt DAB+10.09.zipx</ZipxFilePath>
</Legislator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52AC6F-78EF-4D1E-9D53-E7579649F2FB}">
  <ds:schemaRefs>
    <ds:schemaRef ds:uri="http://schemas.microsoft.com/vsto/legislator-magic-premium"/>
  </ds:schemaRefs>
</ds:datastoreItem>
</file>

<file path=customXml/itemProps3.xml><?xml version="1.0" encoding="utf-8"?>
<ds:datastoreItem xmlns:ds="http://schemas.openxmlformats.org/officeDocument/2006/customXml" ds:itemID="{3260B8B3-AE2B-4907-B67E-DFBA3EB3C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68</TotalTime>
  <Pages>29</Pages>
  <Words>7054</Words>
  <Characters>42328</Characters>
  <Application>Microsoft Office Word</Application>
  <DocSecurity>0</DocSecurity>
  <Lines>352</Lines>
  <Paragraphs>98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49284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Wójcik Małgorzata</dc:creator>
  <cp:lastModifiedBy>Wójcik Małgorzata</cp:lastModifiedBy>
  <cp:revision>15</cp:revision>
  <cp:lastPrinted>2012-04-23T06:39:00Z</cp:lastPrinted>
  <dcterms:created xsi:type="dcterms:W3CDTF">2019-09-09T12:53:00Z</dcterms:created>
  <dcterms:modified xsi:type="dcterms:W3CDTF">2019-09-11T11:32:00Z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