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3902DD" w:rsidRDefault="009A698A" w:rsidP="003902DD">
      <w:pPr>
        <w:spacing w:line="276" w:lineRule="auto"/>
        <w:ind w:firstLine="426"/>
        <w:jc w:val="both"/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487FBB" w:rsidRPr="00EB37A9">
        <w:rPr>
          <w:szCs w:val="17"/>
        </w:rPr>
        <w:t>@</w:t>
      </w:r>
      <w:r w:rsidR="00104E5C">
        <w:rPr>
          <w:szCs w:val="17"/>
        </w:rPr>
        <w:t>lublin.pr.gov.pl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81 528 82 24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i wykonywania zapisów umowy dotyczącej </w:t>
      </w:r>
      <w:r w:rsidR="003902DD">
        <w:t xml:space="preserve">dostawy i montażu urządzeń </w:t>
      </w:r>
      <w:proofErr w:type="spellStart"/>
      <w:r w:rsidR="003902DD">
        <w:t>higieniczno</w:t>
      </w:r>
      <w:proofErr w:type="spellEnd"/>
      <w:r w:rsidR="003902DD">
        <w:t xml:space="preserve"> –sanitarnych wraz </w:t>
      </w:r>
      <w:r w:rsidR="003902DD">
        <w:br/>
        <w:t>z materiałami eksploatacyjnymi do budynku przy ul. Okopowej 2a, 2b w Lublinie</w:t>
      </w:r>
      <w:r w:rsidR="003902DD" w:rsidRPr="00770CB5">
        <w:t xml:space="preserve"> </w:t>
      </w:r>
    </w:p>
    <w:p w:rsidR="003902DD" w:rsidRPr="00232F9D" w:rsidRDefault="003902DD" w:rsidP="003902DD">
      <w:pPr>
        <w:spacing w:line="276" w:lineRule="auto"/>
        <w:ind w:firstLine="426"/>
        <w:jc w:val="both"/>
        <w:rPr>
          <w:sz w:val="16"/>
          <w:szCs w:val="16"/>
        </w:rPr>
      </w:pPr>
    </w:p>
    <w:p w:rsidR="009A698A" w:rsidRPr="00B76D8B" w:rsidRDefault="009A698A" w:rsidP="003902DD">
      <w:pPr>
        <w:spacing w:line="276" w:lineRule="auto"/>
        <w:ind w:firstLine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="003902DD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3902DD">
        <w:t xml:space="preserve"> realizacji </w:t>
      </w:r>
      <w:r w:rsidR="00232F9D">
        <w:t xml:space="preserve"> umowy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Default="00685A49" w:rsidP="00CD34C6">
      <w:pPr>
        <w:spacing w:before="120" w:after="120" w:line="276" w:lineRule="auto"/>
        <w:ind w:firstLine="708"/>
        <w:jc w:val="both"/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32F9D">
      <w:headerReference w:type="default" r:id="rId7"/>
      <w:headerReference w:type="first" r:id="rId8"/>
      <w:pgSz w:w="11906" w:h="16838"/>
      <w:pgMar w:top="1134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EA" w:rsidRDefault="00CD3AEA" w:rsidP="00685A49">
      <w:r>
        <w:separator/>
      </w:r>
    </w:p>
  </w:endnote>
  <w:endnote w:type="continuationSeparator" w:id="0">
    <w:p w:rsidR="00CD3AEA" w:rsidRDefault="00CD3AEA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EA" w:rsidRDefault="00CD3AEA" w:rsidP="00685A49">
      <w:r>
        <w:separator/>
      </w:r>
    </w:p>
  </w:footnote>
  <w:footnote w:type="continuationSeparator" w:id="0">
    <w:p w:rsidR="00CD3AEA" w:rsidRDefault="00CD3AEA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63A0"/>
    <w:rsid w:val="00100055"/>
    <w:rsid w:val="0010221E"/>
    <w:rsid w:val="00104E5C"/>
    <w:rsid w:val="0012025F"/>
    <w:rsid w:val="001749F5"/>
    <w:rsid w:val="00191439"/>
    <w:rsid w:val="001B51F4"/>
    <w:rsid w:val="001D20DD"/>
    <w:rsid w:val="002066CC"/>
    <w:rsid w:val="00232F9D"/>
    <w:rsid w:val="002359A5"/>
    <w:rsid w:val="002428E8"/>
    <w:rsid w:val="00243F69"/>
    <w:rsid w:val="00285946"/>
    <w:rsid w:val="002A469F"/>
    <w:rsid w:val="002C2984"/>
    <w:rsid w:val="002D2D94"/>
    <w:rsid w:val="0033759C"/>
    <w:rsid w:val="00366002"/>
    <w:rsid w:val="003902DD"/>
    <w:rsid w:val="003B15BF"/>
    <w:rsid w:val="00480AD0"/>
    <w:rsid w:val="00487FBB"/>
    <w:rsid w:val="00532773"/>
    <w:rsid w:val="00557AED"/>
    <w:rsid w:val="00574A83"/>
    <w:rsid w:val="0058118A"/>
    <w:rsid w:val="005D62B6"/>
    <w:rsid w:val="005F35D7"/>
    <w:rsid w:val="006435E5"/>
    <w:rsid w:val="00685A49"/>
    <w:rsid w:val="006A33B4"/>
    <w:rsid w:val="006C6078"/>
    <w:rsid w:val="006F5EE7"/>
    <w:rsid w:val="007418DF"/>
    <w:rsid w:val="00761B91"/>
    <w:rsid w:val="00770CB5"/>
    <w:rsid w:val="00806876"/>
    <w:rsid w:val="00822C37"/>
    <w:rsid w:val="00854C7D"/>
    <w:rsid w:val="008951ED"/>
    <w:rsid w:val="008C4333"/>
    <w:rsid w:val="009518CE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70F11"/>
    <w:rsid w:val="00B76D8B"/>
    <w:rsid w:val="00BB1DD2"/>
    <w:rsid w:val="00BB2105"/>
    <w:rsid w:val="00C24499"/>
    <w:rsid w:val="00C30209"/>
    <w:rsid w:val="00CC1B2B"/>
    <w:rsid w:val="00CC6912"/>
    <w:rsid w:val="00CD34C6"/>
    <w:rsid w:val="00CD3AEA"/>
    <w:rsid w:val="00DA6587"/>
    <w:rsid w:val="00DE2E25"/>
    <w:rsid w:val="00E2556E"/>
    <w:rsid w:val="00E52F4E"/>
    <w:rsid w:val="00E646E4"/>
    <w:rsid w:val="00EB262C"/>
    <w:rsid w:val="00EB336D"/>
    <w:rsid w:val="00EB37A9"/>
    <w:rsid w:val="00ED6453"/>
    <w:rsid w:val="00EF6147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C9258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1032-7622-478A-9978-84DEF4E0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8</cp:revision>
  <cp:lastPrinted>2018-06-26T09:43:00Z</cp:lastPrinted>
  <dcterms:created xsi:type="dcterms:W3CDTF">2018-07-25T10:44:00Z</dcterms:created>
  <dcterms:modified xsi:type="dcterms:W3CDTF">2022-08-30T07:42:00Z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