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398E" w:rsidRDefault="001F1E0E">
      <w:pPr>
        <w:tabs>
          <w:tab w:val="left" w:pos="2650"/>
        </w:tabs>
        <w:suppressAutoHyphens w:val="0"/>
        <w:spacing w:before="600" w:after="240" w:line="360" w:lineRule="auto"/>
        <w:jc w:val="left"/>
      </w:pPr>
      <w:r>
        <w:fldChar w:fldCharType="begin">
          <w:ffData>
            <w:name w:val="__Fieldmark__14798_6"/>
            <w:enabled/>
            <w:calcOnExit w:val="0"/>
            <w:textInput/>
          </w:ffData>
        </w:fldChar>
      </w:r>
      <w:r>
        <w:rPr>
          <w:rFonts w:ascii="Arial" w:hAnsi="Arial" w:cs="Arial"/>
          <w:b/>
          <w:vertAlign w:val="subscript"/>
        </w:rPr>
        <w:instrText>FORMTEXT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bookmarkStart w:id="0" w:name="__Fieldmark__4629_3864016652"/>
      <w:bookmarkStart w:id="1" w:name="__Fieldmark__70_2488062266"/>
      <w:bookmarkStart w:id="2" w:name="__Fieldmark__58_422296910"/>
      <w:bookmarkStart w:id="3" w:name="__Fieldmark__12999_634744880"/>
      <w:bookmarkStart w:id="4" w:name="__Fieldmark__14798_634744880"/>
      <w:bookmarkStart w:id="5" w:name="__Fieldmark__3799_1632036728"/>
      <w:bookmarkStart w:id="6" w:name="__Fieldmark__4647_3590173138"/>
      <w:bookmarkStart w:id="7" w:name="__Fieldmark__22_1535253089"/>
      <w:bookmarkStart w:id="8" w:name="__Fieldmark__76_719982570"/>
      <w:bookmarkStart w:id="9" w:name="__Fieldmark__64_2426654659"/>
      <w:bookmarkStart w:id="10" w:name="__Fieldmark__3799_16"/>
      <w:bookmarkStart w:id="11" w:name="__Fieldmark__22_1535"/>
      <w:bookmarkStart w:id="12" w:name="__Fieldmark__3211_4100244494"/>
      <w:bookmarkStart w:id="13" w:name="__Fieldmark__16_2307542601"/>
      <w:bookmarkStart w:id="14" w:name="__Fieldmark__435_252979677"/>
      <w:bookmarkStart w:id="15" w:name="__Fieldmark__40_2057856190"/>
      <w:bookmarkStart w:id="16" w:name="__Fieldmark__14798_6"/>
      <w:bookmarkStart w:id="17" w:name="Tekst1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Theme="minorBidi" w:hAnsiTheme="minorBidi" w:cstheme="minorBidi"/>
          <w:b/>
          <w:vertAlign w:val="subscript"/>
          <w:lang w:eastAsia="pl-PL"/>
        </w:rPr>
        <w:t>     </w:t>
      </w:r>
      <w:bookmarkStart w:id="18" w:name="__Fieldmark__58_4222969101"/>
      <w:bookmarkStart w:id="19" w:name="__Fieldmark__16_23075426011"/>
      <w:bookmarkStart w:id="20" w:name="__Fieldmark__3799_161"/>
      <w:bookmarkStart w:id="21" w:name="__Fieldmark__70_24880622661"/>
      <w:bookmarkStart w:id="22" w:name="__Fieldmark__64_24266546591"/>
      <w:bookmarkStart w:id="23" w:name="__Fieldmark__22_15351"/>
      <w:bookmarkStart w:id="24" w:name="__Fieldmark__435_2529796771"/>
      <w:bookmarkStart w:id="25" w:name="__Fieldmark__4629_38640166521"/>
      <w:bookmarkStart w:id="26" w:name="__Fieldmark__40_20578561901"/>
      <w:bookmarkStart w:id="27" w:name="__Fieldmark__4647_35901731381"/>
      <w:bookmarkStart w:id="28" w:name="__Fieldmark__76_7199825701"/>
      <w:bookmarkStart w:id="29" w:name="__Fieldmark__12999_6347448801"/>
      <w:bookmarkStart w:id="30" w:name="Tekst11"/>
      <w:bookmarkStart w:id="31" w:name="__Fieldmark__3211_4100244494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fldChar w:fldCharType="end"/>
      </w:r>
      <w:bookmarkEnd w:id="17"/>
    </w:p>
    <w:p w:rsidR="00EA398E" w:rsidRDefault="001F1E0E">
      <w:pPr>
        <w:tabs>
          <w:tab w:val="left" w:pos="2650"/>
        </w:tabs>
        <w:suppressAutoHyphens w:val="0"/>
        <w:spacing w:after="240" w:line="360" w:lineRule="auto"/>
        <w:jc w:val="left"/>
        <w:rPr>
          <w:rFonts w:asciiTheme="minorBidi" w:hAnsiTheme="minorBidi" w:cstheme="minorBidi"/>
          <w:b/>
          <w:vertAlign w:val="subscript"/>
          <w:lang w:eastAsia="pl-PL"/>
        </w:rPr>
      </w:pPr>
      <w:r>
        <w:rPr>
          <w:rFonts w:asciiTheme="minorBidi" w:hAnsiTheme="minorBidi" w:cstheme="minorBidi"/>
          <w:b/>
          <w:vertAlign w:val="subscript"/>
          <w:lang w:eastAsia="pl-PL"/>
        </w:rPr>
        <w:t>(nazwa i adres Wykonawcy)</w:t>
      </w:r>
    </w:p>
    <w:p w:rsidR="00EA398E" w:rsidRDefault="001F1E0E">
      <w:pPr>
        <w:spacing w:before="600" w:after="240" w:line="360" w:lineRule="auto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</w:rPr>
        <w:t xml:space="preserve">Rozdział 2: </w:t>
      </w:r>
      <w:r>
        <w:rPr>
          <w:rFonts w:asciiTheme="minorBidi" w:hAnsiTheme="minorBidi" w:cstheme="minorBidi"/>
          <w:bCs/>
        </w:rPr>
        <w:t>d</w:t>
      </w:r>
      <w:r>
        <w:rPr>
          <w:rFonts w:asciiTheme="minorBidi" w:hAnsiTheme="minorBidi" w:cstheme="minorBidi"/>
          <w:bCs/>
          <w:shd w:val="clear" w:color="auto" w:fill="FFFFFF"/>
        </w:rPr>
        <w:t>ostawa</w:t>
      </w:r>
      <w:r>
        <w:rPr>
          <w:rFonts w:asciiTheme="minorBidi" w:hAnsiTheme="minorBidi" w:cstheme="minorBidi"/>
          <w:b/>
          <w:shd w:val="clear" w:color="auto" w:fill="FFFFFF"/>
        </w:rPr>
        <w:t xml:space="preserve"> </w:t>
      </w:r>
      <w:r>
        <w:rPr>
          <w:rFonts w:asciiTheme="minorBidi" w:hAnsiTheme="minorBidi" w:cstheme="minorBidi"/>
          <w:bCs/>
          <w:shd w:val="clear" w:color="auto" w:fill="FFFFFF"/>
        </w:rPr>
        <w:t>i wdrożenie</w:t>
      </w:r>
      <w:r>
        <w:rPr>
          <w:rFonts w:asciiTheme="minorBidi" w:hAnsiTheme="minorBidi" w:cstheme="minorBidi"/>
          <w:b/>
          <w:shd w:val="clear" w:color="auto" w:fill="FFFFFF"/>
        </w:rPr>
        <w:t xml:space="preserve"> macierzy dyskowej</w:t>
      </w:r>
      <w:r>
        <w:rPr>
          <w:rFonts w:asciiTheme="minorBidi" w:hAnsiTheme="minorBidi" w:cstheme="minorBidi"/>
          <w:b/>
        </w:rPr>
        <w:t xml:space="preserve"> </w:t>
      </w:r>
      <w:r>
        <w:rPr>
          <w:rFonts w:asciiTheme="minorBidi" w:hAnsiTheme="minorBidi" w:cstheme="minorBidi"/>
        </w:rPr>
        <w:t xml:space="preserve">do Głównego Inspektoratu Jakości Handlowej Artykułów Rolno-Spożywczych, Al. Jerozolimskie 98, 00-807 Warszawa </w:t>
      </w:r>
    </w:p>
    <w:p w:rsidR="00EA398E" w:rsidRDefault="001F1E0E">
      <w:pPr>
        <w:spacing w:before="600" w:after="240" w:line="360" w:lineRule="auto"/>
        <w:jc w:val="left"/>
        <w:rPr>
          <w:rFonts w:asciiTheme="minorBidi" w:hAnsiTheme="minorBidi" w:cstheme="minorBidi"/>
          <w:b/>
          <w:u w:val="single"/>
        </w:rPr>
      </w:pPr>
      <w:r>
        <w:rPr>
          <w:rFonts w:asciiTheme="minorBidi" w:hAnsiTheme="minorBidi" w:cstheme="minorBidi"/>
          <w:b/>
          <w:u w:val="single"/>
        </w:rPr>
        <w:t>Macierz dyskowa – 1 sztuka</w:t>
      </w:r>
    </w:p>
    <w:p w:rsidR="00EA398E" w:rsidRDefault="001F1E0E">
      <w:pPr>
        <w:spacing w:line="360" w:lineRule="auto"/>
      </w:pPr>
      <w:r>
        <w:rPr>
          <w:rFonts w:asciiTheme="minorBidi" w:hAnsiTheme="minorBidi" w:cstheme="minorBidi"/>
        </w:rPr>
        <w:t xml:space="preserve">Producent (marka) </w:t>
      </w:r>
      <w:r>
        <w:fldChar w:fldCharType="begin">
          <w:ffData>
            <w:name w:val="__Fieldmark__14911_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>FORMTEXT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2" w:name="__Fieldmark__14911_6"/>
      <w:bookmarkStart w:id="33" w:name="__Fieldmark__14911_61"/>
      <w:bookmarkEnd w:id="32"/>
      <w:r>
        <w:rPr>
          <w:rFonts w:asciiTheme="minorBidi" w:hAnsiTheme="minorBidi" w:cstheme="minorBidi"/>
        </w:rPr>
        <w:t>     </w:t>
      </w:r>
      <w:r>
        <w:rPr>
          <w:rFonts w:ascii="Arial" w:hAnsi="Arial" w:cs="Arial"/>
        </w:rPr>
        <w:fldChar w:fldCharType="end"/>
      </w:r>
      <w:bookmarkEnd w:id="33"/>
    </w:p>
    <w:p w:rsidR="00EA398E" w:rsidRDefault="001F1E0E">
      <w:pPr>
        <w:spacing w:line="360" w:lineRule="auto"/>
      </w:pPr>
      <w:r>
        <w:rPr>
          <w:rFonts w:asciiTheme="minorBidi" w:hAnsiTheme="minorBidi" w:cstheme="minorBidi"/>
        </w:rPr>
        <w:t xml:space="preserve">Model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>FORMTEXT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4" w:name="Tekst1"/>
      <w:bookmarkStart w:id="35" w:name="Tekst12"/>
      <w:bookmarkEnd w:id="34"/>
      <w:r>
        <w:rPr>
          <w:rFonts w:asciiTheme="minorBidi" w:hAnsiTheme="minorBidi" w:cstheme="minorBidi"/>
        </w:rPr>
        <w:t>     </w:t>
      </w:r>
      <w:r>
        <w:rPr>
          <w:rFonts w:ascii="Arial" w:hAnsi="Arial" w:cs="Arial"/>
        </w:rPr>
        <w:fldChar w:fldCharType="end"/>
      </w:r>
      <w:r>
        <w:fldChar w:fldCharType="begin"/>
      </w:r>
      <w:bookmarkStart w:id="36" w:name="__Fieldmark__137_3758274898"/>
      <w:bookmarkStart w:id="37" w:name="__Fieldmark__14915_634744880"/>
      <w:bookmarkEnd w:id="35"/>
      <w:r>
        <w:fldChar w:fldCharType="separate"/>
      </w:r>
      <w:r>
        <w:rPr>
          <w:rFonts w:asciiTheme="minorBidi" w:hAnsiTheme="minorBidi" w:cstheme="minorBidi"/>
          <w:i/>
        </w:rPr>
        <w:t>  </w:t>
      </w:r>
      <w:bookmarkStart w:id="38" w:name="__Fieldmark__13110_634744880"/>
      <w:r>
        <w:rPr>
          <w:rFonts w:asciiTheme="minorBidi" w:hAnsiTheme="minorBidi" w:cstheme="minorBidi"/>
          <w:i/>
        </w:rPr>
        <w:t> </w:t>
      </w:r>
      <w:bookmarkStart w:id="39" w:name="__Fieldmark__4734_3864016652"/>
      <w:r>
        <w:rPr>
          <w:rFonts w:asciiTheme="minorBidi" w:hAnsiTheme="minorBidi" w:cstheme="minorBidi"/>
          <w:i/>
        </w:rPr>
        <w:t>  </w:t>
      </w:r>
      <w:r>
        <w:fldChar w:fldCharType="end"/>
      </w:r>
      <w:bookmarkEnd w:id="36"/>
      <w:bookmarkEnd w:id="37"/>
      <w:bookmarkEnd w:id="38"/>
      <w:bookmarkEnd w:id="39"/>
    </w:p>
    <w:p w:rsidR="00EA398E" w:rsidRDefault="00EA398E">
      <w:pPr>
        <w:spacing w:line="360" w:lineRule="auto"/>
        <w:rPr>
          <w:rFonts w:asciiTheme="minorBidi" w:hAnsiTheme="minorBidi" w:cstheme="minorBidi"/>
          <w:b/>
          <w:iCs/>
          <w:vertAlign w:val="subscript"/>
          <w:lang w:eastAsia="pl-PL"/>
        </w:rPr>
      </w:pPr>
    </w:p>
    <w:tbl>
      <w:tblPr>
        <w:tblpPr w:leftFromText="141" w:rightFromText="141" w:vertAnchor="text" w:horzAnchor="margin" w:tblpXSpec="center" w:tblpY="261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729"/>
        <w:gridCol w:w="2421"/>
        <w:gridCol w:w="5923"/>
      </w:tblGrid>
      <w:tr w:rsidR="00EA398E">
        <w:trPr>
          <w:trHeight w:val="55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398E" w:rsidRDefault="001F1E0E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398E" w:rsidRDefault="001F1E0E">
            <w:pPr>
              <w:spacing w:before="40" w:after="40" w:line="24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</w:rPr>
              <w:t>Nazwa parametru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398E" w:rsidRDefault="001F1E0E">
            <w:pPr>
              <w:spacing w:before="40" w:after="40" w:line="24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color w:val="1C1C1C"/>
              </w:rPr>
              <w:t>Minimalna wartość parametru</w:t>
            </w:r>
          </w:p>
        </w:tc>
      </w:tr>
      <w:tr w:rsidR="00EA398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A-nagtabeli"/>
              <w:numPr>
                <w:ilvl w:val="0"/>
                <w:numId w:val="2"/>
              </w:numPr>
              <w:tabs>
                <w:tab w:val="left" w:pos="396"/>
              </w:tabs>
              <w:spacing w:line="360" w:lineRule="auto"/>
              <w:ind w:left="254" w:firstLine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Obudowa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Macierz musi być przeznaczona do instalacji w standardowej szafie rack 19” oraz musi zawierać wszystkie niezbędne komponenty wymagane do instalacji.</w:t>
            </w:r>
          </w:p>
        </w:tc>
      </w:tr>
      <w:tr w:rsidR="00EA398E">
        <w:trPr>
          <w:trHeight w:val="121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Listapunktowana41"/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Pojemność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zostać dostarczona w konfiguracji: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posiadającej 12 dysków 10 TB NL-SAS,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zapewniającej możliwość rozbudowy przez dodawanie kolejnych dysków,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wspierającej dyski SAS 900GB, 1.8TB,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wspierającej dyski SATA/NL-SAS 4TB, 10TB,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wspierającej dyski SSD 800GB, 15,3TB,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umożliwiającej rozbudowę do modeli wyższych bez potrzeby kopiowania/migrowania danych, </w:t>
            </w:r>
            <w:r>
              <w:rPr>
                <w:rFonts w:asciiTheme="minorBidi" w:hAnsiTheme="minorBidi" w:cstheme="minorBidi"/>
              </w:rPr>
              <w:lastRenderedPageBreak/>
              <w:t>(Zamawiający przez model wyższy rozumie inny model macierzy danego producenta z większą pamięcią cache oraz mocniejszymi procesorami).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Zamawiający dopuszcza rozwiązanie, które nie pozwala na rozbudowę do wyższego modelu przy założeniu, że zostanie zaoferowany najwyższy model z rodziny z pamięcią Cache min 1TB na kontroler,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umożliwiającej rozbudowę do 500 dysków w obrębie pary kontrolerów lub w obrębie klastra wielu kontrolerów (scale-out) w zależności od sposobu realizacji rozbudowy dla oferowanego rozwiązania.</w:t>
            </w:r>
          </w:p>
        </w:tc>
      </w:tr>
      <w:tr w:rsidR="00EA398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ind w:left="491" w:hanging="237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Kontrolery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macierz musi posiadać dwa kontrolery wyposażone w co najmniej 256GB pamięci cache każdy. Zamawiający dopuszcza alternatywnie rozwiązanie posiadające co najmniej 32GB cache oparte o RAM na kontroler, jeżeli dodatkowo zostanie dostarczona z macierzą dodatkowa pamięć Flash 1024GB pamięci na kontroler (wbudowana w kontroler lub formie dodatkowych dysków Flash skonfigurowanych w RAID 10),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procesory macierzy powinny być wykonane w technologii wielordzeniowej z przynajmniej 12 rdzeniami na każdy kontroler,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 przypadku awarii zasilania dane niezapisane na dyski, przechowywane w pamięci muszą być zabezpieczone za pomocą podtrzymania bateryjnego przez 72 godziny lub poprzez zrzut na pamięć nieulotną,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macierz musi pozwalać na poszerzenie pamięci Cache za pomocą dysków SSD do 6TB,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- w przypadku klastrowania kontrolerów macierzy, system musi działać pod kontrolą jednego systemu operacyjnego od jednego producenta, nie dopuszczalne jest zestawienie systemu klastrowego poprzez wykorzystanie serwerów pośredniczących i oprogramowania dodatkowego,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dla rozwiązań wykorzystujących klastrowanie (scale-out) musi być możliwość rozbudowy rozwiązania do co najmniej 12 kontrolerów w klastrze,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macierz musi pozwalać na rozbudowę o dyski lub kontrolery wykonane w technologii NVMe do min 550 dysków w technologii NVME.</w:t>
            </w:r>
          </w:p>
        </w:tc>
      </w:tr>
      <w:tr w:rsidR="00EA398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Interfejsy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Oferowana macierz musi posiadać: 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-</w:t>
            </w:r>
            <w:r w:rsidRPr="00861DBC">
              <w:rPr>
                <w:rFonts w:asciiTheme="minorBidi" w:hAnsiTheme="minorBidi" w:cstheme="minorBidi"/>
                <w:strike/>
                <w:color w:val="000000"/>
              </w:rPr>
              <w:t xml:space="preserve"> </w:t>
            </w:r>
            <w:r w:rsidRPr="00861DBC">
              <w:rPr>
                <w:rFonts w:asciiTheme="minorBidi" w:hAnsiTheme="minorBidi" w:cstheme="minorBidi"/>
                <w:strike/>
                <w:color w:val="FF0000"/>
                <w:highlight w:val="yellow"/>
              </w:rPr>
              <w:t>4</w:t>
            </w:r>
            <w:r w:rsidRPr="00861DBC">
              <w:rPr>
                <w:rFonts w:asciiTheme="minorBidi" w:hAnsiTheme="minorBidi" w:cstheme="minorBidi"/>
                <w:strike/>
                <w:color w:val="000000"/>
              </w:rPr>
              <w:t xml:space="preserve"> </w:t>
            </w:r>
            <w:r w:rsidR="00861DBC">
              <w:rPr>
                <w:rFonts w:asciiTheme="minorBidi" w:hAnsiTheme="minorBidi" w:cstheme="minorBidi"/>
                <w:color w:val="000000"/>
              </w:rPr>
              <w:t xml:space="preserve">8 </w:t>
            </w:r>
            <w:r>
              <w:rPr>
                <w:rFonts w:asciiTheme="minorBidi" w:hAnsiTheme="minorBidi" w:cstheme="minorBidi"/>
                <w:color w:val="000000"/>
              </w:rPr>
              <w:t>port</w:t>
            </w:r>
            <w:r w:rsidR="00861DBC">
              <w:rPr>
                <w:rFonts w:asciiTheme="minorBidi" w:hAnsiTheme="minorBidi" w:cstheme="minorBidi"/>
                <w:color w:val="000000"/>
              </w:rPr>
              <w:t>ów</w:t>
            </w:r>
            <w:r>
              <w:rPr>
                <w:rFonts w:asciiTheme="minorBidi" w:hAnsiTheme="minorBidi" w:cstheme="minorBidi"/>
                <w:color w:val="000000"/>
              </w:rPr>
              <w:t xml:space="preserve"> 10Gb BaseT,</w:t>
            </w:r>
          </w:p>
          <w:p w:rsidR="00EA398E" w:rsidRPr="001F1E0E" w:rsidRDefault="001F1E0E">
            <w:pPr>
              <w:spacing w:line="360" w:lineRule="auto"/>
              <w:jc w:val="left"/>
              <w:rPr>
                <w:rFonts w:asciiTheme="minorBidi" w:hAnsiTheme="minorBidi" w:cstheme="minorBidi"/>
                <w:color w:val="FF0000"/>
              </w:rPr>
            </w:pPr>
            <w:r w:rsidRPr="001F1E0E">
              <w:rPr>
                <w:rFonts w:asciiTheme="minorBidi" w:hAnsiTheme="minorBidi" w:cstheme="minorBidi"/>
                <w:color w:val="FF0000"/>
                <w:highlight w:val="yellow"/>
              </w:rPr>
              <w:t xml:space="preserve">- </w:t>
            </w:r>
            <w:r w:rsidRPr="001F1E0E">
              <w:rPr>
                <w:rFonts w:asciiTheme="minorBidi" w:hAnsiTheme="minorBidi" w:cstheme="minorBidi"/>
                <w:strike/>
                <w:color w:val="FF0000"/>
                <w:highlight w:val="yellow"/>
              </w:rPr>
              <w:t>4 porty 16Gb FC</w:t>
            </w:r>
            <w:r w:rsidRPr="001F1E0E">
              <w:rPr>
                <w:rFonts w:asciiTheme="minorBidi" w:hAnsiTheme="minorBidi" w:cstheme="minorBidi"/>
                <w:color w:val="FF0000"/>
                <w:highlight w:val="yellow"/>
              </w:rPr>
              <w:t>,</w:t>
            </w:r>
            <w:bookmarkStart w:id="40" w:name="_GoBack"/>
            <w:bookmarkEnd w:id="40"/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- 2 porty 1Gb do zarządzania,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- 4 porty 12Gb SAS.</w:t>
            </w:r>
          </w:p>
        </w:tc>
      </w:tr>
      <w:tr w:rsidR="00EA398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/>
              </w:rPr>
              <w:t>Oprogramowanie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System RAID musi zapewniać taki poziom zabezpieczania danych, aby był możliwy do nich dostęp w sytuacji awarii dwóch dysków w grupie RAID.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być wyposażona w system kopii migawkowych, dostępny dla wszystkich rodzajów danych przechowywanych na macierzy. System kopii migawkowych nie może powodować spadku wydajności macierzy +/-5%.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obsługiwać jednocześnie protokoły FC, iSCSi, FCoE, CIFS i NFS oraz S3 - jeśli wymagane są licencje Zamawiający wymaga dostarczenia ich wraz z macierzą.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Macierz musi posiadać wsparcie dla wielościeżkowości dla systemów Windows 2003/2008, Linux, Vmware.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umożliwiać dynamiczną zmianę rozmiaru wolumenów logicznych bez przerywania pracy macierzy i bez przerywania dostępu do danych znajdujących się na danym wolumenie.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posiadać funkcjonalność priorytetyzacji zadań.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posiadać funkcjonalność kompresji danych w trybie in-line oraz off-line na każdym rodzaju danych.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Macierz musi pozwalać na wykonanie spójnego snapshotu dla Vmware, Oracle oraz Microsoft MSSQL. 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posiadać funkcjonalność eliminacji  (deduplikacji) identycznych bloków danych którą można stosować na macierzy/danych produkcyjnej dla wszystkich rodzajów danych. Macierz powinna mieć możliwość czynności odwrotnej tzn. cofnięcia procesu deduplikacji na zdeduplikowanym wolumenie. Jeżeli oferowane rozwiązanie nie posiada funkcjonalności deduplikacji danych, Zamawiający wymaga dostarczenia 4-krotności przestrzeni wyspecyfikowanej.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Macierz musi posiadać funkcjonalność replikacji synchronicznej i asynchronicznej pomiędzy macierzami tego samego producenta w tym na istniejącą u Zamawiającego macierz NetApp FAS 2520. Funkcjonalność replikacji danych musi być </w:t>
            </w:r>
            <w:r>
              <w:rPr>
                <w:rFonts w:asciiTheme="minorBidi" w:hAnsiTheme="minorBidi" w:cstheme="minorBidi"/>
              </w:rPr>
              <w:lastRenderedPageBreak/>
              <w:t>natywnym narzędziem macierzy. Przed procesem replikacji macierz musi umożliwiać włączenie procesu deduplikacji danych w celu optymalizacji wykorzystania łącza dla replikowanych zasobów  lub Zamawiający wymaga dostarczenia zewnętrznego narzędzia do deduplikowania replikowanych danych lub dwukrotnego zwiększenia pojemności ze względu na rozważaną w przyszłości replikację całości zasobów. Funkcjonalność replikacji musi być wspierana przez firmę NetApp. Zamawiający wymaga dostarczenia licencji na replikację także na model NetApp FAS 2520 posiadany przez Zmawiającego.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Macierz musi posiadać funkcjonalność wykonania wirtualnych klonów, które nie wymagają kopiowania bloków danych. 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Z macierzą Zamawiający wymaga dostarczenia oprogramowania które pozwala na: 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monitoring wykorzystania przestrzeni na macierzy,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monitoring grup RAID,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monitoring wykonywanych backupów/replikacji danych między macierzami,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monitoring wydajności macierzy,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analizę i diagnozę spadku wydajności.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Zamawiający dopuszcza zastosowanie </w:t>
            </w:r>
            <w:r>
              <w:rPr>
                <w:rFonts w:asciiTheme="minorBidi" w:hAnsiTheme="minorBidi" w:cstheme="minorBidi"/>
              </w:rPr>
              <w:lastRenderedPageBreak/>
              <w:t>oprogramowania zewnętrznego, na pełną maksymalną pojemność macierzy.</w:t>
            </w:r>
          </w:p>
          <w:p w:rsidR="00EA398E" w:rsidRDefault="001F1E0E">
            <w:pPr>
              <w:tabs>
                <w:tab w:val="left" w:pos="960"/>
              </w:tabs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Wszystkie funkcjonalności muszą być dostarczone na maksymalną pojemność macierzy.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Producent musi dostarczyć usługę w postaci portalu WWW lub dodatkowego oprogramowania umożliwiającą następujące funkcjonalności: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a) narzędzie do tworzenia procedury aktualizacji oprogramowania macierzowego. Procedura musi opierać się na aktualnych danych pochodzących z macierzy oraz najlepszych praktykach producenta, musi uwzględniać systemy zależne np. macierze replikujące oraz umożliwiać generowanie planu cofnięcia aktualizacji,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b) wyświetlanie statystyk dotyczących wydajności, utylizacji, oszczędności uzyskanych dzięki funkcjonalnościom macierzy,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c) wyświetlanie konfiguracji macierzy oraz porównywanie jej z najlepszymi praktykami producenta w celu usunięcia błędów konfiguracji.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Portal lub oprogramowanie może pochodzić od innego producenta niż producent macierzy, z tym że musi zostać dostarczona odpowiednia licencja do maksymalnej pojemności macierzy. 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Zamawiający wymaga by wszystkie funkcjonalności działały wspólnie tj. włączenie jednej funkcjonalności nie eliminowało innej. </w:t>
            </w:r>
          </w:p>
        </w:tc>
      </w:tr>
      <w:tr w:rsidR="00EA398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EA398E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Wdrożenie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Usługa wdrożenia powinna obejmować: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wizytę w siedzibie Zamawiającego,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stworzenie projektu wdrożenia zawierającego proces </w:t>
            </w:r>
            <w:r>
              <w:rPr>
                <w:rFonts w:asciiTheme="minorBidi" w:hAnsiTheme="minorBidi" w:cstheme="minorBidi"/>
              </w:rPr>
              <w:lastRenderedPageBreak/>
              <w:t>migracji danych,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wykonanie instalacji fizycznej w siedzibie Zamawiającego w Warszawie,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wykonanie wszelkich czynności wymaganych do wykonania replikacji danych za pomocą funkcjonalności SnapMirror/SVM-DR,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wykonanie oraz sprawdzenie poprawności replikacji,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odłączenie macierzy i przygotowanie do wysyłki,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instalacja fizyczna macierzy w lokalizacji Zamawiającego w Laboratorium Specjalistycznym w Kielcach,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wykonanie replikacji ostatecznej i przełączenie systemów informatycznych na nową macierz,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sprawdzenie poprawności działania przełączonych systemów,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wykreowanie nowych zasobów na nowej macierzy i podłączenie jej do środowiska wirtualnego,</w:t>
            </w:r>
          </w:p>
          <w:p w:rsidR="00EA398E" w:rsidRDefault="001F1E0E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- wykonanie dokumentacji powykonawczej.</w:t>
            </w:r>
          </w:p>
        </w:tc>
      </w:tr>
      <w:tr w:rsidR="00EA398E">
        <w:trPr>
          <w:trHeight w:val="254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15" w:type="dxa"/>
            </w:tcMar>
            <w:vAlign w:val="center"/>
          </w:tcPr>
          <w:p w:rsidR="00EA398E" w:rsidRDefault="00EA398E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15" w:type="dxa"/>
            </w:tcMar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Gwarancja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15" w:type="dxa"/>
            </w:tcMar>
            <w:vAlign w:val="center"/>
          </w:tcPr>
          <w:p w:rsidR="00EA398E" w:rsidRDefault="001F1E0E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36 miesięcy gwarancji producenta z 2 godzinnym czasem odpowiedzi na awarie krytyczne i dostawą elementów na następny dzień roboczy.</w:t>
            </w:r>
          </w:p>
        </w:tc>
      </w:tr>
    </w:tbl>
    <w:p w:rsidR="00EA398E" w:rsidRDefault="00EA398E">
      <w:pPr>
        <w:tabs>
          <w:tab w:val="left" w:pos="4536"/>
        </w:tabs>
        <w:suppressAutoHyphens w:val="0"/>
        <w:spacing w:line="360" w:lineRule="auto"/>
        <w:ind w:left="-709" w:right="-629"/>
        <w:jc w:val="left"/>
        <w:rPr>
          <w:rFonts w:asciiTheme="minorBidi" w:hAnsiTheme="minorBidi" w:cstheme="minorBidi"/>
          <w:b/>
          <w:iCs/>
          <w:vertAlign w:val="subscript"/>
          <w:lang w:eastAsia="pl-PL"/>
        </w:rPr>
      </w:pPr>
    </w:p>
    <w:p w:rsidR="00EA398E" w:rsidRDefault="001F1E0E">
      <w:pPr>
        <w:tabs>
          <w:tab w:val="left" w:pos="4536"/>
        </w:tabs>
        <w:suppressAutoHyphens w:val="0"/>
        <w:spacing w:before="480" w:line="240" w:lineRule="auto"/>
        <w:ind w:left="-709" w:right="-629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Wykonawca wraz z ofertą musi złożyć przedmiotowe środki dowodowe: specyfikacje techniczne lub karty katalogowe oferowanego sprzętu. </w:t>
      </w:r>
    </w:p>
    <w:p w:rsidR="00EA398E" w:rsidRDefault="001F1E0E">
      <w:pPr>
        <w:widowControl/>
        <w:tabs>
          <w:tab w:val="left" w:pos="284"/>
        </w:tabs>
        <w:suppressAutoHyphens w:val="0"/>
        <w:spacing w:before="600" w:line="360" w:lineRule="auto"/>
        <w:ind w:left="5664"/>
        <w:jc w:val="left"/>
        <w:textAlignment w:val="auto"/>
      </w:pPr>
      <w:r>
        <w:fldChar w:fldCharType="begin">
          <w:ffData>
            <w:name w:val="__Fieldmark__14680_6"/>
            <w:enabled/>
            <w:calcOnExit w:val="0"/>
            <w:textInput/>
          </w:ffData>
        </w:fldChar>
      </w:r>
      <w:r>
        <w:rPr>
          <w:rFonts w:ascii="Arial" w:hAnsi="Arial" w:cs="Arial"/>
          <w:vertAlign w:val="subscript"/>
        </w:rPr>
        <w:instrText>FORMTEXT</w:instrText>
      </w:r>
      <w:r>
        <w:rPr>
          <w:rFonts w:ascii="Arial" w:hAnsi="Arial" w:cs="Arial"/>
          <w:vertAlign w:val="subscript"/>
        </w:rPr>
      </w:r>
      <w:r>
        <w:rPr>
          <w:rFonts w:ascii="Arial" w:hAnsi="Arial" w:cs="Arial"/>
          <w:vertAlign w:val="subscript"/>
        </w:rPr>
        <w:fldChar w:fldCharType="separate"/>
      </w:r>
      <w:bookmarkStart w:id="41" w:name="__Fieldmark__4870_1632036728"/>
      <w:bookmarkStart w:id="42" w:name="__Fieldmark__1602_252979677"/>
      <w:bookmarkStart w:id="43" w:name="__Fieldmark__5968_3590173138"/>
      <w:bookmarkStart w:id="44" w:name="__Fieldmark__4870_16"/>
      <w:bookmarkStart w:id="45" w:name="__Fieldmark__6634_3864016652"/>
      <w:bookmarkStart w:id="46" w:name="__Fieldmark__1887_220987314"/>
      <w:bookmarkStart w:id="47" w:name="__Fieldmark__2429_3864016652"/>
      <w:bookmarkStart w:id="48" w:name="__Fieldmark__1139_2057856190"/>
      <w:bookmarkStart w:id="49" w:name="__Fieldmark__1546_2488062266"/>
      <w:bookmarkStart w:id="50" w:name="__Fieldmark__1541_634744880"/>
      <w:bookmarkStart w:id="51" w:name="Tekst4"/>
      <w:bookmarkStart w:id="52" w:name="__Fieldmark__2190_422296910"/>
      <w:bookmarkStart w:id="53" w:name="__Fieldmark__14680_634744880"/>
      <w:bookmarkStart w:id="54" w:name="__Fieldmark__1683_2426654659"/>
      <w:bookmarkStart w:id="55" w:name="__Fieldmark__14680_6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rFonts w:asciiTheme="minorBidi" w:hAnsiTheme="minorBidi" w:cstheme="minorBidi"/>
          <w:vertAlign w:val="subscript"/>
          <w:lang w:eastAsia="pl-PL"/>
        </w:rPr>
        <w:t>     </w:t>
      </w:r>
      <w:bookmarkStart w:id="56" w:name="__Fieldmark__1546_24880622661"/>
      <w:bookmarkStart w:id="57" w:name="__Fieldmark__6634_38640166521"/>
      <w:bookmarkStart w:id="58" w:name="__Fieldmark__1887_2209873141"/>
      <w:bookmarkStart w:id="59" w:name="__Fieldmark__1683_24266546591"/>
      <w:bookmarkStart w:id="60" w:name="__Fieldmark__5968_35901731381"/>
      <w:bookmarkStart w:id="61" w:name="__Fieldmark__1139_20578561901"/>
      <w:bookmarkStart w:id="62" w:name="Tekst41"/>
      <w:bookmarkStart w:id="63" w:name="__Fieldmark__4870_161"/>
      <w:bookmarkStart w:id="64" w:name="__Fieldmark__1602_2529796771"/>
      <w:bookmarkStart w:id="65" w:name="__Fieldmark__2190_4222969101"/>
      <w:bookmarkStart w:id="66" w:name="__Fieldmark__2429_38640166521"/>
      <w:bookmarkStart w:id="67" w:name="__Fieldmark__1541_6347448801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fldChar w:fldCharType="end"/>
      </w:r>
    </w:p>
    <w:p w:rsidR="00EA398E" w:rsidRDefault="001F1E0E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</w:pPr>
      <w:bookmarkStart w:id="68" w:name="_Hlk74235868"/>
      <w:r>
        <w:rPr>
          <w:rFonts w:asciiTheme="minorBidi" w:hAnsiTheme="minorBidi" w:cstheme="minorBidi"/>
          <w:sz w:val="14"/>
          <w:szCs w:val="16"/>
          <w:lang w:eastAsia="pl-PL"/>
        </w:rPr>
        <w:lastRenderedPageBreak/>
        <w:t xml:space="preserve"> (kwalifikowany podpis elektroniczny/, podpis zaufany lub podpis osobisty Wykonawcy lub osoby/osób upoważnionej /</w:t>
      </w:r>
      <w:proofErr w:type="spellStart"/>
      <w:r>
        <w:rPr>
          <w:rFonts w:asciiTheme="minorBidi" w:hAnsiTheme="minorBidi" w:cstheme="minorBidi"/>
          <w:sz w:val="14"/>
          <w:szCs w:val="16"/>
          <w:lang w:eastAsia="pl-PL"/>
        </w:rPr>
        <w:t>ych</w:t>
      </w:r>
      <w:proofErr w:type="spellEnd"/>
      <w:r>
        <w:rPr>
          <w:rFonts w:asciiTheme="minorBidi" w:hAnsiTheme="minorBidi" w:cstheme="minorBidi"/>
          <w:sz w:val="14"/>
          <w:szCs w:val="16"/>
          <w:lang w:eastAsia="pl-PL"/>
        </w:rPr>
        <w:t xml:space="preserve"> do reprezentowania Wykonawcy)</w:t>
      </w:r>
      <w:bookmarkEnd w:id="68"/>
    </w:p>
    <w:sectPr w:rsidR="00EA398E">
      <w:headerReference w:type="default" r:id="rId8"/>
      <w:footerReference w:type="default" r:id="rId9"/>
      <w:pgSz w:w="11906" w:h="16838"/>
      <w:pgMar w:top="1532" w:right="1417" w:bottom="2552" w:left="1620" w:header="54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58" w:rsidRDefault="001F1E0E">
      <w:pPr>
        <w:spacing w:line="240" w:lineRule="auto"/>
      </w:pPr>
      <w:r>
        <w:separator/>
      </w:r>
    </w:p>
  </w:endnote>
  <w:endnote w:type="continuationSeparator" w:id="0">
    <w:p w:rsidR="00684A58" w:rsidRDefault="001F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8E" w:rsidRDefault="001F1E0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012B6B8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70840" cy="236855"/>
              <wp:effectExtent l="0" t="0" r="0" b="0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23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398E" w:rsidRDefault="001F1E0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518.4pt;margin-top:0.05pt;width:29.1pt;height:18.55pt;mso-position-horizontal-relative:page" wp14:anchorId="012B6B8D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58" w:rsidRDefault="001F1E0E">
      <w:pPr>
        <w:spacing w:line="240" w:lineRule="auto"/>
      </w:pPr>
      <w:r>
        <w:separator/>
      </w:r>
    </w:p>
  </w:footnote>
  <w:footnote w:type="continuationSeparator" w:id="0">
    <w:p w:rsidR="00684A58" w:rsidRDefault="001F1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8E" w:rsidRDefault="001F1E0E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>nr sprawy BAD.241.2.4.2021</w:t>
    </w:r>
  </w:p>
  <w:p w:rsidR="00EA398E" w:rsidRDefault="001F1E0E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 xml:space="preserve">Załącznik nr 2b do SWZ </w:t>
    </w:r>
  </w:p>
  <w:p w:rsidR="00EA398E" w:rsidRDefault="001F1E0E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46F"/>
    <w:multiLevelType w:val="multilevel"/>
    <w:tmpl w:val="491AF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1F7EAC"/>
    <w:multiLevelType w:val="multilevel"/>
    <w:tmpl w:val="B4A2275A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Arial"/>
        <w:b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491" w:firstLine="7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8E"/>
    <w:rsid w:val="001F1E0E"/>
    <w:rsid w:val="00684A58"/>
    <w:rsid w:val="00861DBC"/>
    <w:rsid w:val="00E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82A6"/>
  <w15:docId w15:val="{3DB0754C-40FA-4F2E-A72B-FD36310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eastAsia="Times New Roman" w:hAnsi="Wingdings" w:cs="Times New Roman"/>
      <w:b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qFormat/>
    <w:rPr>
      <w:rFonts w:cs="Times New Roman"/>
      <w:sz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qFormat/>
    <w:rPr>
      <w:rFonts w:cs="Times New Roman"/>
      <w:sz w:val="24"/>
    </w:rPr>
  </w:style>
  <w:style w:type="character" w:customStyle="1" w:styleId="TekstprzypisukocowegoZnak">
    <w:name w:val="Tekst przypisu końcowego Znak"/>
    <w:qFormat/>
    <w:rPr>
      <w:rFonts w:cs="Times New Roman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TekstpodstawowyZnak">
    <w:name w:val="Tekst podstawowy Znak"/>
    <w:qFormat/>
    <w:rPr>
      <w:rFonts w:cs="Times New Roman"/>
      <w:sz w:val="24"/>
      <w:szCs w:val="24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qFormat/>
    <w:rPr>
      <w:rFonts w:cs="Times New Roman"/>
      <w:sz w:val="16"/>
      <w:szCs w:val="16"/>
    </w:rPr>
  </w:style>
  <w:style w:type="character" w:customStyle="1" w:styleId="labelastextbox">
    <w:name w:val="labelastextbox"/>
    <w:qFormat/>
    <w:rPr>
      <w:rFonts w:cs="Times New Roman"/>
    </w:rPr>
  </w:style>
  <w:style w:type="character" w:customStyle="1" w:styleId="TytuZnak">
    <w:name w:val="Tytuł Znak"/>
    <w:qFormat/>
    <w:rPr>
      <w:sz w:val="28"/>
      <w:szCs w:val="2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size">
    <w:name w:val="size"/>
    <w:basedOn w:val="Domylnaczcionkaakapitu"/>
    <w:qFormat/>
    <w:rsid w:val="00255EC1"/>
  </w:style>
  <w:style w:type="character" w:customStyle="1" w:styleId="ListLabel1">
    <w:name w:val="ListLabel 1"/>
    <w:qFormat/>
    <w:rPr>
      <w:rFonts w:cs="Times New Roman"/>
      <w:b w:val="0"/>
      <w:i w:val="0"/>
      <w:sz w:val="22"/>
      <w:szCs w:val="22"/>
    </w:rPr>
  </w:style>
  <w:style w:type="character" w:customStyle="1" w:styleId="ListLabel2">
    <w:name w:val="ListLabel 2"/>
    <w:qFormat/>
    <w:rPr>
      <w:rFonts w:cs="Times New Roman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Arial" w:hAnsi="Arial"/>
      <w:b/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ascii="Arial" w:hAnsi="Arial"/>
      <w:b/>
      <w:sz w:val="20"/>
    </w:rPr>
  </w:style>
  <w:style w:type="character" w:customStyle="1" w:styleId="ListLabel22">
    <w:name w:val="ListLabel 22"/>
    <w:qFormat/>
    <w:rPr>
      <w:rFonts w:ascii="Arial" w:hAnsi="Arial"/>
      <w:b/>
      <w:sz w:val="20"/>
    </w:rPr>
  </w:style>
  <w:style w:type="character" w:customStyle="1" w:styleId="ListLabel23">
    <w:name w:val="ListLabel 23"/>
    <w:qFormat/>
    <w:rPr>
      <w:rFonts w:ascii="Arial" w:hAnsi="Arial"/>
      <w:b/>
      <w:sz w:val="2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rFonts w:eastAsia="Calibri" w:cs="Arial"/>
      <w:sz w:val="22"/>
      <w:szCs w:val="22"/>
    </w:rPr>
  </w:style>
  <w:style w:type="character" w:customStyle="1" w:styleId="ListLabel28">
    <w:name w:val="ListLabel 28"/>
    <w:qFormat/>
    <w:rPr>
      <w:sz w:val="22"/>
      <w:szCs w:val="22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rFonts w:ascii="Arial" w:hAnsi="Arial"/>
      <w:b/>
      <w:sz w:val="22"/>
      <w:szCs w:val="22"/>
    </w:rPr>
  </w:style>
  <w:style w:type="character" w:customStyle="1" w:styleId="ListLabel31">
    <w:name w:val="ListLabel 31"/>
    <w:qFormat/>
    <w:rPr>
      <w:rFonts w:ascii="Arial" w:hAnsi="Arial"/>
      <w:b/>
      <w:sz w:val="24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b w:val="0"/>
      <w:sz w:val="24"/>
    </w:rPr>
  </w:style>
  <w:style w:type="character" w:customStyle="1" w:styleId="ListLabel35">
    <w:name w:val="ListLabel 35"/>
    <w:qFormat/>
    <w:rPr>
      <w:sz w:val="22"/>
      <w:szCs w:val="22"/>
    </w:rPr>
  </w:style>
  <w:style w:type="character" w:customStyle="1" w:styleId="ListLabel36">
    <w:name w:val="ListLabel 36"/>
    <w:qFormat/>
    <w:rPr>
      <w:b w:val="0"/>
      <w:sz w:val="24"/>
    </w:rPr>
  </w:style>
  <w:style w:type="character" w:customStyle="1" w:styleId="ListLabel37">
    <w:name w:val="ListLabel 37"/>
    <w:qFormat/>
    <w:rPr>
      <w:rFonts w:ascii="Arial" w:hAnsi="Arial"/>
      <w:b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sz w:val="24"/>
    </w:rPr>
  </w:style>
  <w:style w:type="character" w:customStyle="1" w:styleId="ListLabel39">
    <w:name w:val="ListLabel 39"/>
    <w:qFormat/>
    <w:rPr>
      <w:rFonts w:ascii="Arial" w:hAnsi="Arial"/>
      <w:b/>
      <w:sz w:val="22"/>
      <w:szCs w:val="22"/>
    </w:rPr>
  </w:style>
  <w:style w:type="character" w:customStyle="1" w:styleId="ListLabel40">
    <w:name w:val="ListLabel 40"/>
    <w:qFormat/>
    <w:rPr>
      <w:rFonts w:ascii="Arial" w:hAnsi="Arial"/>
      <w:b/>
      <w:sz w:val="24"/>
    </w:rPr>
  </w:style>
  <w:style w:type="character" w:customStyle="1" w:styleId="ListLabel41">
    <w:name w:val="ListLabel 41"/>
    <w:qFormat/>
    <w:rPr>
      <w:rFonts w:ascii="Arial" w:hAnsi="Arial"/>
      <w:b/>
      <w:sz w:val="22"/>
      <w:szCs w:val="22"/>
    </w:rPr>
  </w:style>
  <w:style w:type="character" w:customStyle="1" w:styleId="ListLabel42">
    <w:name w:val="ListLabel 42"/>
    <w:qFormat/>
    <w:rPr>
      <w:rFonts w:ascii="Arial" w:hAnsi="Arial"/>
      <w:b/>
      <w:sz w:val="24"/>
    </w:rPr>
  </w:style>
  <w:style w:type="character" w:customStyle="1" w:styleId="ListLabel43">
    <w:name w:val="ListLabel 43"/>
    <w:qFormat/>
    <w:rPr>
      <w:rFonts w:ascii="Arial" w:hAnsi="Arial"/>
      <w:b/>
      <w:sz w:val="22"/>
      <w:szCs w:val="22"/>
    </w:rPr>
  </w:style>
  <w:style w:type="character" w:customStyle="1" w:styleId="ListLabel44">
    <w:name w:val="ListLabel 44"/>
    <w:qFormat/>
    <w:rPr>
      <w:rFonts w:ascii="Arial" w:hAnsi="Arial"/>
      <w:b/>
      <w:sz w:val="24"/>
    </w:rPr>
  </w:style>
  <w:style w:type="character" w:customStyle="1" w:styleId="ListLabel45">
    <w:name w:val="ListLabel 45"/>
    <w:qFormat/>
    <w:rPr>
      <w:rFonts w:ascii="Times New Roman" w:hAnsi="Times New Roman"/>
      <w:b/>
      <w:sz w:val="24"/>
      <w:szCs w:val="22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  <w:szCs w:val="22"/>
    </w:rPr>
  </w:style>
  <w:style w:type="character" w:customStyle="1" w:styleId="ListLabel48">
    <w:name w:val="ListLabel 48"/>
    <w:qFormat/>
    <w:rPr>
      <w:rFonts w:ascii="Times New Roman" w:hAnsi="Times New Roman"/>
      <w:b/>
      <w:sz w:val="24"/>
    </w:rPr>
  </w:style>
  <w:style w:type="character" w:customStyle="1" w:styleId="ListLabel49">
    <w:name w:val="ListLabel 49"/>
    <w:qFormat/>
    <w:rPr>
      <w:rFonts w:ascii="Times New Roman" w:hAnsi="Times New Roman"/>
      <w:b/>
      <w:sz w:val="24"/>
      <w:szCs w:val="22"/>
    </w:rPr>
  </w:style>
  <w:style w:type="character" w:customStyle="1" w:styleId="ListLabel50">
    <w:name w:val="ListLabel 50"/>
    <w:qFormat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Pr>
      <w:rFonts w:ascii="Times New Roman" w:hAnsi="Times New Roman"/>
      <w:b/>
      <w:sz w:val="24"/>
      <w:szCs w:val="22"/>
    </w:rPr>
  </w:style>
  <w:style w:type="character" w:customStyle="1" w:styleId="ListLabel52">
    <w:name w:val="ListLabel 52"/>
    <w:qFormat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b/>
      <w:sz w:val="24"/>
      <w:szCs w:val="22"/>
    </w:rPr>
  </w:style>
  <w:style w:type="character" w:customStyle="1" w:styleId="ListLabel54">
    <w:name w:val="ListLabel 54"/>
    <w:qFormat/>
    <w:rPr>
      <w:rFonts w:ascii="Times New Roman" w:hAnsi="Times New Roman"/>
      <w:b/>
      <w:sz w:val="24"/>
    </w:rPr>
  </w:style>
  <w:style w:type="character" w:customStyle="1" w:styleId="ListLabel55">
    <w:name w:val="ListLabel 55"/>
    <w:qFormat/>
    <w:rPr>
      <w:rFonts w:ascii="Times New Roman" w:hAnsi="Times New Roman"/>
      <w:b/>
      <w:sz w:val="24"/>
      <w:szCs w:val="22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sz w:val="24"/>
      <w:szCs w:val="22"/>
    </w:rPr>
  </w:style>
  <w:style w:type="character" w:customStyle="1" w:styleId="ListLabel58">
    <w:name w:val="ListLabel 58"/>
    <w:qFormat/>
    <w:rPr>
      <w:rFonts w:ascii="Times New Roman" w:hAnsi="Times New Roman"/>
      <w:b/>
      <w:sz w:val="24"/>
    </w:rPr>
  </w:style>
  <w:style w:type="character" w:customStyle="1" w:styleId="ListLabel59">
    <w:name w:val="ListLabel 59"/>
    <w:qFormat/>
    <w:rPr>
      <w:b/>
      <w:sz w:val="24"/>
      <w:szCs w:val="22"/>
    </w:rPr>
  </w:style>
  <w:style w:type="character" w:customStyle="1" w:styleId="ListLabel60">
    <w:name w:val="ListLabel 60"/>
    <w:qFormat/>
    <w:rPr>
      <w:b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sz w:val="24"/>
      <w:szCs w:val="22"/>
    </w:rPr>
  </w:style>
  <w:style w:type="character" w:customStyle="1" w:styleId="ListLabel62">
    <w:name w:val="ListLabel 62"/>
    <w:qFormat/>
    <w:rPr>
      <w:rFonts w:ascii="Times New Roman" w:hAnsi="Times New Roman"/>
      <w:b/>
      <w:sz w:val="24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szCs w:val="22"/>
    </w:rPr>
  </w:style>
  <w:style w:type="character" w:customStyle="1" w:styleId="ListLabel64">
    <w:name w:val="ListLabel 64"/>
    <w:qFormat/>
    <w:rPr>
      <w:rFonts w:ascii="Times New Roman" w:hAnsi="Times New Roman"/>
      <w:b/>
      <w:sz w:val="24"/>
    </w:rPr>
  </w:style>
  <w:style w:type="character" w:customStyle="1" w:styleId="ListLabel65">
    <w:name w:val="ListLabel 65"/>
    <w:qFormat/>
    <w:rPr>
      <w:rFonts w:ascii="Times New Roman" w:hAnsi="Times New Roman"/>
      <w:b/>
      <w:sz w:val="24"/>
      <w:szCs w:val="22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cs="Arial"/>
      <w:b/>
      <w:sz w:val="24"/>
      <w:szCs w:val="22"/>
    </w:rPr>
  </w:style>
  <w:style w:type="character" w:customStyle="1" w:styleId="ListLabel68">
    <w:name w:val="ListLabel 68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Text">
    <w:name w:val="Table Text"/>
    <w:qFormat/>
    <w:pPr>
      <w:suppressAutoHyphens/>
    </w:pPr>
    <w:rPr>
      <w:rFonts w:ascii="Arial" w:hAnsi="Arial" w:cs="Arial"/>
      <w:color w:val="000000"/>
      <w:sz w:val="24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qFormat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qFormat/>
    <w:pPr>
      <w:widowControl w:val="0"/>
      <w:suppressAutoHyphens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qFormat/>
    <w:p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qFormat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qFormat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1FA3-31FC-419F-974C-6E7232E6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</vt:lpstr>
    </vt:vector>
  </TitlesOfParts>
  <Company>Hewlett-Packard Company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 brzmienie od 12.10.2021</dc:title>
  <dc:subject/>
  <dc:creator>Katarzyna Niedźwiedzka-Rozkosz</dc:creator>
  <cp:keywords>wyposażenie serwerowni Rozdział 2 - macierz</cp:keywords>
  <dc:description/>
  <cp:lastModifiedBy>Katarzyna Niedźwiedzka-Rozkosz</cp:lastModifiedBy>
  <cp:revision>3</cp:revision>
  <cp:lastPrinted>2020-06-03T11:20:00Z</cp:lastPrinted>
  <dcterms:created xsi:type="dcterms:W3CDTF">2021-10-12T11:46:00Z</dcterms:created>
  <dcterms:modified xsi:type="dcterms:W3CDTF">2021-10-12T12:49:00Z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