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9A7A" w14:textId="15C27699" w:rsidR="001E2133" w:rsidRPr="001E2133" w:rsidRDefault="001E2133" w:rsidP="00E57985">
      <w:pPr>
        <w:spacing w:after="0" w:line="360" w:lineRule="auto"/>
        <w:jc w:val="both"/>
        <w:rPr>
          <w:rFonts w:ascii="Times New Roman" w:hAnsi="Times New Roman" w:cs="Times New Roman"/>
          <w:b/>
          <w:bCs/>
          <w:sz w:val="28"/>
          <w:szCs w:val="28"/>
          <w:shd w:val="clear" w:color="auto" w:fill="FFFFFF"/>
        </w:rPr>
      </w:pPr>
      <w:r>
        <w:rPr>
          <w:rFonts w:ascii="Times New Roman" w:hAnsi="Times New Roman"/>
          <w:b/>
          <w:sz w:val="28"/>
          <w:shd w:val="clear" w:color="auto" w:fill="FFFFFF"/>
        </w:rPr>
        <w:t>Limited joint stock partnership</w:t>
      </w:r>
    </w:p>
    <w:p w14:paraId="0E4CBB0A" w14:textId="64271AF7" w:rsidR="001E2133" w:rsidRDefault="00686D5D" w:rsidP="00686D5D">
      <w:pPr>
        <w:widowControl w:val="0"/>
        <w:autoSpaceDE w:val="0"/>
        <w:autoSpaceDN w:val="0"/>
        <w:adjustRightInd w:val="0"/>
        <w:spacing w:after="0" w:line="240" w:lineRule="auto"/>
        <w:jc w:val="both"/>
        <w:rPr>
          <w:rFonts w:ascii="Times New Roman" w:eastAsiaTheme="minorEastAsia" w:hAnsi="Times New Roman" w:cs="Helvetica"/>
          <w:b/>
          <w:sz w:val="24"/>
          <w:szCs w:val="18"/>
          <w:lang w:eastAsia="pl-PL"/>
        </w:rPr>
      </w:pPr>
      <w:r w:rsidRPr="00686D5D">
        <w:rPr>
          <w:rFonts w:ascii="Times New Roman" w:eastAsiaTheme="minorEastAsia" w:hAnsi="Times New Roman" w:cs="Helvetica"/>
          <w:b/>
          <w:sz w:val="24"/>
          <w:szCs w:val="18"/>
          <w:lang w:eastAsia="pl-PL"/>
        </w:rPr>
        <w:t xml:space="preserve">Rules concerning the establishment and registration of companies </w:t>
      </w:r>
    </w:p>
    <w:p w14:paraId="4B4254F7" w14:textId="77777777" w:rsidR="00686D5D" w:rsidRPr="00686D5D" w:rsidRDefault="00686D5D" w:rsidP="00686D5D">
      <w:pPr>
        <w:widowControl w:val="0"/>
        <w:autoSpaceDE w:val="0"/>
        <w:autoSpaceDN w:val="0"/>
        <w:adjustRightInd w:val="0"/>
        <w:spacing w:after="0" w:line="240" w:lineRule="auto"/>
        <w:jc w:val="both"/>
        <w:rPr>
          <w:rFonts w:ascii="Times New Roman" w:eastAsiaTheme="minorEastAsia" w:hAnsi="Times New Roman" w:cs="Helvetica"/>
          <w:b/>
          <w:sz w:val="24"/>
          <w:szCs w:val="18"/>
          <w:lang w:eastAsia="pl-PL"/>
        </w:rPr>
      </w:pPr>
    </w:p>
    <w:p w14:paraId="070ACA07" w14:textId="50543A0B" w:rsidR="00EF01F2" w:rsidRDefault="007853C1" w:rsidP="003F7579">
      <w:pPr>
        <w:pStyle w:val="divparagraph"/>
        <w:spacing w:line="240" w:lineRule="auto"/>
        <w:ind w:firstLine="708"/>
        <w:jc w:val="both"/>
        <w:rPr>
          <w:rFonts w:ascii="Times New Roman" w:eastAsia="Times New Roman" w:hAnsi="Times New Roman" w:cs="Times New Roman"/>
          <w:color w:val="auto"/>
          <w:sz w:val="24"/>
          <w:szCs w:val="24"/>
        </w:rPr>
      </w:pPr>
      <w:bookmarkStart w:id="0" w:name="_Hlk105489084"/>
      <w:r>
        <w:rPr>
          <w:rFonts w:ascii="Times New Roman" w:hAnsi="Times New Roman"/>
          <w:color w:val="auto"/>
          <w:sz w:val="24"/>
        </w:rPr>
        <w:t>Submitting applications to enter a limited joint stock partnership into the National Court Register occurs in the Court Registers Portal (</w:t>
      </w:r>
      <w:hyperlink r:id="rId5"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Submitting an application consists in filling out the forms made available in the </w:t>
      </w:r>
      <w:hyperlink r:id="rId6" w:history="1">
        <w:r>
          <w:rPr>
            <w:rStyle w:val="Hipercze"/>
            <w:rFonts w:ascii="Times New Roman" w:hAnsi="Times New Roman"/>
            <w:sz w:val="24"/>
          </w:rPr>
          <w:t>e-</w:t>
        </w:r>
        <w:proofErr w:type="spellStart"/>
        <w:r>
          <w:rPr>
            <w:rStyle w:val="Hipercze"/>
            <w:rFonts w:ascii="Times New Roman" w:hAnsi="Times New Roman"/>
            <w:sz w:val="24"/>
          </w:rPr>
          <w:t>formularze</w:t>
        </w:r>
        <w:proofErr w:type="spellEnd"/>
        <w:r>
          <w:rPr>
            <w:rStyle w:val="Hipercze"/>
            <w:rFonts w:ascii="Times New Roman" w:hAnsi="Times New Roman"/>
            <w:sz w:val="24"/>
          </w:rPr>
          <w:t xml:space="preserve"> KRS</w:t>
        </w:r>
      </w:hyperlink>
      <w:r>
        <w:rPr>
          <w:rFonts w:ascii="Times New Roman" w:hAnsi="Times New Roman"/>
          <w:color w:val="auto"/>
          <w:sz w:val="24"/>
        </w:rPr>
        <w:t xml:space="preserve"> tab.</w:t>
      </w:r>
    </w:p>
    <w:bookmarkEnd w:id="0"/>
    <w:p w14:paraId="3EDCC7A8" w14:textId="4E201D82" w:rsidR="00AC33BB" w:rsidRPr="00E57985" w:rsidRDefault="00AC33BB" w:rsidP="003F7579">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The following documents must be attached to the application:</w:t>
      </w:r>
    </w:p>
    <w:p w14:paraId="36E44A9A" w14:textId="37DABF21" w:rsidR="00AC33BB" w:rsidRPr="007853C1" w:rsidRDefault="00AC33BB" w:rsidP="003F7579">
      <w:pPr>
        <w:pStyle w:val="divpoint"/>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bylaws;</w:t>
      </w:r>
    </w:p>
    <w:p w14:paraId="6F0ED63A" w14:textId="0794A5EF" w:rsidR="00AC33BB" w:rsidRPr="007853C1" w:rsidRDefault="00AC33BB" w:rsidP="003F7579">
      <w:pPr>
        <w:pStyle w:val="divpoint"/>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notarial deeds concerning establishment of the partnership and taking up shares;</w:t>
      </w:r>
    </w:p>
    <w:p w14:paraId="662F3682" w14:textId="79B4B537" w:rsidR="00A1707D" w:rsidRDefault="00AC33BB" w:rsidP="003F7579">
      <w:pPr>
        <w:pStyle w:val="divpoint"/>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 xml:space="preserve">a statement of persons authorised to representation that payments for shares and non-cash contributions required by the bylaws have been made in compliance with the law; </w:t>
      </w:r>
    </w:p>
    <w:p w14:paraId="5E1A43F6" w14:textId="28B71553" w:rsidR="00AC33BB" w:rsidRPr="007853C1" w:rsidRDefault="00AC33BB" w:rsidP="003F7579">
      <w:pPr>
        <w:pStyle w:val="divpoint"/>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a document stating the appointment of a partnership supervisory board, if any, listing its detailed composition; if the number of shareholders exceeds twenty-five, appointing the supervisory board is obligatory;</w:t>
      </w:r>
    </w:p>
    <w:p w14:paraId="59739743" w14:textId="66F10FB3" w:rsidR="00AA0559" w:rsidRPr="007853C1" w:rsidRDefault="00AC33BB" w:rsidP="003F7579">
      <w:pPr>
        <w:pStyle w:val="divpoint"/>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sz w:val="24"/>
        </w:rPr>
        <w:t>a permit or evidence of approval of the bylaws by the relevant public authority body, if required for the establishment of the partnership;</w:t>
      </w:r>
    </w:p>
    <w:p w14:paraId="011BBB58" w14:textId="77777777" w:rsidR="00AA0559" w:rsidRDefault="00AA0559" w:rsidP="003F7579">
      <w:pPr>
        <w:pStyle w:val="divpoint"/>
        <w:numPr>
          <w:ilvl w:val="0"/>
          <w:numId w:val="4"/>
        </w:numPr>
        <w:spacing w:line="240" w:lineRule="auto"/>
        <w:ind w:left="426"/>
        <w:jc w:val="both"/>
        <w:rPr>
          <w:rFonts w:ascii="Times New Roman" w:hAnsi="Times New Roman" w:cs="Times New Roman"/>
          <w:sz w:val="24"/>
          <w:szCs w:val="24"/>
        </w:rPr>
      </w:pPr>
      <w:r>
        <w:rPr>
          <w:rFonts w:ascii="Times New Roman" w:hAnsi="Times New Roman"/>
          <w:sz w:val="24"/>
        </w:rPr>
        <w:t>if the bylaws have specified the minimum or maximum amount of share capital, a statement of the management board, in the form of a notarial deed, concerning the amount of share capital that was taken up;</w:t>
      </w:r>
    </w:p>
    <w:p w14:paraId="6F52B7BC" w14:textId="3929EC8E" w:rsidR="00AA0559" w:rsidRPr="00AB04C6" w:rsidRDefault="00AA0559" w:rsidP="003F7579">
      <w:pPr>
        <w:pStyle w:val="divpoint"/>
        <w:numPr>
          <w:ilvl w:val="0"/>
          <w:numId w:val="4"/>
        </w:numPr>
        <w:spacing w:line="240" w:lineRule="auto"/>
        <w:ind w:left="426"/>
        <w:jc w:val="both"/>
        <w:rPr>
          <w:rFonts w:ascii="Times New Roman" w:hAnsi="Times New Roman" w:cs="Times New Roman"/>
          <w:sz w:val="24"/>
          <w:szCs w:val="24"/>
        </w:rPr>
      </w:pPr>
      <w:r>
        <w:rPr>
          <w:rFonts w:ascii="Times New Roman" w:hAnsi="Times New Roman"/>
          <w:color w:val="auto"/>
          <w:sz w:val="24"/>
        </w:rPr>
        <w:t>if non-cash contributions are provided for – a written report of the founders referred to in Article 311 of the Code of Commercial Companies together with an opinion of a chartered auditor; drafting the opinion of a chartered auditor is not required in cases listed in Article 312</w:t>
      </w:r>
      <w:r>
        <w:rPr>
          <w:rFonts w:ascii="Times New Roman" w:hAnsi="Times New Roman"/>
          <w:color w:val="auto"/>
          <w:sz w:val="24"/>
          <w:vertAlign w:val="superscript"/>
        </w:rPr>
        <w:t>1</w:t>
      </w:r>
      <w:r>
        <w:rPr>
          <w:rFonts w:ascii="Times New Roman" w:hAnsi="Times New Roman"/>
          <w:color w:val="auto"/>
          <w:sz w:val="24"/>
        </w:rPr>
        <w:t xml:space="preserve"> of the Code of Commercial Companies;</w:t>
      </w:r>
    </w:p>
    <w:p w14:paraId="764A1BE7" w14:textId="724A0856" w:rsidR="001424AC" w:rsidRPr="007853C1" w:rsidRDefault="001424AC" w:rsidP="003F7579">
      <w:pPr>
        <w:pStyle w:val="divparagraph"/>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if a commercial proxy has been appointed, a statement of the proxy including their consent for appointment;</w:t>
      </w:r>
    </w:p>
    <w:p w14:paraId="79ABAAA3" w14:textId="1D2EB51E" w:rsidR="00EF01F2" w:rsidRPr="007853C1" w:rsidRDefault="00EF01F2" w:rsidP="003F7579">
      <w:pPr>
        <w:pStyle w:val="divparagraph"/>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statements of persons representing the entity, showing their addresses for service; if such addresses are located outside the territory of the European Union, an agent for service in the Republic of Poland must be named;</w:t>
      </w:r>
    </w:p>
    <w:p w14:paraId="2B00BE4D" w14:textId="77777777" w:rsidR="00EF01F2" w:rsidRDefault="00EF01F2" w:rsidP="003F7579">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5691470B" w14:textId="77777777" w:rsidR="00EF01F2" w:rsidRPr="00846F74" w:rsidRDefault="00EF01F2" w:rsidP="003F7579">
      <w:pPr>
        <w:shd w:val="clear" w:color="auto" w:fill="FFFFFF"/>
        <w:spacing w:line="240" w:lineRule="auto"/>
        <w:ind w:firstLine="708"/>
        <w:rPr>
          <w:rFonts w:ascii="Times New Roman" w:eastAsia="Times New Roman" w:hAnsi="Times New Roman" w:cs="Times New Roman"/>
          <w:sz w:val="24"/>
          <w:szCs w:val="24"/>
        </w:rPr>
      </w:pPr>
      <w:r>
        <w:rPr>
          <w:rFonts w:ascii="Times New Roman" w:hAnsi="Times New Roman"/>
          <w:sz w:val="24"/>
        </w:rPr>
        <w:t>If documents forming the basis of entry into the National Court Register have been made in hard copy, the following must be attached to the application:</w:t>
      </w:r>
    </w:p>
    <w:p w14:paraId="1E5F5E3E" w14:textId="77777777" w:rsidR="00EF01F2" w:rsidRDefault="00EF01F2" w:rsidP="003F7579">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certified by a notary or attorney appearing in the case who is an attorney-at-law or a legal counsel, or</w:t>
      </w:r>
    </w:p>
    <w:p w14:paraId="4BAF43EB" w14:textId="77777777" w:rsidR="00EF01F2" w:rsidRPr="003F3E06" w:rsidRDefault="00EF01F2" w:rsidP="003F7579">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1DCD6E95" w14:textId="63D6BA30" w:rsidR="00EF01F2" w:rsidRDefault="00EF01F2" w:rsidP="003F7579">
      <w:pPr>
        <w:shd w:val="clear" w:color="auto" w:fill="FFFFFF"/>
        <w:spacing w:line="240" w:lineRule="auto"/>
        <w:ind w:firstLine="708"/>
        <w:rPr>
          <w:rFonts w:ascii="Times New Roman" w:hAnsi="Times New Roman"/>
          <w:sz w:val="24"/>
        </w:rPr>
      </w:pPr>
      <w:r>
        <w:rPr>
          <w:rFonts w:ascii="Times New Roman" w:hAnsi="Times New Roman"/>
          <w:sz w:val="24"/>
        </w:rPr>
        <w:t xml:space="preserve">The application is submitted together with a court fee equal to PLN 500 and a fee for announcing the registration in the Monitor </w:t>
      </w:r>
      <w:proofErr w:type="spellStart"/>
      <w:r>
        <w:rPr>
          <w:rFonts w:ascii="Times New Roman" w:hAnsi="Times New Roman"/>
          <w:sz w:val="24"/>
        </w:rPr>
        <w:t>Sądowy</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Gospodarczy</w:t>
      </w:r>
      <w:proofErr w:type="spellEnd"/>
      <w:r>
        <w:rPr>
          <w:rFonts w:ascii="Times New Roman" w:hAnsi="Times New Roman"/>
          <w:sz w:val="24"/>
        </w:rPr>
        <w:t>, equal to PLN 100.</w:t>
      </w:r>
    </w:p>
    <w:p w14:paraId="2157E001" w14:textId="77777777" w:rsidR="00686D5D" w:rsidRPr="00686D5D" w:rsidRDefault="00686D5D" w:rsidP="00686D5D">
      <w:pPr>
        <w:widowControl w:val="0"/>
        <w:shd w:val="clear" w:color="auto" w:fill="FFFFFF"/>
        <w:autoSpaceDE w:val="0"/>
        <w:autoSpaceDN w:val="0"/>
        <w:adjustRightInd w:val="0"/>
        <w:spacing w:after="0" w:line="240" w:lineRule="auto"/>
        <w:ind w:firstLine="708"/>
        <w:jc w:val="both"/>
        <w:rPr>
          <w:rFonts w:ascii="Helvetica" w:eastAsiaTheme="minorEastAsia" w:hAnsi="Helvetica" w:cs="Helvetica"/>
          <w:color w:val="000000"/>
          <w:sz w:val="18"/>
          <w:szCs w:val="18"/>
          <w:lang w:eastAsia="pl-PL"/>
        </w:rPr>
      </w:pPr>
      <w:r w:rsidRPr="00686D5D">
        <w:rPr>
          <w:rFonts w:ascii="Times New Roman" w:eastAsiaTheme="minorEastAsia" w:hAnsi="Times New Roman" w:cs="Helvetica"/>
          <w:color w:val="000000"/>
          <w:sz w:val="24"/>
          <w:szCs w:val="18"/>
          <w:lang w:eastAsia="pl-PL"/>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7" w:history="1">
        <w:proofErr w:type="spellStart"/>
        <w:r w:rsidRPr="00686D5D">
          <w:rPr>
            <w:rFonts w:ascii="Times New Roman" w:eastAsiaTheme="minorEastAsia" w:hAnsi="Times New Roman" w:cs="Helvetica"/>
            <w:color w:val="0000FF"/>
            <w:sz w:val="24"/>
            <w:szCs w:val="18"/>
            <w:u w:val="single"/>
            <w:lang w:eastAsia="pl-PL"/>
          </w:rPr>
          <w:t>Instrukcje</w:t>
        </w:r>
        <w:proofErr w:type="spellEnd"/>
      </w:hyperlink>
      <w:r w:rsidRPr="00686D5D">
        <w:rPr>
          <w:rFonts w:ascii="Helvetica" w:eastAsiaTheme="minorEastAsia" w:hAnsi="Helvetica" w:cs="Helvetica"/>
          <w:color w:val="000000"/>
          <w:sz w:val="18"/>
          <w:szCs w:val="18"/>
          <w:lang w:eastAsia="pl-PL"/>
        </w:rPr>
        <w:t xml:space="preserve">. </w:t>
      </w:r>
    </w:p>
    <w:p w14:paraId="43393DCF" w14:textId="77777777" w:rsidR="00686D5D" w:rsidRPr="00686D5D" w:rsidRDefault="00686D5D" w:rsidP="00686D5D">
      <w:pPr>
        <w:widowControl w:val="0"/>
        <w:shd w:val="clear" w:color="auto" w:fill="FFFFFF"/>
        <w:autoSpaceDE w:val="0"/>
        <w:autoSpaceDN w:val="0"/>
        <w:adjustRightInd w:val="0"/>
        <w:spacing w:after="0" w:line="240" w:lineRule="auto"/>
        <w:ind w:firstLine="708"/>
        <w:jc w:val="both"/>
        <w:rPr>
          <w:rFonts w:ascii="Helvetica" w:eastAsiaTheme="minorEastAsia" w:hAnsi="Helvetica" w:cs="Helvetica"/>
          <w:color w:val="0000FF"/>
          <w:sz w:val="24"/>
          <w:szCs w:val="24"/>
          <w:u w:val="single"/>
          <w:lang w:eastAsia="pl-PL"/>
        </w:rPr>
      </w:pPr>
    </w:p>
    <w:p w14:paraId="060517ED" w14:textId="77777777" w:rsidR="00686D5D" w:rsidRPr="00686D5D" w:rsidRDefault="00686D5D" w:rsidP="00686D5D">
      <w:pPr>
        <w:widowControl w:val="0"/>
        <w:shd w:val="clear" w:color="auto" w:fill="FFFFFF"/>
        <w:autoSpaceDE w:val="0"/>
        <w:autoSpaceDN w:val="0"/>
        <w:adjustRightInd w:val="0"/>
        <w:spacing w:after="0" w:line="240" w:lineRule="auto"/>
        <w:ind w:firstLine="708"/>
        <w:jc w:val="both"/>
        <w:rPr>
          <w:rFonts w:ascii="Helvetica" w:hAnsi="Helvetica" w:cs="Helvetica"/>
          <w:sz w:val="18"/>
          <w:szCs w:val="18"/>
          <w:lang w:eastAsia="pl-PL"/>
        </w:rPr>
      </w:pPr>
      <w:r w:rsidRPr="00686D5D">
        <w:rPr>
          <w:rFonts w:ascii="Times New Roman" w:eastAsiaTheme="minorEastAsia" w:hAnsi="Times New Roman" w:cs="Helvetica"/>
          <w:sz w:val="24"/>
          <w:szCs w:val="18"/>
          <w:lang w:eastAsia="pl-PL"/>
        </w:rPr>
        <w:t xml:space="preserve">The registration takes place in the Polish language. </w:t>
      </w:r>
    </w:p>
    <w:p w14:paraId="0C739DE4" w14:textId="77777777" w:rsidR="00686D5D" w:rsidRPr="00686D5D" w:rsidRDefault="00686D5D" w:rsidP="00686D5D">
      <w:pPr>
        <w:shd w:val="clear" w:color="auto" w:fill="FFFFFF"/>
        <w:autoSpaceDN w:val="0"/>
        <w:spacing w:after="0" w:line="240" w:lineRule="auto"/>
        <w:ind w:firstLine="708"/>
        <w:jc w:val="both"/>
        <w:rPr>
          <w:rFonts w:ascii="Times New Roman" w:eastAsiaTheme="minorEastAsia" w:hAnsi="Times New Roman" w:cs="Times New Roman"/>
          <w:sz w:val="24"/>
          <w:szCs w:val="24"/>
          <w:lang w:eastAsia="pl-PL"/>
        </w:rPr>
      </w:pPr>
    </w:p>
    <w:p w14:paraId="3FB1C178" w14:textId="77777777" w:rsidR="00686D5D" w:rsidRDefault="00686D5D" w:rsidP="003F7579">
      <w:pPr>
        <w:shd w:val="clear" w:color="auto" w:fill="FFFFFF"/>
        <w:spacing w:line="240" w:lineRule="auto"/>
        <w:ind w:firstLine="708"/>
        <w:rPr>
          <w:rFonts w:ascii="Times New Roman" w:hAnsi="Times New Roman" w:cs="Times New Roman"/>
          <w:sz w:val="24"/>
          <w:szCs w:val="24"/>
        </w:rPr>
      </w:pPr>
    </w:p>
    <w:p w14:paraId="6B10F0E4" w14:textId="77777777" w:rsidR="00686D5D" w:rsidRPr="00686D5D" w:rsidRDefault="00686D5D" w:rsidP="00686D5D">
      <w:pPr>
        <w:shd w:val="clear" w:color="auto" w:fill="FFFFFF"/>
        <w:autoSpaceDN w:val="0"/>
        <w:spacing w:after="0" w:line="240" w:lineRule="auto"/>
        <w:jc w:val="both"/>
        <w:rPr>
          <w:rFonts w:ascii="Times New Roman" w:eastAsiaTheme="minorEastAsia" w:hAnsi="Times New Roman" w:cs="Helvetica"/>
          <w:b/>
          <w:sz w:val="24"/>
          <w:szCs w:val="18"/>
          <w:lang w:eastAsia="pl-PL"/>
        </w:rPr>
      </w:pPr>
      <w:r w:rsidRPr="00686D5D">
        <w:rPr>
          <w:rFonts w:ascii="Times New Roman" w:eastAsiaTheme="minorEastAsia" w:hAnsi="Times New Roman" w:cs="Helvetica"/>
          <w:b/>
          <w:sz w:val="24"/>
          <w:szCs w:val="18"/>
          <w:lang w:eastAsia="pl-PL"/>
        </w:rPr>
        <w:lastRenderedPageBreak/>
        <w:t xml:space="preserve">Rules of representation and supervision </w:t>
      </w:r>
    </w:p>
    <w:p w14:paraId="329DCEBD" w14:textId="77777777" w:rsidR="00686D5D" w:rsidRDefault="00686D5D" w:rsidP="00686D5D">
      <w:pPr>
        <w:shd w:val="clear" w:color="auto" w:fill="FFFFFF"/>
        <w:spacing w:line="240" w:lineRule="auto"/>
        <w:jc w:val="both"/>
        <w:rPr>
          <w:rFonts w:ascii="Times New Roman" w:hAnsi="Times New Roman"/>
          <w:sz w:val="24"/>
        </w:rPr>
      </w:pPr>
    </w:p>
    <w:p w14:paraId="1B306789" w14:textId="32A6587F" w:rsidR="00EF01F2" w:rsidRDefault="00BF40AF"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Submitting a limited joint share partnership to the National Court Register should occur within six months from the date of drafting the statute.</w:t>
      </w:r>
    </w:p>
    <w:p w14:paraId="019A8162" w14:textId="4F909317"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The partnership is represented by general partners who have not been deprived of the right of representation by the bylaws or a final ruling of the court.</w:t>
      </w:r>
    </w:p>
    <w:p w14:paraId="1F624566" w14:textId="329FE3D8"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Subsequently depriving a general partner of the right to represent the partnership constitutes a change of the partnership bylaws and requires the consent of all remaining general partners.</w:t>
      </w:r>
    </w:p>
    <w:p w14:paraId="180D27C2" w14:textId="1AFB6764"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Depriving a general partner of the right to represent the partnership without their consent may occur only for important reasons and following a final ruling of the court.</w:t>
      </w:r>
    </w:p>
    <w:p w14:paraId="02980CF1" w14:textId="787FA282"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A shareholder may represent the partnership only as </w:t>
      </w:r>
      <w:hyperlink r:id="rId8" w:history="1">
        <w:r>
          <w:rPr>
            <w:rFonts w:ascii="Times New Roman" w:hAnsi="Times New Roman"/>
            <w:sz w:val="24"/>
          </w:rPr>
          <w:t>an attorney</w:t>
        </w:r>
      </w:hyperlink>
      <w:r>
        <w:rPr>
          <w:rFonts w:ascii="Times New Roman" w:hAnsi="Times New Roman"/>
          <w:sz w:val="24"/>
        </w:rPr>
        <w:t>.</w:t>
      </w:r>
    </w:p>
    <w:p w14:paraId="1E352D41" w14:textId="2AEAC15A"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If a shareholder enters into a legal transaction in the name of the partnership without disclosing their power of attorney, they are liable for the effects of such transaction towards third parties without limitation. This also applies to representation of the partnership by a shareholder who is not authorised or exceeded the scope of authorisation.</w:t>
      </w:r>
    </w:p>
    <w:p w14:paraId="615E19DC" w14:textId="22462DD2"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A limited joint share partnership may appoint a supervisory board. If the number of shareholders exceeds twenty-five, appointing a supervisory board is mandatory.</w:t>
      </w:r>
    </w:p>
    <w:p w14:paraId="7212F42C" w14:textId="08654273"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Supervisory board members are appointed and recalled by the general meeting.</w:t>
      </w:r>
    </w:p>
    <w:p w14:paraId="5C2E215C" w14:textId="30515DBF" w:rsidR="005B097A" w:rsidRPr="005B097A"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A general partner or their employee may not be a supervisory board member.</w:t>
      </w:r>
    </w:p>
    <w:p w14:paraId="58A9E410" w14:textId="38CACB2B" w:rsidR="005B097A" w:rsidRPr="003051D8" w:rsidRDefault="005B097A"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The supervisory board exercises regular supervision over all areas of partnership activity.</w:t>
      </w:r>
    </w:p>
    <w:p w14:paraId="1C56D9DA" w14:textId="7D48A279" w:rsidR="00EF01F2" w:rsidRPr="003051D8" w:rsidRDefault="003051D8" w:rsidP="003F7579">
      <w:pPr>
        <w:shd w:val="clear" w:color="auto" w:fill="FFFFFF"/>
        <w:spacing w:line="240" w:lineRule="auto"/>
        <w:ind w:firstLine="708"/>
        <w:jc w:val="both"/>
        <w:rPr>
          <w:rFonts w:ascii="Times New Roman" w:hAnsi="Times New Roman" w:cs="Times New Roman"/>
          <w:sz w:val="24"/>
          <w:szCs w:val="24"/>
        </w:rPr>
      </w:pPr>
      <w:r>
        <w:rPr>
          <w:rFonts w:ascii="Times New Roman" w:hAnsi="Times New Roman"/>
          <w:color w:val="333333"/>
          <w:sz w:val="24"/>
          <w:shd w:val="clear" w:color="auto" w:fill="FFFFFF"/>
        </w:rPr>
        <w:t>The supervisory board may bring a suit on behalf of the partnership against general partners who have not been deprived of the right to manage the affairs of or represent the partnership.</w:t>
      </w:r>
    </w:p>
    <w:p w14:paraId="52DBA6F9" w14:textId="77777777" w:rsidR="009A5B8C" w:rsidRDefault="009A5B8C" w:rsidP="003F7579">
      <w:pPr>
        <w:shd w:val="clear" w:color="auto" w:fill="FFFFFF"/>
        <w:spacing w:after="0" w:line="240" w:lineRule="auto"/>
        <w:jc w:val="both"/>
        <w:rPr>
          <w:rFonts w:ascii="Arial" w:hAnsi="Arial" w:cs="Arial"/>
          <w:color w:val="333333"/>
          <w:sz w:val="21"/>
          <w:szCs w:val="21"/>
        </w:rPr>
      </w:pPr>
    </w:p>
    <w:p w14:paraId="3D87A59A" w14:textId="77777777" w:rsidR="00355361" w:rsidRPr="00E57985" w:rsidRDefault="00355361" w:rsidP="003F7579">
      <w:pPr>
        <w:shd w:val="clear" w:color="auto" w:fill="FFFFFF"/>
        <w:spacing w:after="0" w:line="240" w:lineRule="auto"/>
        <w:jc w:val="both"/>
        <w:rPr>
          <w:rFonts w:ascii="Times New Roman" w:eastAsia="Times New Roman" w:hAnsi="Times New Roman" w:cs="Times New Roman"/>
          <w:sz w:val="24"/>
          <w:szCs w:val="24"/>
        </w:rPr>
      </w:pPr>
    </w:p>
    <w:p w14:paraId="615F6565" w14:textId="77777777" w:rsidR="00AC33BB" w:rsidRPr="00E57985" w:rsidRDefault="00AC33BB" w:rsidP="003F7579">
      <w:pPr>
        <w:spacing w:after="0" w:line="240" w:lineRule="auto"/>
        <w:jc w:val="both"/>
        <w:rPr>
          <w:rFonts w:ascii="Times New Roman" w:hAnsi="Times New Roman" w:cs="Times New Roman"/>
          <w:sz w:val="24"/>
          <w:szCs w:val="24"/>
        </w:rPr>
      </w:pPr>
    </w:p>
    <w:p w14:paraId="33F45139" w14:textId="77777777" w:rsidR="00AC33BB" w:rsidRPr="00E57985" w:rsidRDefault="00AC33BB" w:rsidP="003F7579">
      <w:pPr>
        <w:spacing w:after="0" w:line="240" w:lineRule="auto"/>
        <w:jc w:val="both"/>
        <w:rPr>
          <w:rFonts w:ascii="Times New Roman" w:hAnsi="Times New Roman" w:cs="Times New Roman"/>
          <w:sz w:val="24"/>
          <w:szCs w:val="24"/>
        </w:rPr>
      </w:pPr>
    </w:p>
    <w:sectPr w:rsidR="00AC33BB" w:rsidRPr="00E57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013AD0"/>
    <w:multiLevelType w:val="hybridMultilevel"/>
    <w:tmpl w:val="0ADE3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58D10CDB"/>
    <w:multiLevelType w:val="hybridMultilevel"/>
    <w:tmpl w:val="63F2AD96"/>
    <w:lvl w:ilvl="0" w:tplc="2B68A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1D02B7"/>
    <w:multiLevelType w:val="hybridMultilevel"/>
    <w:tmpl w:val="40B4C4C0"/>
    <w:lvl w:ilvl="0" w:tplc="2B68A05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61416">
    <w:abstractNumId w:val="2"/>
  </w:num>
  <w:num w:numId="2" w16cid:durableId="2124380898">
    <w:abstractNumId w:val="0"/>
  </w:num>
  <w:num w:numId="3" w16cid:durableId="642004305">
    <w:abstractNumId w:val="1"/>
  </w:num>
  <w:num w:numId="4" w16cid:durableId="1236936907">
    <w:abstractNumId w:val="3"/>
  </w:num>
  <w:num w:numId="5" w16cid:durableId="1301811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7D"/>
    <w:rsid w:val="00076F85"/>
    <w:rsid w:val="000C053A"/>
    <w:rsid w:val="0011177D"/>
    <w:rsid w:val="001424AC"/>
    <w:rsid w:val="001E2133"/>
    <w:rsid w:val="003051D8"/>
    <w:rsid w:val="00355361"/>
    <w:rsid w:val="003F7579"/>
    <w:rsid w:val="004D6140"/>
    <w:rsid w:val="004E3071"/>
    <w:rsid w:val="0052428B"/>
    <w:rsid w:val="005B097A"/>
    <w:rsid w:val="00686D5D"/>
    <w:rsid w:val="007853C1"/>
    <w:rsid w:val="007C613F"/>
    <w:rsid w:val="00823EC2"/>
    <w:rsid w:val="00890107"/>
    <w:rsid w:val="009A5B8C"/>
    <w:rsid w:val="009A6C9E"/>
    <w:rsid w:val="00A1707D"/>
    <w:rsid w:val="00A9626A"/>
    <w:rsid w:val="00AA0559"/>
    <w:rsid w:val="00AB04C6"/>
    <w:rsid w:val="00AC33BB"/>
    <w:rsid w:val="00B11F4D"/>
    <w:rsid w:val="00B22B92"/>
    <w:rsid w:val="00BF40AF"/>
    <w:rsid w:val="00C058E5"/>
    <w:rsid w:val="00CB02AB"/>
    <w:rsid w:val="00D94E68"/>
    <w:rsid w:val="00E57985"/>
    <w:rsid w:val="00EF01F2"/>
    <w:rsid w:val="00FD20AF"/>
    <w:rsid w:val="00FE6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C813"/>
  <w15:chartTrackingRefBased/>
  <w15:docId w15:val="{33D152BD-E735-4BE4-BA6D-6B783544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AC33BB"/>
  </w:style>
  <w:style w:type="character" w:styleId="Hipercze">
    <w:name w:val="Hyperlink"/>
    <w:basedOn w:val="Domylnaczcionkaakapitu"/>
    <w:uiPriority w:val="99"/>
    <w:unhideWhenUsed/>
    <w:rsid w:val="00AC33BB"/>
    <w:rPr>
      <w:color w:val="0000FF"/>
      <w:u w:val="single"/>
    </w:rPr>
  </w:style>
  <w:style w:type="paragraph" w:customStyle="1" w:styleId="divparagraph">
    <w:name w:val="div.paragraph"/>
    <w:uiPriority w:val="99"/>
    <w:rsid w:val="00AC33B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AC33B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ormalnyWeb">
    <w:name w:val="Normal (Web)"/>
    <w:basedOn w:val="Normalny"/>
    <w:uiPriority w:val="99"/>
    <w:semiHidden/>
    <w:unhideWhenUsed/>
    <w:rsid w:val="009A5B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01F2"/>
    <w:pPr>
      <w:widowControl w:val="0"/>
      <w:autoSpaceDE w:val="0"/>
      <w:autoSpaceDN w:val="0"/>
      <w:adjustRightInd w:val="0"/>
      <w:spacing w:after="0" w:line="40" w:lineRule="atLeast"/>
      <w:ind w:left="720"/>
      <w:contextualSpacing/>
      <w:jc w:val="both"/>
    </w:pPr>
    <w:rPr>
      <w:rFonts w:ascii="Helvetica" w:eastAsiaTheme="minorEastAsia" w:hAnsi="Helvetica" w:cs="Helvetica"/>
      <w:color w:val="000000"/>
      <w:sz w:val="18"/>
      <w:szCs w:val="18"/>
      <w:lang w:eastAsia="pl-PL"/>
    </w:rPr>
  </w:style>
  <w:style w:type="character" w:styleId="Odwoaniedokomentarza">
    <w:name w:val="annotation reference"/>
    <w:basedOn w:val="Domylnaczcionkaakapitu"/>
    <w:uiPriority w:val="99"/>
    <w:semiHidden/>
    <w:unhideWhenUsed/>
    <w:rsid w:val="00B22B92"/>
    <w:rPr>
      <w:sz w:val="16"/>
      <w:szCs w:val="16"/>
    </w:rPr>
  </w:style>
  <w:style w:type="paragraph" w:styleId="Tekstkomentarza">
    <w:name w:val="annotation text"/>
    <w:basedOn w:val="Normalny"/>
    <w:link w:val="TekstkomentarzaZnak"/>
    <w:uiPriority w:val="99"/>
    <w:semiHidden/>
    <w:unhideWhenUsed/>
    <w:rsid w:val="00B22B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2B92"/>
    <w:rPr>
      <w:sz w:val="20"/>
      <w:szCs w:val="20"/>
    </w:rPr>
  </w:style>
  <w:style w:type="paragraph" w:styleId="Tematkomentarza">
    <w:name w:val="annotation subject"/>
    <w:basedOn w:val="Tekstkomentarza"/>
    <w:next w:val="Tekstkomentarza"/>
    <w:link w:val="TematkomentarzaZnak"/>
    <w:uiPriority w:val="99"/>
    <w:semiHidden/>
    <w:unhideWhenUsed/>
    <w:rsid w:val="00B22B92"/>
    <w:rPr>
      <w:b/>
      <w:bCs/>
    </w:rPr>
  </w:style>
  <w:style w:type="character" w:customStyle="1" w:styleId="TematkomentarzaZnak">
    <w:name w:val="Temat komentarza Znak"/>
    <w:basedOn w:val="TekstkomentarzaZnak"/>
    <w:link w:val="Tematkomentarza"/>
    <w:uiPriority w:val="99"/>
    <w:semiHidden/>
    <w:rsid w:val="00B22B92"/>
    <w:rPr>
      <w:b/>
      <w:bCs/>
      <w:sz w:val="20"/>
      <w:szCs w:val="20"/>
    </w:rPr>
  </w:style>
  <w:style w:type="paragraph" w:styleId="Poprawka">
    <w:name w:val="Revision"/>
    <w:hidden/>
    <w:uiPriority w:val="99"/>
    <w:semiHidden/>
    <w:rsid w:val="00D94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312">
      <w:bodyDiv w:val="1"/>
      <w:marLeft w:val="0"/>
      <w:marRight w:val="0"/>
      <w:marTop w:val="0"/>
      <w:marBottom w:val="0"/>
      <w:divBdr>
        <w:top w:val="none" w:sz="0" w:space="0" w:color="auto"/>
        <w:left w:val="none" w:sz="0" w:space="0" w:color="auto"/>
        <w:bottom w:val="none" w:sz="0" w:space="0" w:color="auto"/>
        <w:right w:val="none" w:sz="0" w:space="0" w:color="auto"/>
      </w:divBdr>
      <w:divsChild>
        <w:div w:id="275992341">
          <w:marLeft w:val="0"/>
          <w:marRight w:val="0"/>
          <w:marTop w:val="105"/>
          <w:marBottom w:val="0"/>
          <w:divBdr>
            <w:top w:val="none" w:sz="0" w:space="0" w:color="auto"/>
            <w:left w:val="none" w:sz="0" w:space="0" w:color="auto"/>
            <w:bottom w:val="none" w:sz="0" w:space="0" w:color="auto"/>
            <w:right w:val="none" w:sz="0" w:space="0" w:color="auto"/>
          </w:divBdr>
        </w:div>
        <w:div w:id="1942637793">
          <w:marLeft w:val="600"/>
          <w:marRight w:val="0"/>
          <w:marTop w:val="0"/>
          <w:marBottom w:val="0"/>
          <w:divBdr>
            <w:top w:val="none" w:sz="0" w:space="0" w:color="auto"/>
            <w:left w:val="none" w:sz="0" w:space="0" w:color="auto"/>
            <w:bottom w:val="none" w:sz="0" w:space="0" w:color="auto"/>
            <w:right w:val="none" w:sz="0" w:space="0" w:color="auto"/>
          </w:divBdr>
        </w:div>
        <w:div w:id="1842743678">
          <w:marLeft w:val="600"/>
          <w:marRight w:val="0"/>
          <w:marTop w:val="0"/>
          <w:marBottom w:val="0"/>
          <w:divBdr>
            <w:top w:val="none" w:sz="0" w:space="0" w:color="auto"/>
            <w:left w:val="none" w:sz="0" w:space="0" w:color="auto"/>
            <w:bottom w:val="none" w:sz="0" w:space="0" w:color="auto"/>
            <w:right w:val="none" w:sz="0" w:space="0" w:color="auto"/>
          </w:divBdr>
        </w:div>
        <w:div w:id="917666161">
          <w:marLeft w:val="600"/>
          <w:marRight w:val="0"/>
          <w:marTop w:val="0"/>
          <w:marBottom w:val="0"/>
          <w:divBdr>
            <w:top w:val="none" w:sz="0" w:space="0" w:color="auto"/>
            <w:left w:val="none" w:sz="0" w:space="0" w:color="auto"/>
            <w:bottom w:val="none" w:sz="0" w:space="0" w:color="auto"/>
            <w:right w:val="none" w:sz="0" w:space="0" w:color="auto"/>
          </w:divBdr>
        </w:div>
        <w:div w:id="362052374">
          <w:marLeft w:val="600"/>
          <w:marRight w:val="0"/>
          <w:marTop w:val="0"/>
          <w:marBottom w:val="0"/>
          <w:divBdr>
            <w:top w:val="none" w:sz="0" w:space="0" w:color="auto"/>
            <w:left w:val="none" w:sz="0" w:space="0" w:color="auto"/>
            <w:bottom w:val="none" w:sz="0" w:space="0" w:color="auto"/>
            <w:right w:val="none" w:sz="0" w:space="0" w:color="auto"/>
          </w:divBdr>
        </w:div>
        <w:div w:id="826164809">
          <w:marLeft w:val="600"/>
          <w:marRight w:val="0"/>
          <w:marTop w:val="0"/>
          <w:marBottom w:val="0"/>
          <w:divBdr>
            <w:top w:val="none" w:sz="0" w:space="0" w:color="auto"/>
            <w:left w:val="none" w:sz="0" w:space="0" w:color="auto"/>
            <w:bottom w:val="none" w:sz="0" w:space="0" w:color="auto"/>
            <w:right w:val="none" w:sz="0" w:space="0" w:color="auto"/>
          </w:divBdr>
        </w:div>
        <w:div w:id="2036735018">
          <w:marLeft w:val="0"/>
          <w:marRight w:val="0"/>
          <w:marTop w:val="105"/>
          <w:marBottom w:val="0"/>
          <w:divBdr>
            <w:top w:val="none" w:sz="0" w:space="0" w:color="auto"/>
            <w:left w:val="none" w:sz="0" w:space="0" w:color="auto"/>
            <w:bottom w:val="none" w:sz="0" w:space="0" w:color="auto"/>
            <w:right w:val="none" w:sz="0" w:space="0" w:color="auto"/>
          </w:divBdr>
        </w:div>
      </w:divsChild>
    </w:div>
    <w:div w:id="522477741">
      <w:bodyDiv w:val="1"/>
      <w:marLeft w:val="0"/>
      <w:marRight w:val="0"/>
      <w:marTop w:val="0"/>
      <w:marBottom w:val="0"/>
      <w:divBdr>
        <w:top w:val="none" w:sz="0" w:space="0" w:color="auto"/>
        <w:left w:val="none" w:sz="0" w:space="0" w:color="auto"/>
        <w:bottom w:val="none" w:sz="0" w:space="0" w:color="auto"/>
        <w:right w:val="none" w:sz="0" w:space="0" w:color="auto"/>
      </w:divBdr>
      <w:divsChild>
        <w:div w:id="1797331735">
          <w:marLeft w:val="0"/>
          <w:marRight w:val="0"/>
          <w:marTop w:val="105"/>
          <w:marBottom w:val="0"/>
          <w:divBdr>
            <w:top w:val="none" w:sz="0" w:space="0" w:color="auto"/>
            <w:left w:val="none" w:sz="0" w:space="0" w:color="auto"/>
            <w:bottom w:val="none" w:sz="0" w:space="0" w:color="auto"/>
            <w:right w:val="none" w:sz="0" w:space="0" w:color="auto"/>
          </w:divBdr>
        </w:div>
        <w:div w:id="1685478633">
          <w:marLeft w:val="0"/>
          <w:marRight w:val="0"/>
          <w:marTop w:val="0"/>
          <w:marBottom w:val="0"/>
          <w:divBdr>
            <w:top w:val="none" w:sz="0" w:space="0" w:color="auto"/>
            <w:left w:val="none" w:sz="0" w:space="0" w:color="auto"/>
            <w:bottom w:val="none" w:sz="0" w:space="0" w:color="auto"/>
            <w:right w:val="none" w:sz="0" w:space="0" w:color="auto"/>
          </w:divBdr>
          <w:divsChild>
            <w:div w:id="1440493364">
              <w:marLeft w:val="255"/>
              <w:marRight w:val="0"/>
              <w:marTop w:val="0"/>
              <w:marBottom w:val="0"/>
              <w:divBdr>
                <w:top w:val="none" w:sz="0" w:space="0" w:color="auto"/>
                <w:left w:val="none" w:sz="0" w:space="0" w:color="auto"/>
                <w:bottom w:val="none" w:sz="0" w:space="0" w:color="auto"/>
                <w:right w:val="none" w:sz="0" w:space="0" w:color="auto"/>
              </w:divBdr>
            </w:div>
          </w:divsChild>
        </w:div>
        <w:div w:id="534544213">
          <w:marLeft w:val="0"/>
          <w:marRight w:val="0"/>
          <w:marTop w:val="0"/>
          <w:marBottom w:val="0"/>
          <w:divBdr>
            <w:top w:val="none" w:sz="0" w:space="0" w:color="auto"/>
            <w:left w:val="none" w:sz="0" w:space="0" w:color="auto"/>
            <w:bottom w:val="none" w:sz="0" w:space="0" w:color="auto"/>
            <w:right w:val="none" w:sz="0" w:space="0" w:color="auto"/>
          </w:divBdr>
          <w:divsChild>
            <w:div w:id="1926142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83539637">
      <w:bodyDiv w:val="1"/>
      <w:marLeft w:val="0"/>
      <w:marRight w:val="0"/>
      <w:marTop w:val="0"/>
      <w:marBottom w:val="0"/>
      <w:divBdr>
        <w:top w:val="none" w:sz="0" w:space="0" w:color="auto"/>
        <w:left w:val="none" w:sz="0" w:space="0" w:color="auto"/>
        <w:bottom w:val="none" w:sz="0" w:space="0" w:color="auto"/>
        <w:right w:val="none" w:sz="0" w:space="0" w:color="auto"/>
      </w:divBdr>
      <w:divsChild>
        <w:div w:id="1686856379">
          <w:marLeft w:val="0"/>
          <w:marRight w:val="0"/>
          <w:marTop w:val="0"/>
          <w:marBottom w:val="0"/>
          <w:divBdr>
            <w:top w:val="none" w:sz="0" w:space="0" w:color="auto"/>
            <w:left w:val="none" w:sz="0" w:space="0" w:color="auto"/>
            <w:bottom w:val="none" w:sz="0" w:space="0" w:color="auto"/>
            <w:right w:val="none" w:sz="0" w:space="0" w:color="auto"/>
          </w:divBdr>
          <w:divsChild>
            <w:div w:id="470681541">
              <w:marLeft w:val="0"/>
              <w:marRight w:val="0"/>
              <w:marTop w:val="0"/>
              <w:marBottom w:val="0"/>
              <w:divBdr>
                <w:top w:val="none" w:sz="0" w:space="0" w:color="auto"/>
                <w:left w:val="none" w:sz="0" w:space="0" w:color="auto"/>
                <w:bottom w:val="none" w:sz="0" w:space="0" w:color="auto"/>
                <w:right w:val="none" w:sz="0" w:space="0" w:color="auto"/>
              </w:divBdr>
              <w:divsChild>
                <w:div w:id="391779920">
                  <w:marLeft w:val="0"/>
                  <w:marRight w:val="0"/>
                  <w:marTop w:val="105"/>
                  <w:marBottom w:val="0"/>
                  <w:divBdr>
                    <w:top w:val="none" w:sz="0" w:space="0" w:color="auto"/>
                    <w:left w:val="none" w:sz="0" w:space="0" w:color="auto"/>
                    <w:bottom w:val="none" w:sz="0" w:space="0" w:color="auto"/>
                    <w:right w:val="none" w:sz="0" w:space="0" w:color="auto"/>
                  </w:divBdr>
                </w:div>
              </w:divsChild>
            </w:div>
            <w:div w:id="2026127294">
              <w:marLeft w:val="0"/>
              <w:marRight w:val="0"/>
              <w:marTop w:val="0"/>
              <w:marBottom w:val="0"/>
              <w:divBdr>
                <w:top w:val="none" w:sz="0" w:space="0" w:color="auto"/>
                <w:left w:val="none" w:sz="0" w:space="0" w:color="auto"/>
                <w:bottom w:val="none" w:sz="0" w:space="0" w:color="auto"/>
                <w:right w:val="none" w:sz="0" w:space="0" w:color="auto"/>
              </w:divBdr>
              <w:divsChild>
                <w:div w:id="468479480">
                  <w:marLeft w:val="0"/>
                  <w:marRight w:val="0"/>
                  <w:marTop w:val="105"/>
                  <w:marBottom w:val="0"/>
                  <w:divBdr>
                    <w:top w:val="none" w:sz="0" w:space="0" w:color="auto"/>
                    <w:left w:val="none" w:sz="0" w:space="0" w:color="auto"/>
                    <w:bottom w:val="none" w:sz="0" w:space="0" w:color="auto"/>
                    <w:right w:val="none" w:sz="0" w:space="0" w:color="auto"/>
                  </w:divBdr>
                </w:div>
              </w:divsChild>
            </w:div>
            <w:div w:id="1701852779">
              <w:marLeft w:val="0"/>
              <w:marRight w:val="0"/>
              <w:marTop w:val="0"/>
              <w:marBottom w:val="0"/>
              <w:divBdr>
                <w:top w:val="none" w:sz="0" w:space="0" w:color="auto"/>
                <w:left w:val="none" w:sz="0" w:space="0" w:color="auto"/>
                <w:bottom w:val="none" w:sz="0" w:space="0" w:color="auto"/>
                <w:right w:val="none" w:sz="0" w:space="0" w:color="auto"/>
              </w:divBdr>
              <w:divsChild>
                <w:div w:id="113138854">
                  <w:marLeft w:val="0"/>
                  <w:marRight w:val="0"/>
                  <w:marTop w:val="105"/>
                  <w:marBottom w:val="0"/>
                  <w:divBdr>
                    <w:top w:val="none" w:sz="0" w:space="0" w:color="auto"/>
                    <w:left w:val="none" w:sz="0" w:space="0" w:color="auto"/>
                    <w:bottom w:val="none" w:sz="0" w:space="0" w:color="auto"/>
                    <w:right w:val="none" w:sz="0" w:space="0" w:color="auto"/>
                  </w:divBdr>
                </w:div>
              </w:divsChild>
            </w:div>
            <w:div w:id="2146071915">
              <w:marLeft w:val="0"/>
              <w:marRight w:val="0"/>
              <w:marTop w:val="0"/>
              <w:marBottom w:val="0"/>
              <w:divBdr>
                <w:top w:val="none" w:sz="0" w:space="0" w:color="auto"/>
                <w:left w:val="none" w:sz="0" w:space="0" w:color="auto"/>
                <w:bottom w:val="none" w:sz="0" w:space="0" w:color="auto"/>
                <w:right w:val="none" w:sz="0" w:space="0" w:color="auto"/>
              </w:divBdr>
              <w:divsChild>
                <w:div w:id="984510832">
                  <w:marLeft w:val="0"/>
                  <w:marRight w:val="0"/>
                  <w:marTop w:val="105"/>
                  <w:marBottom w:val="0"/>
                  <w:divBdr>
                    <w:top w:val="none" w:sz="0" w:space="0" w:color="auto"/>
                    <w:left w:val="none" w:sz="0" w:space="0" w:color="auto"/>
                    <w:bottom w:val="none" w:sz="0" w:space="0" w:color="auto"/>
                    <w:right w:val="none" w:sz="0" w:space="0" w:color="auto"/>
                  </w:divBdr>
                </w:div>
              </w:divsChild>
            </w:div>
            <w:div w:id="1703558094">
              <w:marLeft w:val="0"/>
              <w:marRight w:val="0"/>
              <w:marTop w:val="0"/>
              <w:marBottom w:val="0"/>
              <w:divBdr>
                <w:top w:val="none" w:sz="0" w:space="0" w:color="auto"/>
                <w:left w:val="none" w:sz="0" w:space="0" w:color="auto"/>
                <w:bottom w:val="none" w:sz="0" w:space="0" w:color="auto"/>
                <w:right w:val="none" w:sz="0" w:space="0" w:color="auto"/>
              </w:divBdr>
              <w:divsChild>
                <w:div w:id="7131133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4713310">
          <w:marLeft w:val="0"/>
          <w:marRight w:val="0"/>
          <w:marTop w:val="0"/>
          <w:marBottom w:val="0"/>
          <w:divBdr>
            <w:top w:val="none" w:sz="0" w:space="0" w:color="auto"/>
            <w:left w:val="none" w:sz="0" w:space="0" w:color="auto"/>
            <w:bottom w:val="none" w:sz="0" w:space="0" w:color="auto"/>
            <w:right w:val="none" w:sz="0" w:space="0" w:color="auto"/>
          </w:divBdr>
          <w:divsChild>
            <w:div w:id="1080719108">
              <w:marLeft w:val="0"/>
              <w:marRight w:val="0"/>
              <w:marTop w:val="150"/>
              <w:marBottom w:val="168"/>
              <w:divBdr>
                <w:top w:val="none" w:sz="0" w:space="0" w:color="auto"/>
                <w:left w:val="none" w:sz="0" w:space="0" w:color="auto"/>
                <w:bottom w:val="none" w:sz="0" w:space="0" w:color="auto"/>
                <w:right w:val="none" w:sz="0" w:space="0" w:color="auto"/>
              </w:divBdr>
            </w:div>
            <w:div w:id="1784037759">
              <w:marLeft w:val="0"/>
              <w:marRight w:val="0"/>
              <w:marTop w:val="0"/>
              <w:marBottom w:val="0"/>
              <w:divBdr>
                <w:top w:val="none" w:sz="0" w:space="0" w:color="auto"/>
                <w:left w:val="none" w:sz="0" w:space="0" w:color="auto"/>
                <w:bottom w:val="none" w:sz="0" w:space="0" w:color="auto"/>
                <w:right w:val="none" w:sz="0" w:space="0" w:color="auto"/>
              </w:divBdr>
              <w:divsChild>
                <w:div w:id="2044010788">
                  <w:marLeft w:val="0"/>
                  <w:marRight w:val="0"/>
                  <w:marTop w:val="105"/>
                  <w:marBottom w:val="0"/>
                  <w:divBdr>
                    <w:top w:val="none" w:sz="0" w:space="0" w:color="auto"/>
                    <w:left w:val="none" w:sz="0" w:space="0" w:color="auto"/>
                    <w:bottom w:val="none" w:sz="0" w:space="0" w:color="auto"/>
                    <w:right w:val="none" w:sz="0" w:space="0" w:color="auto"/>
                  </w:divBdr>
                </w:div>
              </w:divsChild>
            </w:div>
            <w:div w:id="1797407615">
              <w:marLeft w:val="0"/>
              <w:marRight w:val="0"/>
              <w:marTop w:val="0"/>
              <w:marBottom w:val="0"/>
              <w:divBdr>
                <w:top w:val="none" w:sz="0" w:space="0" w:color="auto"/>
                <w:left w:val="none" w:sz="0" w:space="0" w:color="auto"/>
                <w:bottom w:val="none" w:sz="0" w:space="0" w:color="auto"/>
                <w:right w:val="none" w:sz="0" w:space="0" w:color="auto"/>
              </w:divBdr>
              <w:divsChild>
                <w:div w:id="10400830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36017146">
      <w:bodyDiv w:val="1"/>
      <w:marLeft w:val="0"/>
      <w:marRight w:val="0"/>
      <w:marTop w:val="0"/>
      <w:marBottom w:val="0"/>
      <w:divBdr>
        <w:top w:val="none" w:sz="0" w:space="0" w:color="auto"/>
        <w:left w:val="none" w:sz="0" w:space="0" w:color="auto"/>
        <w:bottom w:val="none" w:sz="0" w:space="0" w:color="auto"/>
        <w:right w:val="none" w:sz="0" w:space="0" w:color="auto"/>
      </w:divBdr>
    </w:div>
    <w:div w:id="1378971760">
      <w:bodyDiv w:val="1"/>
      <w:marLeft w:val="0"/>
      <w:marRight w:val="0"/>
      <w:marTop w:val="0"/>
      <w:marBottom w:val="0"/>
      <w:divBdr>
        <w:top w:val="none" w:sz="0" w:space="0" w:color="auto"/>
        <w:left w:val="none" w:sz="0" w:space="0" w:color="auto"/>
        <w:bottom w:val="none" w:sz="0" w:space="0" w:color="auto"/>
        <w:right w:val="none" w:sz="0" w:space="0" w:color="auto"/>
      </w:divBdr>
      <w:divsChild>
        <w:div w:id="315376671">
          <w:marLeft w:val="0"/>
          <w:marRight w:val="0"/>
          <w:marTop w:val="0"/>
          <w:marBottom w:val="0"/>
          <w:divBdr>
            <w:top w:val="none" w:sz="0" w:space="0" w:color="auto"/>
            <w:left w:val="none" w:sz="0" w:space="0" w:color="auto"/>
            <w:bottom w:val="none" w:sz="0" w:space="0" w:color="auto"/>
            <w:right w:val="none" w:sz="0" w:space="0" w:color="auto"/>
          </w:divBdr>
          <w:divsChild>
            <w:div w:id="43254880">
              <w:marLeft w:val="0"/>
              <w:marRight w:val="0"/>
              <w:marTop w:val="0"/>
              <w:marBottom w:val="0"/>
              <w:divBdr>
                <w:top w:val="none" w:sz="0" w:space="0" w:color="auto"/>
                <w:left w:val="none" w:sz="0" w:space="0" w:color="auto"/>
                <w:bottom w:val="none" w:sz="0" w:space="0" w:color="auto"/>
                <w:right w:val="none" w:sz="0" w:space="0" w:color="auto"/>
              </w:divBdr>
              <w:divsChild>
                <w:div w:id="571700779">
                  <w:marLeft w:val="0"/>
                  <w:marRight w:val="0"/>
                  <w:marTop w:val="105"/>
                  <w:marBottom w:val="0"/>
                  <w:divBdr>
                    <w:top w:val="none" w:sz="0" w:space="0" w:color="auto"/>
                    <w:left w:val="none" w:sz="0" w:space="0" w:color="auto"/>
                    <w:bottom w:val="none" w:sz="0" w:space="0" w:color="auto"/>
                    <w:right w:val="none" w:sz="0" w:space="0" w:color="auto"/>
                  </w:divBdr>
                </w:div>
              </w:divsChild>
            </w:div>
            <w:div w:id="1314407653">
              <w:marLeft w:val="0"/>
              <w:marRight w:val="0"/>
              <w:marTop w:val="0"/>
              <w:marBottom w:val="0"/>
              <w:divBdr>
                <w:top w:val="none" w:sz="0" w:space="0" w:color="auto"/>
                <w:left w:val="none" w:sz="0" w:space="0" w:color="auto"/>
                <w:bottom w:val="none" w:sz="0" w:space="0" w:color="auto"/>
                <w:right w:val="none" w:sz="0" w:space="0" w:color="auto"/>
              </w:divBdr>
              <w:divsChild>
                <w:div w:id="1397557297">
                  <w:marLeft w:val="0"/>
                  <w:marRight w:val="0"/>
                  <w:marTop w:val="105"/>
                  <w:marBottom w:val="0"/>
                  <w:divBdr>
                    <w:top w:val="none" w:sz="0" w:space="0" w:color="auto"/>
                    <w:left w:val="none" w:sz="0" w:space="0" w:color="auto"/>
                    <w:bottom w:val="none" w:sz="0" w:space="0" w:color="auto"/>
                    <w:right w:val="none" w:sz="0" w:space="0" w:color="auto"/>
                  </w:divBdr>
                </w:div>
              </w:divsChild>
            </w:div>
            <w:div w:id="763038490">
              <w:marLeft w:val="0"/>
              <w:marRight w:val="0"/>
              <w:marTop w:val="0"/>
              <w:marBottom w:val="0"/>
              <w:divBdr>
                <w:top w:val="none" w:sz="0" w:space="0" w:color="auto"/>
                <w:left w:val="none" w:sz="0" w:space="0" w:color="auto"/>
                <w:bottom w:val="none" w:sz="0" w:space="0" w:color="auto"/>
                <w:right w:val="none" w:sz="0" w:space="0" w:color="auto"/>
              </w:divBdr>
              <w:divsChild>
                <w:div w:id="467406300">
                  <w:marLeft w:val="0"/>
                  <w:marRight w:val="0"/>
                  <w:marTop w:val="105"/>
                  <w:marBottom w:val="0"/>
                  <w:divBdr>
                    <w:top w:val="none" w:sz="0" w:space="0" w:color="auto"/>
                    <w:left w:val="none" w:sz="0" w:space="0" w:color="auto"/>
                    <w:bottom w:val="none" w:sz="0" w:space="0" w:color="auto"/>
                    <w:right w:val="none" w:sz="0" w:space="0" w:color="auto"/>
                  </w:divBdr>
                </w:div>
              </w:divsChild>
            </w:div>
            <w:div w:id="58483868">
              <w:marLeft w:val="0"/>
              <w:marRight w:val="0"/>
              <w:marTop w:val="0"/>
              <w:marBottom w:val="0"/>
              <w:divBdr>
                <w:top w:val="none" w:sz="0" w:space="0" w:color="auto"/>
                <w:left w:val="none" w:sz="0" w:space="0" w:color="auto"/>
                <w:bottom w:val="none" w:sz="0" w:space="0" w:color="auto"/>
                <w:right w:val="none" w:sz="0" w:space="0" w:color="auto"/>
              </w:divBdr>
              <w:divsChild>
                <w:div w:id="1924141127">
                  <w:marLeft w:val="0"/>
                  <w:marRight w:val="0"/>
                  <w:marTop w:val="105"/>
                  <w:marBottom w:val="0"/>
                  <w:divBdr>
                    <w:top w:val="none" w:sz="0" w:space="0" w:color="auto"/>
                    <w:left w:val="none" w:sz="0" w:space="0" w:color="auto"/>
                    <w:bottom w:val="none" w:sz="0" w:space="0" w:color="auto"/>
                    <w:right w:val="none" w:sz="0" w:space="0" w:color="auto"/>
                  </w:divBdr>
                </w:div>
              </w:divsChild>
            </w:div>
            <w:div w:id="1731920676">
              <w:marLeft w:val="0"/>
              <w:marRight w:val="0"/>
              <w:marTop w:val="0"/>
              <w:marBottom w:val="0"/>
              <w:divBdr>
                <w:top w:val="none" w:sz="0" w:space="0" w:color="auto"/>
                <w:left w:val="none" w:sz="0" w:space="0" w:color="auto"/>
                <w:bottom w:val="none" w:sz="0" w:space="0" w:color="auto"/>
                <w:right w:val="none" w:sz="0" w:space="0" w:color="auto"/>
              </w:divBdr>
              <w:divsChild>
                <w:div w:id="16460107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51158004">
          <w:marLeft w:val="0"/>
          <w:marRight w:val="0"/>
          <w:marTop w:val="0"/>
          <w:marBottom w:val="0"/>
          <w:divBdr>
            <w:top w:val="none" w:sz="0" w:space="0" w:color="auto"/>
            <w:left w:val="none" w:sz="0" w:space="0" w:color="auto"/>
            <w:bottom w:val="none" w:sz="0" w:space="0" w:color="auto"/>
            <w:right w:val="none" w:sz="0" w:space="0" w:color="auto"/>
          </w:divBdr>
          <w:divsChild>
            <w:div w:id="66811487">
              <w:marLeft w:val="0"/>
              <w:marRight w:val="0"/>
              <w:marTop w:val="150"/>
              <w:marBottom w:val="168"/>
              <w:divBdr>
                <w:top w:val="none" w:sz="0" w:space="0" w:color="auto"/>
                <w:left w:val="none" w:sz="0" w:space="0" w:color="auto"/>
                <w:bottom w:val="none" w:sz="0" w:space="0" w:color="auto"/>
                <w:right w:val="none" w:sz="0" w:space="0" w:color="auto"/>
              </w:divBdr>
            </w:div>
            <w:div w:id="2106074600">
              <w:marLeft w:val="0"/>
              <w:marRight w:val="0"/>
              <w:marTop w:val="0"/>
              <w:marBottom w:val="0"/>
              <w:divBdr>
                <w:top w:val="none" w:sz="0" w:space="0" w:color="auto"/>
                <w:left w:val="none" w:sz="0" w:space="0" w:color="auto"/>
                <w:bottom w:val="none" w:sz="0" w:space="0" w:color="auto"/>
                <w:right w:val="none" w:sz="0" w:space="0" w:color="auto"/>
              </w:divBdr>
              <w:divsChild>
                <w:div w:id="12267179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32520349">
      <w:bodyDiv w:val="1"/>
      <w:marLeft w:val="0"/>
      <w:marRight w:val="0"/>
      <w:marTop w:val="0"/>
      <w:marBottom w:val="0"/>
      <w:divBdr>
        <w:top w:val="none" w:sz="0" w:space="0" w:color="auto"/>
        <w:left w:val="none" w:sz="0" w:space="0" w:color="auto"/>
        <w:bottom w:val="none" w:sz="0" w:space="0" w:color="auto"/>
        <w:right w:val="none" w:sz="0" w:space="0" w:color="auto"/>
      </w:divBdr>
      <w:divsChild>
        <w:div w:id="1714423350">
          <w:marLeft w:val="0"/>
          <w:marRight w:val="0"/>
          <w:marTop w:val="0"/>
          <w:marBottom w:val="0"/>
          <w:divBdr>
            <w:top w:val="none" w:sz="0" w:space="0" w:color="auto"/>
            <w:left w:val="none" w:sz="0" w:space="0" w:color="auto"/>
            <w:bottom w:val="none" w:sz="0" w:space="0" w:color="auto"/>
            <w:right w:val="none" w:sz="0" w:space="0" w:color="auto"/>
          </w:divBdr>
          <w:divsChild>
            <w:div w:id="350884541">
              <w:marLeft w:val="0"/>
              <w:marRight w:val="0"/>
              <w:marTop w:val="105"/>
              <w:marBottom w:val="0"/>
              <w:divBdr>
                <w:top w:val="none" w:sz="0" w:space="0" w:color="auto"/>
                <w:left w:val="none" w:sz="0" w:space="0" w:color="auto"/>
                <w:bottom w:val="none" w:sz="0" w:space="0" w:color="auto"/>
                <w:right w:val="none" w:sz="0" w:space="0" w:color="auto"/>
              </w:divBdr>
            </w:div>
          </w:divsChild>
        </w:div>
        <w:div w:id="2043438053">
          <w:marLeft w:val="0"/>
          <w:marRight w:val="0"/>
          <w:marTop w:val="0"/>
          <w:marBottom w:val="0"/>
          <w:divBdr>
            <w:top w:val="none" w:sz="0" w:space="0" w:color="auto"/>
            <w:left w:val="none" w:sz="0" w:space="0" w:color="auto"/>
            <w:bottom w:val="none" w:sz="0" w:space="0" w:color="auto"/>
            <w:right w:val="none" w:sz="0" w:space="0" w:color="auto"/>
          </w:divBdr>
          <w:divsChild>
            <w:div w:id="1435631729">
              <w:marLeft w:val="0"/>
              <w:marRight w:val="0"/>
              <w:marTop w:val="105"/>
              <w:marBottom w:val="0"/>
              <w:divBdr>
                <w:top w:val="none" w:sz="0" w:space="0" w:color="auto"/>
                <w:left w:val="none" w:sz="0" w:space="0" w:color="auto"/>
                <w:bottom w:val="none" w:sz="0" w:space="0" w:color="auto"/>
                <w:right w:val="none" w:sz="0" w:space="0" w:color="auto"/>
              </w:divBdr>
            </w:div>
          </w:divsChild>
        </w:div>
        <w:div w:id="933978072">
          <w:marLeft w:val="0"/>
          <w:marRight w:val="0"/>
          <w:marTop w:val="0"/>
          <w:marBottom w:val="0"/>
          <w:divBdr>
            <w:top w:val="none" w:sz="0" w:space="0" w:color="auto"/>
            <w:left w:val="none" w:sz="0" w:space="0" w:color="auto"/>
            <w:bottom w:val="none" w:sz="0" w:space="0" w:color="auto"/>
            <w:right w:val="none" w:sz="0" w:space="0" w:color="auto"/>
          </w:divBdr>
          <w:divsChild>
            <w:div w:id="2121759168">
              <w:marLeft w:val="0"/>
              <w:marRight w:val="0"/>
              <w:marTop w:val="105"/>
              <w:marBottom w:val="0"/>
              <w:divBdr>
                <w:top w:val="none" w:sz="0" w:space="0" w:color="auto"/>
                <w:left w:val="none" w:sz="0" w:space="0" w:color="auto"/>
                <w:bottom w:val="none" w:sz="0" w:space="0" w:color="auto"/>
                <w:right w:val="none" w:sz="0" w:space="0" w:color="auto"/>
              </w:divBdr>
            </w:div>
            <w:div w:id="1997491837">
              <w:marLeft w:val="0"/>
              <w:marRight w:val="0"/>
              <w:marTop w:val="0"/>
              <w:marBottom w:val="0"/>
              <w:divBdr>
                <w:top w:val="none" w:sz="0" w:space="0" w:color="auto"/>
                <w:left w:val="none" w:sz="0" w:space="0" w:color="auto"/>
                <w:bottom w:val="none" w:sz="0" w:space="0" w:color="auto"/>
                <w:right w:val="none" w:sz="0" w:space="0" w:color="auto"/>
              </w:divBdr>
              <w:divsChild>
                <w:div w:id="1674992639">
                  <w:marLeft w:val="255"/>
                  <w:marRight w:val="0"/>
                  <w:marTop w:val="0"/>
                  <w:marBottom w:val="0"/>
                  <w:divBdr>
                    <w:top w:val="none" w:sz="0" w:space="0" w:color="auto"/>
                    <w:left w:val="none" w:sz="0" w:space="0" w:color="auto"/>
                    <w:bottom w:val="none" w:sz="0" w:space="0" w:color="auto"/>
                    <w:right w:val="none" w:sz="0" w:space="0" w:color="auto"/>
                  </w:divBdr>
                </w:div>
              </w:divsChild>
            </w:div>
            <w:div w:id="133182552">
              <w:marLeft w:val="0"/>
              <w:marRight w:val="0"/>
              <w:marTop w:val="0"/>
              <w:marBottom w:val="0"/>
              <w:divBdr>
                <w:top w:val="none" w:sz="0" w:space="0" w:color="auto"/>
                <w:left w:val="none" w:sz="0" w:space="0" w:color="auto"/>
                <w:bottom w:val="none" w:sz="0" w:space="0" w:color="auto"/>
                <w:right w:val="none" w:sz="0" w:space="0" w:color="auto"/>
              </w:divBdr>
              <w:divsChild>
                <w:div w:id="10025078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83697793">
          <w:marLeft w:val="0"/>
          <w:marRight w:val="0"/>
          <w:marTop w:val="0"/>
          <w:marBottom w:val="0"/>
          <w:divBdr>
            <w:top w:val="none" w:sz="0" w:space="0" w:color="auto"/>
            <w:left w:val="none" w:sz="0" w:space="0" w:color="auto"/>
            <w:bottom w:val="none" w:sz="0" w:space="0" w:color="auto"/>
            <w:right w:val="none" w:sz="0" w:space="0" w:color="auto"/>
          </w:divBdr>
          <w:divsChild>
            <w:div w:id="3498384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87611752">
      <w:bodyDiv w:val="1"/>
      <w:marLeft w:val="0"/>
      <w:marRight w:val="0"/>
      <w:marTop w:val="0"/>
      <w:marBottom w:val="0"/>
      <w:divBdr>
        <w:top w:val="none" w:sz="0" w:space="0" w:color="auto"/>
        <w:left w:val="none" w:sz="0" w:space="0" w:color="auto"/>
        <w:bottom w:val="none" w:sz="0" w:space="0" w:color="auto"/>
        <w:right w:val="none" w:sz="0" w:space="0" w:color="auto"/>
      </w:divBdr>
      <w:divsChild>
        <w:div w:id="804195761">
          <w:marLeft w:val="0"/>
          <w:marRight w:val="0"/>
          <w:marTop w:val="0"/>
          <w:marBottom w:val="0"/>
          <w:divBdr>
            <w:top w:val="none" w:sz="0" w:space="0" w:color="auto"/>
            <w:left w:val="none" w:sz="0" w:space="0" w:color="auto"/>
            <w:bottom w:val="none" w:sz="0" w:space="0" w:color="auto"/>
            <w:right w:val="none" w:sz="0" w:space="0" w:color="auto"/>
          </w:divBdr>
          <w:divsChild>
            <w:div w:id="453449422">
              <w:marLeft w:val="0"/>
              <w:marRight w:val="0"/>
              <w:marTop w:val="0"/>
              <w:marBottom w:val="0"/>
              <w:divBdr>
                <w:top w:val="none" w:sz="0" w:space="0" w:color="auto"/>
                <w:left w:val="none" w:sz="0" w:space="0" w:color="auto"/>
                <w:bottom w:val="none" w:sz="0" w:space="0" w:color="auto"/>
                <w:right w:val="none" w:sz="0" w:space="0" w:color="auto"/>
              </w:divBdr>
              <w:divsChild>
                <w:div w:id="1068725954">
                  <w:marLeft w:val="0"/>
                  <w:marRight w:val="0"/>
                  <w:marTop w:val="105"/>
                  <w:marBottom w:val="0"/>
                  <w:divBdr>
                    <w:top w:val="none" w:sz="0" w:space="0" w:color="auto"/>
                    <w:left w:val="none" w:sz="0" w:space="0" w:color="auto"/>
                    <w:bottom w:val="none" w:sz="0" w:space="0" w:color="auto"/>
                    <w:right w:val="none" w:sz="0" w:space="0" w:color="auto"/>
                  </w:divBdr>
                </w:div>
              </w:divsChild>
            </w:div>
            <w:div w:id="1074282996">
              <w:marLeft w:val="0"/>
              <w:marRight w:val="0"/>
              <w:marTop w:val="0"/>
              <w:marBottom w:val="0"/>
              <w:divBdr>
                <w:top w:val="none" w:sz="0" w:space="0" w:color="auto"/>
                <w:left w:val="none" w:sz="0" w:space="0" w:color="auto"/>
                <w:bottom w:val="none" w:sz="0" w:space="0" w:color="auto"/>
                <w:right w:val="none" w:sz="0" w:space="0" w:color="auto"/>
              </w:divBdr>
              <w:divsChild>
                <w:div w:id="1634560439">
                  <w:marLeft w:val="0"/>
                  <w:marRight w:val="0"/>
                  <w:marTop w:val="105"/>
                  <w:marBottom w:val="0"/>
                  <w:divBdr>
                    <w:top w:val="none" w:sz="0" w:space="0" w:color="auto"/>
                    <w:left w:val="none" w:sz="0" w:space="0" w:color="auto"/>
                    <w:bottom w:val="none" w:sz="0" w:space="0" w:color="auto"/>
                    <w:right w:val="none" w:sz="0" w:space="0" w:color="auto"/>
                  </w:divBdr>
                </w:div>
              </w:divsChild>
            </w:div>
            <w:div w:id="139425253">
              <w:marLeft w:val="0"/>
              <w:marRight w:val="0"/>
              <w:marTop w:val="0"/>
              <w:marBottom w:val="0"/>
              <w:divBdr>
                <w:top w:val="none" w:sz="0" w:space="0" w:color="auto"/>
                <w:left w:val="none" w:sz="0" w:space="0" w:color="auto"/>
                <w:bottom w:val="none" w:sz="0" w:space="0" w:color="auto"/>
                <w:right w:val="none" w:sz="0" w:space="0" w:color="auto"/>
              </w:divBdr>
              <w:divsChild>
                <w:div w:id="1206599901">
                  <w:marLeft w:val="0"/>
                  <w:marRight w:val="0"/>
                  <w:marTop w:val="105"/>
                  <w:marBottom w:val="0"/>
                  <w:divBdr>
                    <w:top w:val="none" w:sz="0" w:space="0" w:color="auto"/>
                    <w:left w:val="none" w:sz="0" w:space="0" w:color="auto"/>
                    <w:bottom w:val="none" w:sz="0" w:space="0" w:color="auto"/>
                    <w:right w:val="none" w:sz="0" w:space="0" w:color="auto"/>
                  </w:divBdr>
                </w:div>
              </w:divsChild>
            </w:div>
            <w:div w:id="1995253075">
              <w:marLeft w:val="0"/>
              <w:marRight w:val="0"/>
              <w:marTop w:val="0"/>
              <w:marBottom w:val="0"/>
              <w:divBdr>
                <w:top w:val="none" w:sz="0" w:space="0" w:color="auto"/>
                <w:left w:val="none" w:sz="0" w:space="0" w:color="auto"/>
                <w:bottom w:val="none" w:sz="0" w:space="0" w:color="auto"/>
                <w:right w:val="none" w:sz="0" w:space="0" w:color="auto"/>
              </w:divBdr>
              <w:divsChild>
                <w:div w:id="1820879919">
                  <w:marLeft w:val="0"/>
                  <w:marRight w:val="0"/>
                  <w:marTop w:val="105"/>
                  <w:marBottom w:val="0"/>
                  <w:divBdr>
                    <w:top w:val="none" w:sz="0" w:space="0" w:color="auto"/>
                    <w:left w:val="none" w:sz="0" w:space="0" w:color="auto"/>
                    <w:bottom w:val="none" w:sz="0" w:space="0" w:color="auto"/>
                    <w:right w:val="none" w:sz="0" w:space="0" w:color="auto"/>
                  </w:divBdr>
                </w:div>
              </w:divsChild>
            </w:div>
            <w:div w:id="1648704494">
              <w:marLeft w:val="0"/>
              <w:marRight w:val="0"/>
              <w:marTop w:val="0"/>
              <w:marBottom w:val="0"/>
              <w:divBdr>
                <w:top w:val="none" w:sz="0" w:space="0" w:color="auto"/>
                <w:left w:val="none" w:sz="0" w:space="0" w:color="auto"/>
                <w:bottom w:val="none" w:sz="0" w:space="0" w:color="auto"/>
                <w:right w:val="none" w:sz="0" w:space="0" w:color="auto"/>
              </w:divBdr>
              <w:divsChild>
                <w:div w:id="16851593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77517532">
          <w:marLeft w:val="0"/>
          <w:marRight w:val="0"/>
          <w:marTop w:val="0"/>
          <w:marBottom w:val="0"/>
          <w:divBdr>
            <w:top w:val="none" w:sz="0" w:space="0" w:color="auto"/>
            <w:left w:val="none" w:sz="0" w:space="0" w:color="auto"/>
            <w:bottom w:val="none" w:sz="0" w:space="0" w:color="auto"/>
            <w:right w:val="none" w:sz="0" w:space="0" w:color="auto"/>
          </w:divBdr>
          <w:divsChild>
            <w:div w:id="993142644">
              <w:marLeft w:val="0"/>
              <w:marRight w:val="0"/>
              <w:marTop w:val="150"/>
              <w:marBottom w:val="168"/>
              <w:divBdr>
                <w:top w:val="none" w:sz="0" w:space="0" w:color="auto"/>
                <w:left w:val="none" w:sz="0" w:space="0" w:color="auto"/>
                <w:bottom w:val="none" w:sz="0" w:space="0" w:color="auto"/>
                <w:right w:val="none" w:sz="0" w:space="0" w:color="auto"/>
              </w:divBdr>
            </w:div>
            <w:div w:id="1013187942">
              <w:marLeft w:val="0"/>
              <w:marRight w:val="0"/>
              <w:marTop w:val="0"/>
              <w:marBottom w:val="0"/>
              <w:divBdr>
                <w:top w:val="none" w:sz="0" w:space="0" w:color="auto"/>
                <w:left w:val="none" w:sz="0" w:space="0" w:color="auto"/>
                <w:bottom w:val="none" w:sz="0" w:space="0" w:color="auto"/>
                <w:right w:val="none" w:sz="0" w:space="0" w:color="auto"/>
              </w:divBdr>
              <w:divsChild>
                <w:div w:id="5913514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urlSearch.seam?HitlistCaption=Odes&#322;ania&amp;pap_group=25010065&amp;refSource=guide&amp;sortField=document-date&amp;filterByUniqueVersionBaseId=true" TargetMode="External"/><Relationship Id="rId3" Type="http://schemas.openxmlformats.org/officeDocument/2006/relationships/settings" Target="settings.xml"/><Relationship Id="rId7" Type="http://schemas.openxmlformats.org/officeDocument/2006/relationships/hyperlink" Target="https://prs.ms.gov.pl/krs-pomoc/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5" Type="http://schemas.openxmlformats.org/officeDocument/2006/relationships/hyperlink" Target="https://prs.ms.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798</Words>
  <Characters>4791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(DLPC)</dc:creator>
  <cp:keywords/>
  <dc:description/>
  <cp:lastModifiedBy>Tabor-Skowron Marzena  (DPG)</cp:lastModifiedBy>
  <cp:revision>9</cp:revision>
  <dcterms:created xsi:type="dcterms:W3CDTF">2022-11-08T08:59:00Z</dcterms:created>
  <dcterms:modified xsi:type="dcterms:W3CDTF">2022-12-13T16:19:00Z</dcterms:modified>
</cp:coreProperties>
</file>