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B2" w:rsidRDefault="009276B2" w:rsidP="00041484">
      <w:pPr>
        <w:spacing w:after="0" w:line="240" w:lineRule="auto"/>
        <w:rPr>
          <w:rFonts w:ascii="Lato" w:hAnsi="Lato"/>
          <w:sz w:val="20"/>
        </w:rPr>
      </w:pPr>
    </w:p>
    <w:p w:rsidR="002A635F" w:rsidRPr="00885278" w:rsidRDefault="002A635F" w:rsidP="002A635F">
      <w:pPr>
        <w:spacing w:after="0" w:line="240" w:lineRule="auto"/>
        <w:rPr>
          <w:rFonts w:ascii="Lato" w:hAnsi="Lato"/>
        </w:rPr>
      </w:pPr>
    </w:p>
    <w:p w:rsidR="00C61904" w:rsidRDefault="00C61904" w:rsidP="00C61904">
      <w:pPr>
        <w:spacing w:after="0"/>
        <w:jc w:val="center"/>
        <w:rPr>
          <w:rFonts w:ascii="Lato" w:hAnsi="Lato"/>
          <w:b/>
        </w:rPr>
      </w:pPr>
      <w:r w:rsidRPr="00FA6311">
        <w:rPr>
          <w:rFonts w:ascii="Lato" w:hAnsi="Lato"/>
          <w:b/>
        </w:rPr>
        <w:t>Biała Księga nt. działań niezbędnych celem wy</w:t>
      </w:r>
      <w:r>
        <w:rPr>
          <w:rFonts w:ascii="Lato" w:hAnsi="Lato"/>
          <w:b/>
        </w:rPr>
        <w:t xml:space="preserve">eliminowania nieprawidłowości </w:t>
      </w:r>
    </w:p>
    <w:p w:rsidR="00C61904" w:rsidRDefault="00C61904" w:rsidP="00C61904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w </w:t>
      </w:r>
      <w:r w:rsidRPr="00FA6311">
        <w:rPr>
          <w:rFonts w:ascii="Lato" w:hAnsi="Lato"/>
          <w:b/>
        </w:rPr>
        <w:t>systemie wizowym RP</w:t>
      </w:r>
    </w:p>
    <w:p w:rsidR="00C61904" w:rsidRDefault="00C61904" w:rsidP="00C61904">
      <w:pPr>
        <w:spacing w:after="0"/>
        <w:jc w:val="center"/>
        <w:rPr>
          <w:rFonts w:ascii="Lato" w:hAnsi="Lato"/>
          <w:b/>
        </w:rPr>
      </w:pPr>
    </w:p>
    <w:p w:rsidR="00C61904" w:rsidRPr="00C61904" w:rsidRDefault="00C61904" w:rsidP="00C61904">
      <w:pPr>
        <w:spacing w:after="0"/>
        <w:jc w:val="center"/>
        <w:rPr>
          <w:rFonts w:ascii="Lato" w:hAnsi="Lato"/>
          <w:b/>
          <w:sz w:val="2"/>
        </w:rPr>
      </w:pPr>
    </w:p>
    <w:p w:rsidR="00C61904" w:rsidRPr="007960BD" w:rsidRDefault="00C61904" w:rsidP="00C61904">
      <w:pPr>
        <w:jc w:val="both"/>
        <w:rPr>
          <w:rFonts w:ascii="Lato" w:hAnsi="Lato"/>
          <w:b/>
        </w:rPr>
      </w:pPr>
      <w:r w:rsidRPr="007960BD">
        <w:rPr>
          <w:rFonts w:ascii="Lato" w:hAnsi="Lato"/>
          <w:b/>
        </w:rPr>
        <w:t>Diagnoza problemu:</w:t>
      </w:r>
    </w:p>
    <w:p w:rsidR="00C61904" w:rsidRPr="007960BD" w:rsidRDefault="00C61904" w:rsidP="00C61904">
      <w:pPr>
        <w:jc w:val="both"/>
        <w:rPr>
          <w:rFonts w:ascii="Lato" w:hAnsi="Lato"/>
        </w:rPr>
      </w:pPr>
      <w:r w:rsidRPr="00625E2E">
        <w:rPr>
          <w:rFonts w:ascii="Lato" w:hAnsi="Lato"/>
        </w:rPr>
        <w:t xml:space="preserve">Polska doświadcza </w:t>
      </w:r>
      <w:r w:rsidRPr="00625E2E">
        <w:rPr>
          <w:rFonts w:ascii="Lato" w:hAnsi="Lato"/>
          <w:b/>
        </w:rPr>
        <w:t>bezprecedensowej presji migracyjnej</w:t>
      </w:r>
      <w:r w:rsidRPr="00625E2E">
        <w:rPr>
          <w:rFonts w:ascii="Lato" w:hAnsi="Lato"/>
        </w:rPr>
        <w:t xml:space="preserve"> od 2015 r.</w:t>
      </w:r>
    </w:p>
    <w:p w:rsidR="00C61904" w:rsidRDefault="00C61904" w:rsidP="00C61904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Brak rozwiązań legislacyjnych i systemowych. Zamiast tego pod presją środowiska pracodawców postulującego pilne uzupełnienie rynku pracy oraz środowiska naukowego promującego źle pojmowana ideę umiędzynarodowienia polskich uczelni i </w:t>
      </w:r>
      <w:r w:rsidR="00522A90">
        <w:rPr>
          <w:rFonts w:ascii="Lato" w:hAnsi="Lato"/>
        </w:rPr>
        <w:t xml:space="preserve">poprzedni </w:t>
      </w:r>
      <w:r w:rsidRPr="00DA52C6">
        <w:rPr>
          <w:rFonts w:ascii="Lato" w:hAnsi="Lato"/>
        </w:rPr>
        <w:t>rząd</w:t>
      </w:r>
      <w:r>
        <w:rPr>
          <w:rFonts w:ascii="Lato" w:hAnsi="Lato"/>
        </w:rPr>
        <w:t xml:space="preserve"> podjął szereg </w:t>
      </w:r>
      <w:r w:rsidRPr="00E82AAD">
        <w:rPr>
          <w:rFonts w:ascii="Lato" w:hAnsi="Lato"/>
          <w:b/>
        </w:rPr>
        <w:t>nieskoordynowanych działań doraźnych</w:t>
      </w:r>
      <w:r w:rsidRPr="00DA52C6">
        <w:rPr>
          <w:rFonts w:ascii="Lato" w:hAnsi="Lato"/>
        </w:rPr>
        <w:t xml:space="preserve">, </w:t>
      </w:r>
      <w:r>
        <w:rPr>
          <w:rFonts w:ascii="Lato" w:hAnsi="Lato"/>
        </w:rPr>
        <w:t>które doprowadziły do utraty kontroli nad przepływem ludności.</w:t>
      </w:r>
    </w:p>
    <w:p w:rsidR="00C61904" w:rsidRDefault="00C61904" w:rsidP="00C61904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  <w:b/>
        </w:rPr>
        <w:t xml:space="preserve">Wydawanie </w:t>
      </w:r>
      <w:r w:rsidRPr="00E82AAD">
        <w:rPr>
          <w:rFonts w:ascii="Lato" w:hAnsi="Lato"/>
          <w:b/>
        </w:rPr>
        <w:t>zezwolenia na pracę</w:t>
      </w:r>
      <w:r>
        <w:rPr>
          <w:rFonts w:ascii="Lato" w:hAnsi="Lato"/>
          <w:b/>
        </w:rPr>
        <w:t xml:space="preserve"> „na życzenie”</w:t>
      </w:r>
      <w:r>
        <w:rPr>
          <w:rFonts w:ascii="Lato" w:hAnsi="Lato"/>
        </w:rPr>
        <w:t xml:space="preserve"> w sposób niekontrolowany, w </w:t>
      </w:r>
      <w:r w:rsidRPr="00DA52C6">
        <w:rPr>
          <w:rFonts w:ascii="Lato" w:hAnsi="Lato"/>
        </w:rPr>
        <w:t>oderwaniu od priorytetów p</w:t>
      </w:r>
      <w:r>
        <w:rPr>
          <w:rFonts w:ascii="Lato" w:hAnsi="Lato"/>
        </w:rPr>
        <w:t xml:space="preserve">olskiej polityki zagranicznej i </w:t>
      </w:r>
      <w:r w:rsidRPr="00DA52C6">
        <w:rPr>
          <w:rFonts w:ascii="Lato" w:hAnsi="Lato"/>
        </w:rPr>
        <w:t>bezpieczeństwa</w:t>
      </w:r>
      <w:r>
        <w:rPr>
          <w:rFonts w:ascii="Lato" w:hAnsi="Lato"/>
        </w:rPr>
        <w:t>,</w:t>
      </w:r>
      <w:r w:rsidRPr="00DA52C6">
        <w:rPr>
          <w:rFonts w:ascii="Lato" w:hAnsi="Lato"/>
        </w:rPr>
        <w:t xml:space="preserve"> rzeczywistych potrzeb </w:t>
      </w:r>
      <w:r>
        <w:rPr>
          <w:rFonts w:ascii="Lato" w:hAnsi="Lato"/>
        </w:rPr>
        <w:t xml:space="preserve">polskiej </w:t>
      </w:r>
      <w:r w:rsidRPr="00DA52C6">
        <w:rPr>
          <w:rFonts w:ascii="Lato" w:hAnsi="Lato"/>
        </w:rPr>
        <w:t>gospodarki</w:t>
      </w:r>
      <w:r>
        <w:rPr>
          <w:rFonts w:ascii="Lato" w:hAnsi="Lato"/>
        </w:rPr>
        <w:t xml:space="preserve"> i możliwości polskich konsulatów. </w:t>
      </w:r>
    </w:p>
    <w:p w:rsidR="006F1435" w:rsidRDefault="006F1435" w:rsidP="006F1435">
      <w:pPr>
        <w:pStyle w:val="Akapitzlist"/>
        <w:ind w:left="786"/>
        <w:jc w:val="both"/>
        <w:rPr>
          <w:rFonts w:ascii="Lato" w:hAnsi="Lato"/>
        </w:rPr>
      </w:pPr>
    </w:p>
    <w:tbl>
      <w:tblPr>
        <w:tblStyle w:val="Tabela-Siatka"/>
        <w:tblW w:w="9148" w:type="dxa"/>
        <w:tblInd w:w="180" w:type="dxa"/>
        <w:tblLook w:val="04A0" w:firstRow="1" w:lastRow="0" w:firstColumn="1" w:lastColumn="0" w:noHBand="0" w:noVBand="1"/>
      </w:tblPr>
      <w:tblGrid>
        <w:gridCol w:w="2057"/>
        <w:gridCol w:w="1185"/>
        <w:gridCol w:w="1170"/>
        <w:gridCol w:w="1175"/>
        <w:gridCol w:w="1187"/>
        <w:gridCol w:w="1187"/>
        <w:gridCol w:w="1187"/>
      </w:tblGrid>
      <w:tr w:rsidR="006F1435" w:rsidRPr="006F1435" w:rsidTr="006F1435">
        <w:trPr>
          <w:trHeight w:val="328"/>
        </w:trPr>
        <w:tc>
          <w:tcPr>
            <w:tcW w:w="2057" w:type="dxa"/>
            <w:vMerge w:val="restart"/>
          </w:tcPr>
          <w:p w:rsidR="006F1435" w:rsidRPr="006F1435" w:rsidRDefault="006F1435" w:rsidP="006F1435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Obywatelstwo</w:t>
            </w:r>
          </w:p>
        </w:tc>
        <w:tc>
          <w:tcPr>
            <w:tcW w:w="7091" w:type="dxa"/>
            <w:gridSpan w:val="6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Liczba wydanych zezwoleń na pracę</w:t>
            </w:r>
          </w:p>
        </w:tc>
      </w:tr>
      <w:tr w:rsidR="006F1435" w:rsidRPr="006F1435" w:rsidTr="006F1435">
        <w:trPr>
          <w:trHeight w:val="328"/>
        </w:trPr>
        <w:tc>
          <w:tcPr>
            <w:tcW w:w="2057" w:type="dxa"/>
            <w:vMerge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2018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</w:tc>
      </w:tr>
      <w:tr w:rsidR="006F1435" w:rsidRPr="006F1435" w:rsidTr="006F1435">
        <w:trPr>
          <w:trHeight w:val="309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Pakistan 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1065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911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815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1526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4645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7393</w:t>
            </w:r>
          </w:p>
        </w:tc>
      </w:tr>
      <w:tr w:rsidR="006F1435" w:rsidRPr="006F1435" w:rsidTr="006F1435">
        <w:trPr>
          <w:trHeight w:val="328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Indie 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8362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8063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8184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15326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41640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45998</w:t>
            </w:r>
          </w:p>
        </w:tc>
      </w:tr>
      <w:tr w:rsidR="006F1435" w:rsidRPr="006F1435" w:rsidTr="006F1435">
        <w:trPr>
          <w:trHeight w:val="309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Nepal 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19912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9175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5708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10853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20045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35287</w:t>
            </w:r>
          </w:p>
        </w:tc>
      </w:tr>
      <w:tr w:rsidR="006F1435" w:rsidRPr="006F1435" w:rsidTr="006F1435">
        <w:trPr>
          <w:trHeight w:val="328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Bangladesz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8341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6986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3758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7524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13539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27896</w:t>
            </w:r>
          </w:p>
        </w:tc>
      </w:tr>
      <w:tr w:rsidR="006F1435" w:rsidRPr="006F1435" w:rsidTr="006F1435">
        <w:trPr>
          <w:trHeight w:val="309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Turkmenistan 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317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961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2648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11919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8779</w:t>
            </w:r>
          </w:p>
        </w:tc>
      </w:tr>
      <w:tr w:rsidR="006F1435" w:rsidRPr="006F1435" w:rsidTr="006F1435">
        <w:trPr>
          <w:trHeight w:val="328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Uzbekistan 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2634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6309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5873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15002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33373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27959</w:t>
            </w:r>
          </w:p>
        </w:tc>
      </w:tr>
      <w:tr w:rsidR="006F1435" w:rsidRPr="006F1435" w:rsidTr="006F1435">
        <w:trPr>
          <w:trHeight w:val="328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Filipiny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2057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6317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7391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13279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22557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29154</w:t>
            </w:r>
          </w:p>
        </w:tc>
      </w:tr>
      <w:tr w:rsidR="006F1435" w:rsidRPr="006F1435" w:rsidTr="006F1435">
        <w:trPr>
          <w:trHeight w:val="328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Nigeria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268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554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987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1611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1420</w:t>
            </w:r>
          </w:p>
        </w:tc>
      </w:tr>
      <w:tr w:rsidR="006F1435" w:rsidRPr="006F1435" w:rsidTr="006F1435">
        <w:trPr>
          <w:trHeight w:val="328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Tanzania 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196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344</w:t>
            </w:r>
          </w:p>
        </w:tc>
      </w:tr>
      <w:tr w:rsidR="006F1435" w:rsidRPr="006F1435" w:rsidTr="006F1435">
        <w:trPr>
          <w:trHeight w:val="309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Kenia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104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186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779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2091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1727</w:t>
            </w:r>
          </w:p>
        </w:tc>
      </w:tr>
      <w:tr w:rsidR="006F1435" w:rsidRPr="006F1435" w:rsidTr="006F1435">
        <w:trPr>
          <w:trHeight w:val="328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Zimbabwe 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360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815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5017</w:t>
            </w:r>
          </w:p>
        </w:tc>
      </w:tr>
      <w:tr w:rsidR="006F1435" w:rsidRPr="006F1435" w:rsidTr="006F1435">
        <w:trPr>
          <w:trHeight w:val="328"/>
        </w:trPr>
        <w:tc>
          <w:tcPr>
            <w:tcW w:w="2057" w:type="dxa"/>
          </w:tcPr>
          <w:p w:rsidR="006F1435" w:rsidRPr="006F1435" w:rsidRDefault="006F1435" w:rsidP="00A23CDC">
            <w:pPr>
              <w:spacing w:line="256" w:lineRule="auto"/>
              <w:jc w:val="both"/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000000"/>
                <w:sz w:val="20"/>
                <w:szCs w:val="20"/>
                <w:shd w:val="clear" w:color="auto" w:fill="FFFFFF"/>
              </w:rPr>
              <w:t>Rwanda</w:t>
            </w:r>
          </w:p>
        </w:tc>
        <w:tc>
          <w:tcPr>
            <w:tcW w:w="118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70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175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309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686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977</w:t>
            </w:r>
          </w:p>
        </w:tc>
        <w:tc>
          <w:tcPr>
            <w:tcW w:w="1187" w:type="dxa"/>
          </w:tcPr>
          <w:p w:rsidR="006F1435" w:rsidRPr="006F1435" w:rsidRDefault="006F1435" w:rsidP="00A23CDC">
            <w:pPr>
              <w:spacing w:line="256" w:lineRule="auto"/>
              <w:jc w:val="center"/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000000"/>
                <w:sz w:val="20"/>
                <w:szCs w:val="20"/>
                <w:shd w:val="clear" w:color="auto" w:fill="FFFFFF"/>
              </w:rPr>
              <w:t>1216</w:t>
            </w:r>
          </w:p>
        </w:tc>
      </w:tr>
    </w:tbl>
    <w:p w:rsidR="006F1435" w:rsidRPr="006F1435" w:rsidRDefault="006F1435" w:rsidP="006F1435">
      <w:pPr>
        <w:spacing w:line="256" w:lineRule="auto"/>
        <w:jc w:val="both"/>
        <w:rPr>
          <w:rFonts w:ascii="Lato" w:eastAsia="Calibri" w:hAnsi="Lato" w:cs="Arial"/>
          <w:color w:val="000000"/>
          <w:sz w:val="16"/>
          <w:szCs w:val="16"/>
          <w:shd w:val="clear" w:color="auto" w:fill="FFFFFF"/>
        </w:rPr>
      </w:pPr>
      <w:r w:rsidRPr="00131C11">
        <w:rPr>
          <w:rFonts w:ascii="Lato" w:eastAsia="Calibri" w:hAnsi="Lato" w:cs="Arial"/>
          <w:color w:val="000000"/>
          <w:sz w:val="16"/>
          <w:szCs w:val="16"/>
          <w:shd w:val="clear" w:color="auto" w:fill="FFFFFF"/>
        </w:rPr>
        <w:t xml:space="preserve">Źródło: </w:t>
      </w:r>
      <w:hyperlink r:id="rId11" w:history="1">
        <w:r w:rsidRPr="00131C11">
          <w:rPr>
            <w:rStyle w:val="Hipercze"/>
            <w:rFonts w:eastAsia="Calibri" w:cs="Arial"/>
            <w:sz w:val="16"/>
            <w:szCs w:val="16"/>
            <w:shd w:val="clear" w:color="auto" w:fill="FFFFFF"/>
          </w:rPr>
          <w:t>www.gov.pl/rodzina</w:t>
        </w:r>
      </w:hyperlink>
      <w:r w:rsidRPr="00131C11">
        <w:rPr>
          <w:rFonts w:ascii="Lato" w:eastAsia="Calibri" w:hAnsi="Lato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C61904" w:rsidRDefault="00C61904" w:rsidP="00C61904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>N</w:t>
      </w:r>
      <w:r w:rsidRPr="00E82AAD">
        <w:rPr>
          <w:rFonts w:ascii="Lato" w:hAnsi="Lato"/>
          <w:b/>
        </w:rPr>
        <w:t>adużywani</w:t>
      </w:r>
      <w:r w:rsidR="00F70278">
        <w:rPr>
          <w:rFonts w:ascii="Lato" w:hAnsi="Lato"/>
          <w:b/>
        </w:rPr>
        <w:t>e</w:t>
      </w:r>
      <w:r w:rsidRPr="00E82AAD">
        <w:rPr>
          <w:rFonts w:ascii="Lato" w:hAnsi="Lato"/>
          <w:b/>
        </w:rPr>
        <w:t xml:space="preserve"> zbyt łatwej rekrutacji na studia</w:t>
      </w:r>
      <w:r>
        <w:rPr>
          <w:rFonts w:ascii="Lato" w:hAnsi="Lato"/>
        </w:rPr>
        <w:t xml:space="preserve"> w </w:t>
      </w:r>
      <w:r w:rsidRPr="005E7199">
        <w:rPr>
          <w:rFonts w:ascii="Lato" w:hAnsi="Lato"/>
        </w:rPr>
        <w:t xml:space="preserve">Polsce przez cudzoziemców, których rzeczywistym celem wjazdu jest świadczenie pracy lub emigracja do innych państw strefy </w:t>
      </w:r>
      <w:proofErr w:type="spellStart"/>
      <w:r w:rsidRPr="005E7199">
        <w:rPr>
          <w:rFonts w:ascii="Lato" w:hAnsi="Lato"/>
        </w:rPr>
        <w:t>Schengen</w:t>
      </w:r>
      <w:proofErr w:type="spellEnd"/>
      <w:r>
        <w:rPr>
          <w:rFonts w:ascii="Lato" w:hAnsi="Lato"/>
        </w:rPr>
        <w:t>;</w:t>
      </w:r>
    </w:p>
    <w:p w:rsidR="00BF1CA9" w:rsidRPr="00131C11" w:rsidRDefault="00BF1CA9" w:rsidP="00BF1CA9">
      <w:pPr>
        <w:spacing w:before="120" w:after="0" w:line="240" w:lineRule="auto"/>
        <w:jc w:val="both"/>
        <w:rPr>
          <w:rFonts w:ascii="Lato" w:hAnsi="Lato" w:cs="Arial"/>
          <w:color w:val="000000"/>
          <w:shd w:val="clear" w:color="auto" w:fill="FFFFFF"/>
        </w:rPr>
      </w:pPr>
      <w:r>
        <w:rPr>
          <w:rFonts w:ascii="Lato" w:hAnsi="Lato" w:cs="Arial"/>
          <w:color w:val="000000"/>
          <w:shd w:val="clear" w:color="auto" w:fill="FFFFFF"/>
        </w:rPr>
        <w:t>L</w:t>
      </w:r>
      <w:r w:rsidRPr="00131C11">
        <w:rPr>
          <w:rFonts w:ascii="Lato" w:hAnsi="Lato" w:cs="Arial"/>
          <w:color w:val="000000"/>
          <w:shd w:val="clear" w:color="auto" w:fill="FFFFFF"/>
        </w:rPr>
        <w:t>ista 10 uczelni z największą liczbą cudzoziemców w 2022 r.: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3638"/>
        <w:gridCol w:w="1238"/>
        <w:gridCol w:w="1326"/>
        <w:gridCol w:w="1434"/>
        <w:gridCol w:w="1452"/>
      </w:tblGrid>
      <w:tr w:rsidR="00BF1CA9" w:rsidRPr="00C85ED2" w:rsidTr="006F1435">
        <w:tc>
          <w:tcPr>
            <w:tcW w:w="413" w:type="dxa"/>
            <w:vAlign w:val="center"/>
          </w:tcPr>
          <w:p w:rsidR="00BF1CA9" w:rsidRPr="006F1435" w:rsidRDefault="00BF1CA9" w:rsidP="006F1435">
            <w:pPr>
              <w:spacing w:before="120"/>
              <w:jc w:val="center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lp.</w:t>
            </w:r>
          </w:p>
        </w:tc>
        <w:tc>
          <w:tcPr>
            <w:tcW w:w="3835" w:type="dxa"/>
            <w:vAlign w:val="center"/>
          </w:tcPr>
          <w:p w:rsidR="00BF1CA9" w:rsidRPr="006F1435" w:rsidRDefault="00BF1CA9" w:rsidP="006F1435">
            <w:pPr>
              <w:spacing w:before="120"/>
              <w:jc w:val="center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Uczelnia</w:t>
            </w:r>
          </w:p>
        </w:tc>
        <w:tc>
          <w:tcPr>
            <w:tcW w:w="903" w:type="dxa"/>
            <w:vAlign w:val="center"/>
          </w:tcPr>
          <w:p w:rsidR="00BF1CA9" w:rsidRPr="006F1435" w:rsidRDefault="00BF1CA9" w:rsidP="006F1435">
            <w:pPr>
              <w:spacing w:before="120"/>
              <w:jc w:val="center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Rodzaj uczelni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F1CA9" w:rsidRPr="006F1435" w:rsidRDefault="00BF1CA9" w:rsidP="006F1435">
            <w:pPr>
              <w:spacing w:before="120"/>
              <w:jc w:val="center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Uczelnia zatwierdzana</w:t>
            </w:r>
          </w:p>
        </w:tc>
        <w:tc>
          <w:tcPr>
            <w:tcW w:w="1274" w:type="dxa"/>
            <w:vAlign w:val="center"/>
          </w:tcPr>
          <w:p w:rsidR="00BF1CA9" w:rsidRPr="006F1435" w:rsidRDefault="00BF1CA9" w:rsidP="006F1435">
            <w:pPr>
              <w:spacing w:before="120"/>
              <w:jc w:val="center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Liczba cudzoziemców</w:t>
            </w:r>
          </w:p>
        </w:tc>
        <w:tc>
          <w:tcPr>
            <w:tcW w:w="1454" w:type="dxa"/>
            <w:vAlign w:val="center"/>
          </w:tcPr>
          <w:p w:rsidR="00BF1CA9" w:rsidRPr="006F1435" w:rsidRDefault="00BF1CA9" w:rsidP="006F1435">
            <w:pPr>
              <w:spacing w:before="120"/>
              <w:jc w:val="center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% cudzoziemców wśród studentów</w:t>
            </w:r>
          </w:p>
        </w:tc>
      </w:tr>
      <w:tr w:rsidR="00BF1CA9" w:rsidRPr="00C85ED2" w:rsidTr="00A23CDC">
        <w:tc>
          <w:tcPr>
            <w:tcW w:w="413" w:type="dxa"/>
          </w:tcPr>
          <w:p w:rsidR="00BF1CA9" w:rsidRPr="006F1435" w:rsidRDefault="00BF1CA9" w:rsidP="00BF1CA9">
            <w:pPr>
              <w:pStyle w:val="Akapitzlist"/>
              <w:numPr>
                <w:ilvl w:val="0"/>
                <w:numId w:val="4"/>
              </w:numPr>
              <w:spacing w:before="120"/>
              <w:jc w:val="both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5" w:type="dxa"/>
          </w:tcPr>
          <w:p w:rsidR="00BF1CA9" w:rsidRPr="006F1435" w:rsidRDefault="00BF1CA9" w:rsidP="00A23CDC">
            <w:pPr>
              <w:spacing w:before="120"/>
              <w:jc w:val="both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Akademia Finansów i Biznesu Vistula</w:t>
            </w:r>
          </w:p>
        </w:tc>
        <w:tc>
          <w:tcPr>
            <w:tcW w:w="903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niepubliczna</w:t>
            </w:r>
          </w:p>
        </w:tc>
        <w:tc>
          <w:tcPr>
            <w:tcW w:w="1183" w:type="dxa"/>
            <w:shd w:val="clear" w:color="auto" w:fill="auto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127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5958</w:t>
            </w:r>
          </w:p>
        </w:tc>
        <w:tc>
          <w:tcPr>
            <w:tcW w:w="145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56,5%</w:t>
            </w:r>
          </w:p>
        </w:tc>
      </w:tr>
      <w:tr w:rsidR="00BF1CA9" w:rsidRPr="00C85ED2" w:rsidTr="006F1435">
        <w:trPr>
          <w:trHeight w:val="699"/>
        </w:trPr>
        <w:tc>
          <w:tcPr>
            <w:tcW w:w="413" w:type="dxa"/>
          </w:tcPr>
          <w:p w:rsidR="00BF1CA9" w:rsidRPr="006F1435" w:rsidRDefault="00BF1CA9" w:rsidP="00BF1CA9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5" w:type="dxa"/>
            <w:vAlign w:val="center"/>
          </w:tcPr>
          <w:p w:rsidR="00BF1CA9" w:rsidRPr="006F1435" w:rsidRDefault="00BF1CA9" w:rsidP="006F1435">
            <w:pPr>
              <w:spacing w:before="120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Akademia Ekonomiczno-Humanistyczna w W-wie</w:t>
            </w:r>
          </w:p>
        </w:tc>
        <w:tc>
          <w:tcPr>
            <w:tcW w:w="903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niepubliczna</w:t>
            </w:r>
          </w:p>
        </w:tc>
        <w:tc>
          <w:tcPr>
            <w:tcW w:w="1183" w:type="dxa"/>
            <w:shd w:val="clear" w:color="auto" w:fill="auto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127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4544</w:t>
            </w:r>
          </w:p>
        </w:tc>
        <w:tc>
          <w:tcPr>
            <w:tcW w:w="145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41,2%</w:t>
            </w:r>
          </w:p>
        </w:tc>
      </w:tr>
      <w:tr w:rsidR="00BF1CA9" w:rsidRPr="00C85ED2" w:rsidTr="006F1435">
        <w:trPr>
          <w:trHeight w:val="510"/>
        </w:trPr>
        <w:tc>
          <w:tcPr>
            <w:tcW w:w="413" w:type="dxa"/>
          </w:tcPr>
          <w:p w:rsidR="00BF1CA9" w:rsidRPr="006F1435" w:rsidRDefault="00BF1CA9" w:rsidP="00BF1CA9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5" w:type="dxa"/>
            <w:vAlign w:val="center"/>
          </w:tcPr>
          <w:p w:rsidR="00BF1CA9" w:rsidRPr="006F1435" w:rsidRDefault="00BF1CA9" w:rsidP="006F1435">
            <w:pPr>
              <w:spacing w:before="120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Uniwersytet Jagielloński</w:t>
            </w:r>
          </w:p>
        </w:tc>
        <w:tc>
          <w:tcPr>
            <w:tcW w:w="903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publiczna</w:t>
            </w:r>
          </w:p>
        </w:tc>
        <w:tc>
          <w:tcPr>
            <w:tcW w:w="1183" w:type="dxa"/>
            <w:shd w:val="clear" w:color="auto" w:fill="auto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127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3488</w:t>
            </w:r>
          </w:p>
        </w:tc>
        <w:tc>
          <w:tcPr>
            <w:tcW w:w="145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10,3%</w:t>
            </w:r>
          </w:p>
        </w:tc>
      </w:tr>
      <w:tr w:rsidR="00BF1CA9" w:rsidRPr="00C85ED2" w:rsidTr="006F1435">
        <w:trPr>
          <w:trHeight w:val="430"/>
        </w:trPr>
        <w:tc>
          <w:tcPr>
            <w:tcW w:w="413" w:type="dxa"/>
          </w:tcPr>
          <w:p w:rsidR="00BF1CA9" w:rsidRPr="006F1435" w:rsidRDefault="00BF1CA9" w:rsidP="00BF1CA9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5" w:type="dxa"/>
            <w:vAlign w:val="center"/>
          </w:tcPr>
          <w:p w:rsidR="00BF1CA9" w:rsidRPr="006F1435" w:rsidRDefault="00BF1CA9" w:rsidP="006F1435">
            <w:pPr>
              <w:spacing w:before="120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Akademia WSB</w:t>
            </w:r>
          </w:p>
        </w:tc>
        <w:tc>
          <w:tcPr>
            <w:tcW w:w="903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niepubliczna</w:t>
            </w:r>
          </w:p>
        </w:tc>
        <w:tc>
          <w:tcPr>
            <w:tcW w:w="1183" w:type="dxa"/>
            <w:shd w:val="clear" w:color="auto" w:fill="auto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127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3171</w:t>
            </w:r>
          </w:p>
        </w:tc>
        <w:tc>
          <w:tcPr>
            <w:tcW w:w="145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29%</w:t>
            </w:r>
          </w:p>
        </w:tc>
      </w:tr>
      <w:tr w:rsidR="00BF1CA9" w:rsidRPr="00C85ED2" w:rsidTr="006F1435">
        <w:trPr>
          <w:trHeight w:val="477"/>
        </w:trPr>
        <w:tc>
          <w:tcPr>
            <w:tcW w:w="413" w:type="dxa"/>
          </w:tcPr>
          <w:p w:rsidR="00BF1CA9" w:rsidRPr="006F1435" w:rsidRDefault="00BF1CA9" w:rsidP="00BF1CA9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5" w:type="dxa"/>
            <w:vAlign w:val="center"/>
          </w:tcPr>
          <w:p w:rsidR="00BF1CA9" w:rsidRPr="006F1435" w:rsidRDefault="00BF1CA9" w:rsidP="006F1435">
            <w:pPr>
              <w:spacing w:before="120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Uniwersytet Warszawski</w:t>
            </w:r>
          </w:p>
        </w:tc>
        <w:tc>
          <w:tcPr>
            <w:tcW w:w="903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publiczna</w:t>
            </w:r>
          </w:p>
        </w:tc>
        <w:tc>
          <w:tcPr>
            <w:tcW w:w="1183" w:type="dxa"/>
            <w:shd w:val="clear" w:color="auto" w:fill="auto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127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2518</w:t>
            </w:r>
          </w:p>
        </w:tc>
        <w:tc>
          <w:tcPr>
            <w:tcW w:w="145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6,9%</w:t>
            </w:r>
          </w:p>
        </w:tc>
      </w:tr>
      <w:tr w:rsidR="00BF1CA9" w:rsidRPr="00C85ED2" w:rsidTr="006F1435">
        <w:tc>
          <w:tcPr>
            <w:tcW w:w="413" w:type="dxa"/>
          </w:tcPr>
          <w:p w:rsidR="00BF1CA9" w:rsidRPr="006F1435" w:rsidRDefault="00BF1CA9" w:rsidP="00BF1CA9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5" w:type="dxa"/>
            <w:vAlign w:val="center"/>
          </w:tcPr>
          <w:p w:rsidR="00BF1CA9" w:rsidRPr="006F1435" w:rsidRDefault="00BF1CA9" w:rsidP="006F1435">
            <w:pPr>
              <w:spacing w:before="120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Społeczna Akademia Nauk z siedzibą w Łodzi</w:t>
            </w:r>
          </w:p>
        </w:tc>
        <w:tc>
          <w:tcPr>
            <w:tcW w:w="903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niepubliczna</w:t>
            </w:r>
          </w:p>
        </w:tc>
        <w:tc>
          <w:tcPr>
            <w:tcW w:w="1183" w:type="dxa"/>
            <w:shd w:val="clear" w:color="auto" w:fill="auto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127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2301</w:t>
            </w:r>
          </w:p>
        </w:tc>
        <w:tc>
          <w:tcPr>
            <w:tcW w:w="145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17,8%</w:t>
            </w:r>
          </w:p>
        </w:tc>
      </w:tr>
      <w:tr w:rsidR="00BF1CA9" w:rsidRPr="00C85ED2" w:rsidTr="006F1435">
        <w:tc>
          <w:tcPr>
            <w:tcW w:w="413" w:type="dxa"/>
          </w:tcPr>
          <w:p w:rsidR="00BF1CA9" w:rsidRPr="006F1435" w:rsidRDefault="00BF1CA9" w:rsidP="00BF1CA9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5" w:type="dxa"/>
            <w:vAlign w:val="center"/>
          </w:tcPr>
          <w:p w:rsidR="00BF1CA9" w:rsidRPr="006F1435" w:rsidRDefault="00BF1CA9" w:rsidP="006F1435">
            <w:pPr>
              <w:spacing w:before="120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 xml:space="preserve">Akademia Nauk Stosowanych W. Pola w Lublinie </w:t>
            </w:r>
          </w:p>
        </w:tc>
        <w:tc>
          <w:tcPr>
            <w:tcW w:w="903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niepubliczna</w:t>
            </w:r>
          </w:p>
        </w:tc>
        <w:tc>
          <w:tcPr>
            <w:tcW w:w="1183" w:type="dxa"/>
            <w:shd w:val="clear" w:color="auto" w:fill="auto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27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2153</w:t>
            </w:r>
          </w:p>
        </w:tc>
        <w:tc>
          <w:tcPr>
            <w:tcW w:w="145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72%</w:t>
            </w:r>
          </w:p>
        </w:tc>
      </w:tr>
      <w:tr w:rsidR="00BF1CA9" w:rsidRPr="00C85ED2" w:rsidTr="006F1435">
        <w:tc>
          <w:tcPr>
            <w:tcW w:w="413" w:type="dxa"/>
          </w:tcPr>
          <w:p w:rsidR="00BF1CA9" w:rsidRPr="006F1435" w:rsidRDefault="00BF1CA9" w:rsidP="00BF1CA9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5" w:type="dxa"/>
            <w:vAlign w:val="center"/>
          </w:tcPr>
          <w:p w:rsidR="00BF1CA9" w:rsidRPr="006F1435" w:rsidRDefault="00BF1CA9" w:rsidP="006F1435">
            <w:pPr>
              <w:spacing w:before="120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Uniwersytet im. A. Mickiewicza w Poznaniu</w:t>
            </w:r>
          </w:p>
        </w:tc>
        <w:tc>
          <w:tcPr>
            <w:tcW w:w="903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publiczna</w:t>
            </w:r>
          </w:p>
        </w:tc>
        <w:tc>
          <w:tcPr>
            <w:tcW w:w="1183" w:type="dxa"/>
            <w:shd w:val="clear" w:color="auto" w:fill="auto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127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2082</w:t>
            </w:r>
          </w:p>
        </w:tc>
        <w:tc>
          <w:tcPr>
            <w:tcW w:w="145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7%</w:t>
            </w:r>
          </w:p>
        </w:tc>
      </w:tr>
      <w:tr w:rsidR="00BF1CA9" w:rsidRPr="00C85ED2" w:rsidTr="006F1435">
        <w:trPr>
          <w:trHeight w:val="550"/>
        </w:trPr>
        <w:tc>
          <w:tcPr>
            <w:tcW w:w="413" w:type="dxa"/>
          </w:tcPr>
          <w:p w:rsidR="00BF1CA9" w:rsidRPr="006F1435" w:rsidRDefault="00BF1CA9" w:rsidP="00BF1CA9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5" w:type="dxa"/>
            <w:vAlign w:val="center"/>
          </w:tcPr>
          <w:p w:rsidR="00BF1CA9" w:rsidRPr="006F1435" w:rsidRDefault="00BF1CA9" w:rsidP="006F1435">
            <w:pPr>
              <w:spacing w:before="120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Uniwersytet Łódzki</w:t>
            </w:r>
          </w:p>
        </w:tc>
        <w:tc>
          <w:tcPr>
            <w:tcW w:w="903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publiczna</w:t>
            </w:r>
          </w:p>
        </w:tc>
        <w:tc>
          <w:tcPr>
            <w:tcW w:w="1183" w:type="dxa"/>
            <w:shd w:val="clear" w:color="auto" w:fill="auto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127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2034</w:t>
            </w:r>
          </w:p>
        </w:tc>
        <w:tc>
          <w:tcPr>
            <w:tcW w:w="145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8,8%</w:t>
            </w:r>
          </w:p>
        </w:tc>
      </w:tr>
      <w:tr w:rsidR="00BF1CA9" w:rsidRPr="00C85ED2" w:rsidTr="006F1435">
        <w:tc>
          <w:tcPr>
            <w:tcW w:w="413" w:type="dxa"/>
          </w:tcPr>
          <w:p w:rsidR="00BF1CA9" w:rsidRPr="006F1435" w:rsidRDefault="00BF1CA9" w:rsidP="00BF1CA9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5" w:type="dxa"/>
            <w:vAlign w:val="center"/>
          </w:tcPr>
          <w:p w:rsidR="00BF1CA9" w:rsidRPr="006F1435" w:rsidRDefault="00BF1CA9" w:rsidP="006F1435">
            <w:pPr>
              <w:spacing w:before="120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Polsko-Japońska Akademia Technik Komputerowych</w:t>
            </w:r>
          </w:p>
        </w:tc>
        <w:tc>
          <w:tcPr>
            <w:tcW w:w="903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niepubliczna</w:t>
            </w:r>
          </w:p>
        </w:tc>
        <w:tc>
          <w:tcPr>
            <w:tcW w:w="1183" w:type="dxa"/>
            <w:shd w:val="clear" w:color="auto" w:fill="auto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127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1805</w:t>
            </w:r>
          </w:p>
        </w:tc>
        <w:tc>
          <w:tcPr>
            <w:tcW w:w="1454" w:type="dxa"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23,1%</w:t>
            </w:r>
          </w:p>
        </w:tc>
      </w:tr>
    </w:tbl>
    <w:p w:rsidR="00BF1CA9" w:rsidRPr="00131C11" w:rsidRDefault="00BF1CA9" w:rsidP="00BF1CA9">
      <w:pPr>
        <w:spacing w:after="0" w:line="240" w:lineRule="auto"/>
        <w:jc w:val="both"/>
        <w:rPr>
          <w:rFonts w:ascii="Lato" w:hAnsi="Lato" w:cs="Arial"/>
          <w:color w:val="202733"/>
          <w:sz w:val="16"/>
          <w:szCs w:val="16"/>
          <w:shd w:val="clear" w:color="auto" w:fill="FFFFFF"/>
        </w:rPr>
      </w:pPr>
      <w:r w:rsidRPr="00C85ED2">
        <w:rPr>
          <w:rFonts w:ascii="Lato" w:hAnsi="Lato" w:cs="Arial"/>
          <w:color w:val="202733"/>
          <w:sz w:val="16"/>
          <w:szCs w:val="16"/>
          <w:shd w:val="clear" w:color="auto" w:fill="FFFFFF"/>
        </w:rPr>
        <w:t xml:space="preserve">Źródło: </w:t>
      </w:r>
      <w:r w:rsidRPr="00C85ED2">
        <w:rPr>
          <w:rFonts w:ascii="Lato" w:hAnsi="Lato" w:cs="Arial"/>
          <w:i/>
          <w:color w:val="202733"/>
          <w:sz w:val="16"/>
          <w:szCs w:val="16"/>
          <w:shd w:val="clear" w:color="auto" w:fill="FFFFFF"/>
        </w:rPr>
        <w:t>Cudzoziemcy na uczelniach w Polsce. Raport 2022</w:t>
      </w:r>
      <w:r w:rsidRPr="00C85ED2">
        <w:rPr>
          <w:rFonts w:ascii="Lato" w:hAnsi="Lato" w:cs="Arial"/>
          <w:color w:val="202733"/>
          <w:sz w:val="16"/>
          <w:szCs w:val="16"/>
          <w:shd w:val="clear" w:color="auto" w:fill="FFFFFF"/>
        </w:rPr>
        <w:t>, Ośrodek Przetwarzania Infor</w:t>
      </w:r>
      <w:r w:rsidRPr="00131C11">
        <w:rPr>
          <w:rFonts w:ascii="Lato" w:hAnsi="Lato" w:cs="Arial"/>
          <w:color w:val="202733"/>
          <w:sz w:val="16"/>
          <w:szCs w:val="16"/>
          <w:shd w:val="clear" w:color="auto" w:fill="FFFFFF"/>
        </w:rPr>
        <w:t>macji – Państwowy Instytut Badawczy.</w:t>
      </w:r>
    </w:p>
    <w:p w:rsidR="00F70278" w:rsidRDefault="00F70278" w:rsidP="00BF1CA9">
      <w:pPr>
        <w:pStyle w:val="Akapitzlist"/>
        <w:ind w:left="786"/>
        <w:jc w:val="both"/>
        <w:rPr>
          <w:rFonts w:ascii="Lato" w:hAnsi="Lato"/>
        </w:rPr>
      </w:pP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3827"/>
      </w:tblGrid>
      <w:tr w:rsidR="00BF1CA9" w:rsidRPr="00131C11" w:rsidTr="006F1435">
        <w:trPr>
          <w:trHeight w:val="416"/>
        </w:trPr>
        <w:tc>
          <w:tcPr>
            <w:tcW w:w="1413" w:type="dxa"/>
            <w:noWrap/>
            <w:vAlign w:val="center"/>
            <w:hideMark/>
          </w:tcPr>
          <w:p w:rsidR="00BF1CA9" w:rsidRPr="006F1435" w:rsidRDefault="00BF1CA9" w:rsidP="006F1435">
            <w:pPr>
              <w:spacing w:before="120"/>
              <w:jc w:val="center"/>
              <w:rPr>
                <w:rFonts w:ascii="Lato" w:hAnsi="Lato" w:cs="Arial"/>
                <w:b/>
                <w:bCs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bCs/>
                <w:color w:val="202733"/>
                <w:sz w:val="20"/>
                <w:szCs w:val="20"/>
                <w:shd w:val="clear" w:color="auto" w:fill="FFFFFF"/>
              </w:rPr>
              <w:t>Rok akademicki</w:t>
            </w:r>
          </w:p>
        </w:tc>
        <w:tc>
          <w:tcPr>
            <w:tcW w:w="3827" w:type="dxa"/>
            <w:vAlign w:val="center"/>
            <w:hideMark/>
          </w:tcPr>
          <w:p w:rsidR="00BF1CA9" w:rsidRPr="006F1435" w:rsidRDefault="00BF1CA9" w:rsidP="006F1435">
            <w:pPr>
              <w:spacing w:before="120"/>
              <w:jc w:val="center"/>
              <w:rPr>
                <w:rFonts w:ascii="Lato" w:hAnsi="Lato" w:cs="Arial"/>
                <w:b/>
                <w:bCs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bCs/>
                <w:color w:val="202733"/>
                <w:sz w:val="20"/>
                <w:szCs w:val="20"/>
                <w:shd w:val="clear" w:color="auto" w:fill="FFFFFF"/>
              </w:rPr>
              <w:t>Liczba studentów cudzoziemców na I roku</w:t>
            </w:r>
          </w:p>
        </w:tc>
        <w:tc>
          <w:tcPr>
            <w:tcW w:w="3827" w:type="dxa"/>
            <w:vAlign w:val="center"/>
            <w:hideMark/>
          </w:tcPr>
          <w:p w:rsidR="00BF1CA9" w:rsidRPr="006F1435" w:rsidRDefault="00BF1CA9" w:rsidP="006F1435">
            <w:pPr>
              <w:spacing w:before="120"/>
              <w:jc w:val="center"/>
              <w:rPr>
                <w:rFonts w:ascii="Lato" w:hAnsi="Lato" w:cs="Arial"/>
                <w:b/>
                <w:bCs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bCs/>
                <w:color w:val="202733"/>
                <w:sz w:val="20"/>
                <w:szCs w:val="20"/>
                <w:shd w:val="clear" w:color="auto" w:fill="FFFFFF"/>
              </w:rPr>
              <w:t>z tego na II roku (w kolejnym roku akademickim)</w:t>
            </w:r>
          </w:p>
        </w:tc>
      </w:tr>
      <w:tr w:rsidR="00BF1CA9" w:rsidRPr="00131C11" w:rsidTr="00A23CDC">
        <w:trPr>
          <w:trHeight w:val="288"/>
        </w:trPr>
        <w:tc>
          <w:tcPr>
            <w:tcW w:w="1413" w:type="dxa"/>
            <w:noWrap/>
            <w:hideMark/>
          </w:tcPr>
          <w:p w:rsidR="00BF1CA9" w:rsidRPr="006F1435" w:rsidRDefault="00BF1CA9" w:rsidP="00A23CDC">
            <w:pPr>
              <w:spacing w:before="120"/>
              <w:jc w:val="both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2018/2019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38.546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22.704 (</w:t>
            </w: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59%</w:t>
            </w: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F1CA9" w:rsidRPr="00131C11" w:rsidTr="00A23CDC">
        <w:trPr>
          <w:trHeight w:val="288"/>
        </w:trPr>
        <w:tc>
          <w:tcPr>
            <w:tcW w:w="1413" w:type="dxa"/>
            <w:noWrap/>
            <w:hideMark/>
          </w:tcPr>
          <w:p w:rsidR="00BF1CA9" w:rsidRPr="006F1435" w:rsidRDefault="00BF1CA9" w:rsidP="00A23CDC">
            <w:pPr>
              <w:spacing w:before="120"/>
              <w:jc w:val="both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2019/2020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38.525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24.091 (</w:t>
            </w: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63%</w:t>
            </w: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F1CA9" w:rsidRPr="00131C11" w:rsidTr="00A23CDC">
        <w:trPr>
          <w:trHeight w:val="288"/>
        </w:trPr>
        <w:tc>
          <w:tcPr>
            <w:tcW w:w="1413" w:type="dxa"/>
            <w:noWrap/>
            <w:hideMark/>
          </w:tcPr>
          <w:p w:rsidR="00BF1CA9" w:rsidRPr="006F1435" w:rsidRDefault="00BF1CA9" w:rsidP="00A23CDC">
            <w:pPr>
              <w:spacing w:before="120"/>
              <w:jc w:val="both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2020/2021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40.329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24.094 (</w:t>
            </w: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60%)</w:t>
            </w:r>
          </w:p>
        </w:tc>
      </w:tr>
      <w:tr w:rsidR="00BF1CA9" w:rsidRPr="00131C11" w:rsidTr="00A23CDC">
        <w:trPr>
          <w:trHeight w:val="288"/>
        </w:trPr>
        <w:tc>
          <w:tcPr>
            <w:tcW w:w="1413" w:type="dxa"/>
            <w:noWrap/>
            <w:hideMark/>
          </w:tcPr>
          <w:p w:rsidR="00BF1CA9" w:rsidRPr="006F1435" w:rsidRDefault="00BF1CA9" w:rsidP="00A23CDC">
            <w:pPr>
              <w:spacing w:before="120"/>
              <w:jc w:val="both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2021/2022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46.683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26.127 (</w:t>
            </w: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56%</w:t>
            </w: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F1CA9" w:rsidRPr="00131C11" w:rsidTr="00A23CDC">
        <w:trPr>
          <w:trHeight w:val="288"/>
        </w:trPr>
        <w:tc>
          <w:tcPr>
            <w:tcW w:w="1413" w:type="dxa"/>
            <w:noWrap/>
            <w:hideMark/>
          </w:tcPr>
          <w:p w:rsidR="00BF1CA9" w:rsidRPr="006F1435" w:rsidRDefault="00BF1CA9" w:rsidP="00A23CDC">
            <w:pPr>
              <w:spacing w:before="120"/>
              <w:jc w:val="both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2022/2023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59.439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31.517 (</w:t>
            </w: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53%</w:t>
            </w: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F1CA9" w:rsidRPr="00131C11" w:rsidTr="00A23CDC">
        <w:trPr>
          <w:trHeight w:val="300"/>
        </w:trPr>
        <w:tc>
          <w:tcPr>
            <w:tcW w:w="1413" w:type="dxa"/>
            <w:noWrap/>
            <w:hideMark/>
          </w:tcPr>
          <w:p w:rsidR="00BF1CA9" w:rsidRPr="006F1435" w:rsidRDefault="00BF1CA9" w:rsidP="00A23CDC">
            <w:pPr>
              <w:spacing w:before="120"/>
              <w:jc w:val="both"/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b/>
                <w:color w:val="202733"/>
                <w:sz w:val="20"/>
                <w:szCs w:val="20"/>
                <w:shd w:val="clear" w:color="auto" w:fill="FFFFFF"/>
              </w:rPr>
              <w:t>2023/2024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BF1CA9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 w:rsidRPr="006F1435"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50.599</w:t>
            </w:r>
          </w:p>
        </w:tc>
        <w:tc>
          <w:tcPr>
            <w:tcW w:w="3827" w:type="dxa"/>
            <w:noWrap/>
            <w:hideMark/>
          </w:tcPr>
          <w:p w:rsidR="00BF1CA9" w:rsidRPr="006F1435" w:rsidRDefault="00522A90" w:rsidP="00A23CDC">
            <w:pPr>
              <w:spacing w:before="120"/>
              <w:jc w:val="center"/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</w:pPr>
            <w:r>
              <w:rPr>
                <w:rFonts w:ascii="Lato" w:hAnsi="Lato" w:cs="Arial"/>
                <w:color w:val="202733"/>
                <w:sz w:val="20"/>
                <w:szCs w:val="20"/>
                <w:shd w:val="clear" w:color="auto" w:fill="FFFFFF"/>
              </w:rPr>
              <w:t>n/a</w:t>
            </w:r>
          </w:p>
        </w:tc>
      </w:tr>
    </w:tbl>
    <w:p w:rsidR="00BF1CA9" w:rsidRPr="00131C11" w:rsidRDefault="00BF1CA9" w:rsidP="00BF1CA9">
      <w:pPr>
        <w:spacing w:before="120" w:after="0" w:line="240" w:lineRule="auto"/>
        <w:jc w:val="both"/>
        <w:rPr>
          <w:rFonts w:ascii="Lato" w:hAnsi="Lato" w:cs="Arial"/>
          <w:color w:val="202733"/>
          <w:sz w:val="16"/>
          <w:szCs w:val="16"/>
          <w:shd w:val="clear" w:color="auto" w:fill="FFFFFF"/>
        </w:rPr>
      </w:pPr>
      <w:r w:rsidRPr="00131C11">
        <w:rPr>
          <w:rFonts w:ascii="Lato" w:hAnsi="Lato" w:cs="Arial"/>
          <w:color w:val="202733"/>
          <w:sz w:val="16"/>
          <w:szCs w:val="16"/>
          <w:shd w:val="clear" w:color="auto" w:fill="FFFFFF"/>
        </w:rPr>
        <w:t>Źródło: dane Ministerstwa Nauki i Szkolnictwa Wyższego</w:t>
      </w:r>
    </w:p>
    <w:p w:rsidR="00BF1CA9" w:rsidRPr="00BF1CA9" w:rsidRDefault="00BF1CA9" w:rsidP="00BF1CA9">
      <w:pPr>
        <w:jc w:val="both"/>
        <w:rPr>
          <w:rFonts w:ascii="Lato" w:hAnsi="Lato"/>
        </w:rPr>
      </w:pPr>
    </w:p>
    <w:p w:rsidR="00C61904" w:rsidRDefault="00C61904" w:rsidP="00C61904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E82AAD">
        <w:rPr>
          <w:rFonts w:ascii="Lato" w:hAnsi="Lato"/>
          <w:b/>
        </w:rPr>
        <w:t>chaos prawny</w:t>
      </w:r>
      <w:r w:rsidRPr="003544D9">
        <w:rPr>
          <w:rFonts w:ascii="Lato" w:hAnsi="Lato"/>
        </w:rPr>
        <w:t xml:space="preserve"> w obszarze polityki migracyjnej i wizowej pogłębił się podczas pandemii, kiedy kolejne nowelizacje ustawy </w:t>
      </w:r>
      <w:proofErr w:type="spellStart"/>
      <w:r w:rsidRPr="003544D9">
        <w:rPr>
          <w:rFonts w:ascii="Lato" w:hAnsi="Lato"/>
        </w:rPr>
        <w:t>covidowej</w:t>
      </w:r>
      <w:proofErr w:type="spellEnd"/>
      <w:r w:rsidRPr="003544D9">
        <w:rPr>
          <w:rFonts w:ascii="Lato" w:hAnsi="Lato"/>
        </w:rPr>
        <w:t xml:space="preserve"> wprowadzały w sposób nieskoordynowany nowe regulacje dotyczące ruchu osobowego, kontroli granicznych, czy uzupełniania </w:t>
      </w:r>
      <w:r>
        <w:rPr>
          <w:rFonts w:ascii="Lato" w:hAnsi="Lato"/>
        </w:rPr>
        <w:t xml:space="preserve">w trybie pilnym </w:t>
      </w:r>
      <w:r w:rsidRPr="003544D9">
        <w:rPr>
          <w:rFonts w:ascii="Lato" w:hAnsi="Lato"/>
        </w:rPr>
        <w:t>niedoborów na polskim rynku pracy cudzoziemskimi pracown</w:t>
      </w:r>
      <w:r>
        <w:rPr>
          <w:rFonts w:ascii="Lato" w:hAnsi="Lato"/>
        </w:rPr>
        <w:t>ikami.</w:t>
      </w:r>
    </w:p>
    <w:p w:rsidR="00C61904" w:rsidRDefault="00C61904" w:rsidP="00C61904">
      <w:pPr>
        <w:pStyle w:val="Akapitzlist"/>
        <w:ind w:left="786"/>
        <w:jc w:val="both"/>
        <w:rPr>
          <w:rFonts w:ascii="Lato" w:hAnsi="Lato"/>
        </w:rPr>
      </w:pPr>
    </w:p>
    <w:p w:rsidR="00C61904" w:rsidRPr="007960BD" w:rsidRDefault="00C61904" w:rsidP="00C61904">
      <w:pPr>
        <w:jc w:val="both"/>
        <w:rPr>
          <w:rFonts w:ascii="Lato" w:hAnsi="Lato"/>
          <w:b/>
        </w:rPr>
      </w:pPr>
      <w:r w:rsidRPr="00925091">
        <w:rPr>
          <w:rFonts w:ascii="Lato" w:hAnsi="Lato"/>
          <w:b/>
        </w:rPr>
        <w:t xml:space="preserve">Skutki zaistniałej sytuacji </w:t>
      </w:r>
      <w:r>
        <w:rPr>
          <w:rFonts w:ascii="Lato" w:hAnsi="Lato"/>
          <w:b/>
        </w:rPr>
        <w:t>dla systemu wizowego</w:t>
      </w:r>
    </w:p>
    <w:p w:rsidR="00C61904" w:rsidRDefault="00C61904" w:rsidP="00C61904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Pr="005E7199">
        <w:rPr>
          <w:rFonts w:ascii="Lato" w:hAnsi="Lato"/>
        </w:rPr>
        <w:t xml:space="preserve"> wielu państwach trzecich w powszechnej świadomośc</w:t>
      </w:r>
      <w:r>
        <w:rPr>
          <w:rFonts w:ascii="Lato" w:hAnsi="Lato"/>
        </w:rPr>
        <w:t>i utrwaliło się przekonanie, że </w:t>
      </w:r>
      <w:r w:rsidRPr="00E82AAD">
        <w:rPr>
          <w:rFonts w:ascii="Lato" w:hAnsi="Lato"/>
          <w:b/>
        </w:rPr>
        <w:t>polska wiza jest łatwo dostępna</w:t>
      </w:r>
      <w:r>
        <w:rPr>
          <w:rFonts w:ascii="Lato" w:hAnsi="Lato"/>
          <w:b/>
        </w:rPr>
        <w:t xml:space="preserve"> i relatywnie tania –</w:t>
      </w:r>
      <w:r>
        <w:rPr>
          <w:rFonts w:ascii="Lato" w:hAnsi="Lato"/>
        </w:rPr>
        <w:t xml:space="preserve"> </w:t>
      </w:r>
      <w:r w:rsidRPr="005E7199">
        <w:rPr>
          <w:rFonts w:ascii="Lato" w:hAnsi="Lato"/>
        </w:rPr>
        <w:t>finalny koszt jej uzyskania jest wielokrotnie niższy niż koszt innych ścieżek migracji i legalizacji pob</w:t>
      </w:r>
      <w:r>
        <w:rPr>
          <w:rFonts w:ascii="Lato" w:hAnsi="Lato"/>
        </w:rPr>
        <w:t xml:space="preserve">ytu w państwach strefy </w:t>
      </w:r>
      <w:proofErr w:type="spellStart"/>
      <w:r>
        <w:rPr>
          <w:rFonts w:ascii="Lato" w:hAnsi="Lato"/>
        </w:rPr>
        <w:t>Schengen</w:t>
      </w:r>
      <w:proofErr w:type="spellEnd"/>
      <w:r>
        <w:rPr>
          <w:rFonts w:ascii="Lato" w:hAnsi="Lato"/>
        </w:rPr>
        <w:t>.</w:t>
      </w:r>
    </w:p>
    <w:p w:rsidR="00C61904" w:rsidRDefault="00C61904" w:rsidP="00C61904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przełożyło się to na </w:t>
      </w:r>
      <w:r w:rsidRPr="00E82AAD">
        <w:rPr>
          <w:rFonts w:ascii="Lato" w:hAnsi="Lato"/>
          <w:b/>
        </w:rPr>
        <w:t>niedrożność polskich konsulatów</w:t>
      </w:r>
      <w:r w:rsidRPr="00BF0F93">
        <w:rPr>
          <w:rFonts w:ascii="Lato" w:hAnsi="Lato"/>
        </w:rPr>
        <w:t xml:space="preserve"> w państwach pochodzenia kandydatów na rzekomych studentów </w:t>
      </w:r>
      <w:r>
        <w:rPr>
          <w:rFonts w:ascii="Lato" w:hAnsi="Lato"/>
        </w:rPr>
        <w:t xml:space="preserve">i ponadwymiarowych pracowników, na </w:t>
      </w:r>
      <w:r w:rsidRPr="00BF0F93">
        <w:rPr>
          <w:rFonts w:ascii="Lato" w:hAnsi="Lato"/>
        </w:rPr>
        <w:t xml:space="preserve">czym skorzystali przede wszystkim </w:t>
      </w:r>
      <w:r w:rsidRPr="00E82AAD">
        <w:rPr>
          <w:rFonts w:ascii="Lato" w:hAnsi="Lato"/>
          <w:b/>
        </w:rPr>
        <w:t>nieuczciwi pośrednicy</w:t>
      </w:r>
      <w:r w:rsidRPr="00BF0F93">
        <w:rPr>
          <w:rFonts w:ascii="Lato" w:hAnsi="Lato"/>
        </w:rPr>
        <w:t>, oferujący cudzoziemcom odpłatną pomoc w uzyskan</w:t>
      </w:r>
      <w:r>
        <w:rPr>
          <w:rFonts w:ascii="Lato" w:hAnsi="Lato"/>
        </w:rPr>
        <w:t>iu terminu spotkania wizowego z </w:t>
      </w:r>
      <w:r w:rsidRPr="00BF0F93">
        <w:rPr>
          <w:rFonts w:ascii="Lato" w:hAnsi="Lato"/>
        </w:rPr>
        <w:t>wykorzy</w:t>
      </w:r>
      <w:r>
        <w:rPr>
          <w:rFonts w:ascii="Lato" w:hAnsi="Lato"/>
        </w:rPr>
        <w:t>staniem automatycznych skryptów;</w:t>
      </w:r>
    </w:p>
    <w:p w:rsidR="00C61904" w:rsidRDefault="00C61904" w:rsidP="00C61904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>r</w:t>
      </w:r>
      <w:r w:rsidRPr="00BF0F93">
        <w:rPr>
          <w:rFonts w:ascii="Lato" w:hAnsi="Lato"/>
        </w:rPr>
        <w:t xml:space="preserve">eakcją MSZ było </w:t>
      </w:r>
      <w:r w:rsidRPr="00E82AAD">
        <w:rPr>
          <w:rFonts w:ascii="Lato" w:hAnsi="Lato"/>
          <w:b/>
        </w:rPr>
        <w:t>wybiórcze zaspokajanie zgłaszanych żądań</w:t>
      </w:r>
      <w:r w:rsidRPr="00BF0F93">
        <w:rPr>
          <w:rFonts w:ascii="Lato" w:hAnsi="Lato"/>
        </w:rPr>
        <w:t xml:space="preserve"> o przyspieszenie procedury wizowej, co dało szerokie pole do ujawnienia się </w:t>
      </w:r>
      <w:r w:rsidRPr="00E82AAD">
        <w:rPr>
          <w:rFonts w:ascii="Lato" w:hAnsi="Lato"/>
          <w:b/>
        </w:rPr>
        <w:t>zjaw</w:t>
      </w:r>
      <w:r>
        <w:rPr>
          <w:rFonts w:ascii="Lato" w:hAnsi="Lato"/>
          <w:b/>
        </w:rPr>
        <w:t>isk o charakterze korupcyjnym i </w:t>
      </w:r>
      <w:r w:rsidRPr="00E82AAD">
        <w:rPr>
          <w:rFonts w:ascii="Lato" w:hAnsi="Lato"/>
          <w:b/>
        </w:rPr>
        <w:t>korupcjogennym</w:t>
      </w:r>
      <w:r w:rsidRPr="00BF0F93">
        <w:rPr>
          <w:rFonts w:ascii="Lato" w:hAnsi="Lato"/>
        </w:rPr>
        <w:t>, w t</w:t>
      </w:r>
      <w:r>
        <w:rPr>
          <w:rFonts w:ascii="Lato" w:hAnsi="Lato"/>
        </w:rPr>
        <w:t>ym przekazywania konsulom przez </w:t>
      </w:r>
      <w:r w:rsidRPr="00BF0F93">
        <w:rPr>
          <w:rFonts w:ascii="Lato" w:hAnsi="Lato"/>
        </w:rPr>
        <w:t>k</w:t>
      </w:r>
      <w:r>
        <w:rPr>
          <w:rFonts w:ascii="Lato" w:hAnsi="Lato"/>
        </w:rPr>
        <w:t>ierownictwo resortu i Departamentu Konsularnego</w:t>
      </w:r>
      <w:r w:rsidRPr="00BF0F93">
        <w:rPr>
          <w:rFonts w:ascii="Lato" w:hAnsi="Lato"/>
        </w:rPr>
        <w:t>, w trybie nieformalnym, bez podstawy</w:t>
      </w:r>
      <w:r>
        <w:rPr>
          <w:rFonts w:ascii="Lato" w:hAnsi="Lato"/>
        </w:rPr>
        <w:t xml:space="preserve"> prawnej i uzasadnienia, list z </w:t>
      </w:r>
      <w:r w:rsidRPr="00BF0F93">
        <w:rPr>
          <w:rFonts w:ascii="Lato" w:hAnsi="Lato"/>
        </w:rPr>
        <w:t>nazwiskami cudzoziemców, którym mieli oni z</w:t>
      </w:r>
      <w:r>
        <w:rPr>
          <w:rFonts w:ascii="Lato" w:hAnsi="Lato"/>
        </w:rPr>
        <w:t>apewnić preferencyjny dostęp do </w:t>
      </w:r>
      <w:r w:rsidRPr="00BF0F93">
        <w:rPr>
          <w:rFonts w:ascii="Lato" w:hAnsi="Lato"/>
        </w:rPr>
        <w:t>procedury wizowej.</w:t>
      </w:r>
    </w:p>
    <w:p w:rsidR="00C61904" w:rsidRPr="005E7199" w:rsidRDefault="00C61904" w:rsidP="00C61904">
      <w:pPr>
        <w:pStyle w:val="Akapitzlist"/>
        <w:ind w:left="786"/>
        <w:jc w:val="both"/>
        <w:rPr>
          <w:rFonts w:ascii="Lato" w:hAnsi="Lato"/>
        </w:rPr>
      </w:pPr>
    </w:p>
    <w:p w:rsidR="00C61904" w:rsidRPr="00925091" w:rsidRDefault="00C61904" w:rsidP="00C61904">
      <w:pPr>
        <w:jc w:val="both"/>
        <w:rPr>
          <w:rFonts w:ascii="Lato" w:hAnsi="Lato"/>
          <w:b/>
        </w:rPr>
      </w:pPr>
      <w:r>
        <w:rPr>
          <w:rFonts w:ascii="Lato" w:hAnsi="Lato"/>
          <w:b/>
        </w:rPr>
        <w:t>Konkluzja – proponowane środki zaradcze</w:t>
      </w:r>
    </w:p>
    <w:p w:rsidR="00C61904" w:rsidRPr="00925091" w:rsidRDefault="00C61904" w:rsidP="00C61904">
      <w:pPr>
        <w:jc w:val="both"/>
        <w:rPr>
          <w:rFonts w:ascii="Lato" w:hAnsi="Lato"/>
        </w:rPr>
      </w:pPr>
      <w:r w:rsidRPr="00925091">
        <w:rPr>
          <w:rFonts w:ascii="Lato" w:hAnsi="Lato"/>
        </w:rPr>
        <w:t>M</w:t>
      </w:r>
      <w:r>
        <w:rPr>
          <w:rFonts w:ascii="Lato" w:hAnsi="Lato"/>
        </w:rPr>
        <w:t>inisterstwo spraw zagranicznych rozpoczęło proces uszczelniania polskiego systemu wizowego. S</w:t>
      </w:r>
      <w:r w:rsidRPr="00925091">
        <w:rPr>
          <w:rFonts w:ascii="Lato" w:hAnsi="Lato"/>
        </w:rPr>
        <w:t xml:space="preserve">toi </w:t>
      </w:r>
      <w:r>
        <w:rPr>
          <w:rFonts w:ascii="Lato" w:hAnsi="Lato"/>
        </w:rPr>
        <w:t xml:space="preserve">jednak </w:t>
      </w:r>
      <w:r w:rsidRPr="00925091">
        <w:rPr>
          <w:rFonts w:ascii="Lato" w:hAnsi="Lato"/>
        </w:rPr>
        <w:t>na stanowisku, że skuteczn</w:t>
      </w:r>
      <w:r>
        <w:rPr>
          <w:rFonts w:ascii="Lato" w:hAnsi="Lato"/>
        </w:rPr>
        <w:t xml:space="preserve">ość tych działań w dłuższej perspektywie </w:t>
      </w:r>
      <w:r w:rsidRPr="00925091">
        <w:rPr>
          <w:rFonts w:ascii="Lato" w:hAnsi="Lato"/>
        </w:rPr>
        <w:t>nie jest możliw</w:t>
      </w:r>
      <w:r>
        <w:rPr>
          <w:rFonts w:ascii="Lato" w:hAnsi="Lato"/>
        </w:rPr>
        <w:t>a</w:t>
      </w:r>
      <w:r w:rsidRPr="00925091">
        <w:rPr>
          <w:rFonts w:ascii="Lato" w:hAnsi="Lato"/>
        </w:rPr>
        <w:t xml:space="preserve"> bez </w:t>
      </w:r>
      <w:r w:rsidRPr="00925091">
        <w:rPr>
          <w:rFonts w:ascii="Lato" w:hAnsi="Lato"/>
          <w:b/>
        </w:rPr>
        <w:t>współdziałania ze strony innych resortów</w:t>
      </w:r>
      <w:r w:rsidRPr="00925091">
        <w:rPr>
          <w:rFonts w:ascii="Lato" w:hAnsi="Lato"/>
        </w:rPr>
        <w:t>, w szczególności Ministerstwa Rodziny, Pracy i Polityki Społecznej, Ministerstwa Spraw Wewnętrznych i Administracji, Ministerstwa Nauki i Szkolnictwa Wyższego oraz Ministerstwa Rozwoju i Technologii</w:t>
      </w:r>
      <w:r>
        <w:rPr>
          <w:rFonts w:ascii="Lato" w:hAnsi="Lato"/>
        </w:rPr>
        <w:t>. W ramach działań konieczne jest podjęcie następujących działań:</w:t>
      </w:r>
    </w:p>
    <w:p w:rsidR="00C61904" w:rsidRDefault="00C61904" w:rsidP="00C61904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AC592A">
        <w:rPr>
          <w:rFonts w:ascii="Lato" w:hAnsi="Lato"/>
          <w:b/>
        </w:rPr>
        <w:t>odciążenie polskich konsulatów</w:t>
      </w:r>
      <w:r>
        <w:rPr>
          <w:rFonts w:ascii="Lato" w:hAnsi="Lato"/>
        </w:rPr>
        <w:t xml:space="preserve"> - będzie możliwe dzięki przekierowaniu cudzoziemców już przebywających w Polsce na procedurę legalizacji pobytu, nie powinni oni ponownie występować o wizy, tworząc </w:t>
      </w:r>
      <w:r w:rsidR="00522A90">
        <w:rPr>
          <w:rFonts w:ascii="Lato" w:hAnsi="Lato"/>
        </w:rPr>
        <w:t>sztuczną</w:t>
      </w:r>
      <w:r>
        <w:rPr>
          <w:rFonts w:ascii="Lato" w:hAnsi="Lato"/>
        </w:rPr>
        <w:t xml:space="preserve"> kolejkę w konsulatach – do tego konieczne będzie </w:t>
      </w:r>
      <w:r w:rsidRPr="00F1128C">
        <w:rPr>
          <w:rFonts w:ascii="Lato" w:hAnsi="Lato"/>
          <w:b/>
        </w:rPr>
        <w:t>udrożnienie</w:t>
      </w:r>
      <w:r w:rsidR="00522A90">
        <w:rPr>
          <w:rFonts w:ascii="Lato" w:hAnsi="Lato"/>
          <w:b/>
        </w:rPr>
        <w:t xml:space="preserve"> pracy</w:t>
      </w:r>
      <w:r w:rsidRPr="00F1128C">
        <w:rPr>
          <w:rFonts w:ascii="Lato" w:hAnsi="Lato"/>
          <w:b/>
        </w:rPr>
        <w:t xml:space="preserve"> urzędów wojewódzkich</w:t>
      </w:r>
      <w:r>
        <w:rPr>
          <w:rFonts w:ascii="Lato" w:hAnsi="Lato"/>
        </w:rPr>
        <w:t xml:space="preserve">, rozpatrujących wnioski o zezwolenie na pobyt; </w:t>
      </w:r>
    </w:p>
    <w:p w:rsidR="00C61904" w:rsidRDefault="00C61904" w:rsidP="00C61904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B7673A">
        <w:rPr>
          <w:rFonts w:ascii="Lato" w:hAnsi="Lato"/>
          <w:b/>
        </w:rPr>
        <w:t>zatrzymanie praktyki masowego i niekontrolowanego wydawania zezwoleń na pracę</w:t>
      </w:r>
      <w:r>
        <w:rPr>
          <w:rFonts w:ascii="Lato" w:hAnsi="Lato"/>
        </w:rPr>
        <w:t xml:space="preserve"> poprzez określenie rzeczywistych potrzeb gospodarki (zawody deficytowe), wprowadzenie limitów oraz preferencji geograficznych;</w:t>
      </w:r>
    </w:p>
    <w:p w:rsidR="00C61904" w:rsidRPr="00AC592A" w:rsidRDefault="00C61904" w:rsidP="00C61904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>
        <w:rPr>
          <w:rFonts w:ascii="Lato" w:hAnsi="Lato"/>
          <w:b/>
        </w:rPr>
        <w:t>weryfikacja</w:t>
      </w:r>
      <w:r w:rsidRPr="00DC20EE">
        <w:rPr>
          <w:rFonts w:ascii="Lato" w:hAnsi="Lato"/>
          <w:b/>
        </w:rPr>
        <w:t xml:space="preserve"> czy pracodawca jest gotowy do przyjęcia cudzoziemskich pracowników</w:t>
      </w:r>
      <w:r>
        <w:rPr>
          <w:rFonts w:ascii="Lato" w:hAnsi="Lato"/>
        </w:rPr>
        <w:t xml:space="preserve"> </w:t>
      </w:r>
      <w:r w:rsidRPr="00C61904">
        <w:t>i</w:t>
      </w:r>
      <w:r>
        <w:t> </w:t>
      </w:r>
      <w:r w:rsidRPr="00C61904">
        <w:t>zapewnienia</w:t>
      </w:r>
      <w:r w:rsidRPr="00AC592A">
        <w:rPr>
          <w:rFonts w:ascii="Lato" w:hAnsi="Lato"/>
          <w:b/>
        </w:rPr>
        <w:t xml:space="preserve"> im odpowiednich warunków wykonywania pracy</w:t>
      </w:r>
      <w:r>
        <w:rPr>
          <w:rFonts w:ascii="Lato" w:hAnsi="Lato"/>
        </w:rPr>
        <w:t xml:space="preserve">, w zgodzie z obowiązującym prawem, przez </w:t>
      </w:r>
      <w:r w:rsidRPr="00AC592A">
        <w:rPr>
          <w:rFonts w:ascii="Lato" w:hAnsi="Lato"/>
        </w:rPr>
        <w:t>organy wydające dokumenty uprawniające cudzoziemców do podjęcia pracy na terytorium RP;</w:t>
      </w:r>
    </w:p>
    <w:p w:rsidR="00C61904" w:rsidRPr="00AC592A" w:rsidRDefault="00C61904" w:rsidP="00C61904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AC592A">
        <w:rPr>
          <w:rFonts w:ascii="Lato" w:hAnsi="Lato"/>
        </w:rPr>
        <w:t xml:space="preserve">w dłuższej perspektywie </w:t>
      </w:r>
      <w:r w:rsidRPr="00AC592A">
        <w:rPr>
          <w:rFonts w:ascii="Lato" w:hAnsi="Lato" w:cs="Arial"/>
          <w:b/>
          <w:shd w:val="clear" w:color="auto" w:fill="FFFFFF"/>
        </w:rPr>
        <w:t>rewizja sankcji</w:t>
      </w:r>
      <w:r w:rsidRPr="00AC592A">
        <w:rPr>
          <w:rFonts w:ascii="Lato" w:hAnsi="Lato" w:cs="Arial"/>
          <w:shd w:val="clear" w:color="auto" w:fill="FFFFFF"/>
        </w:rPr>
        <w:t xml:space="preserve"> z tytułu nielegalnego zatrudniania cudzoziemców</w:t>
      </w:r>
      <w:r>
        <w:rPr>
          <w:rFonts w:ascii="Lato" w:hAnsi="Lato" w:cs="Arial"/>
          <w:shd w:val="clear" w:color="auto" w:fill="FFFFFF"/>
        </w:rPr>
        <w:t>, a </w:t>
      </w:r>
      <w:r w:rsidRPr="00AC592A">
        <w:rPr>
          <w:rFonts w:ascii="Lato" w:hAnsi="Lato" w:cs="Arial"/>
          <w:shd w:val="clear" w:color="auto" w:fill="FFFFFF"/>
        </w:rPr>
        <w:t xml:space="preserve">także </w:t>
      </w:r>
      <w:r w:rsidRPr="00AC592A">
        <w:rPr>
          <w:rFonts w:ascii="Lato" w:hAnsi="Lato" w:cs="Arial"/>
          <w:b/>
          <w:shd w:val="clear" w:color="auto" w:fill="FFFFFF"/>
        </w:rPr>
        <w:t>rozszerzenie uprawnień kontrolnych</w:t>
      </w:r>
      <w:r w:rsidRPr="00AC592A">
        <w:rPr>
          <w:rFonts w:ascii="Lato" w:hAnsi="Lato" w:cs="Arial"/>
          <w:shd w:val="clear" w:color="auto" w:fill="FFFFFF"/>
        </w:rPr>
        <w:t xml:space="preserve"> Państwowej Inspekcji Pracy, Straży Granicznej i Urzędu ds. Cudzoziemców wobec cudzoziemców i ich pracodawców;</w:t>
      </w:r>
    </w:p>
    <w:p w:rsidR="00C61904" w:rsidRPr="00AC592A" w:rsidRDefault="00C61904" w:rsidP="00C61904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AC592A">
        <w:rPr>
          <w:rFonts w:ascii="Lato" w:hAnsi="Lato"/>
          <w:b/>
        </w:rPr>
        <w:t>wprowadzenie obowiązkowej preselekcji zagranicznych studentów przez wszystkie uczelnie</w:t>
      </w:r>
      <w:r w:rsidRPr="00AC592A">
        <w:rPr>
          <w:rFonts w:ascii="Lato" w:hAnsi="Lato"/>
        </w:rPr>
        <w:t xml:space="preserve"> wyższe według jednolitych kryteriów i na wszystkich kierunkach studiów; </w:t>
      </w:r>
    </w:p>
    <w:p w:rsidR="00C61904" w:rsidRPr="00AC592A" w:rsidRDefault="00C61904" w:rsidP="00C61904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AC592A">
        <w:rPr>
          <w:rFonts w:ascii="Lato" w:hAnsi="Lato"/>
          <w:b/>
        </w:rPr>
        <w:t>niestosowanie minimalnych kryteriów rekrutacyjnych</w:t>
      </w:r>
      <w:r w:rsidRPr="00AC592A">
        <w:rPr>
          <w:rFonts w:ascii="Lato" w:hAnsi="Lato"/>
        </w:rPr>
        <w:t xml:space="preserve"> przez daną uczelnię powinno być podstawą do </w:t>
      </w:r>
      <w:r w:rsidRPr="00AC592A">
        <w:rPr>
          <w:rFonts w:ascii="Lato" w:hAnsi="Lato"/>
          <w:b/>
        </w:rPr>
        <w:t>skreślenia jej z listy podmiotów zatwierdzonych</w:t>
      </w:r>
      <w:r w:rsidRPr="00AC592A">
        <w:rPr>
          <w:rFonts w:ascii="Lato" w:hAnsi="Lato"/>
        </w:rPr>
        <w:t xml:space="preserve"> na potrzeby przyjmowania cudzoziemców w celu podjęcia studiów lub wydania </w:t>
      </w:r>
      <w:r w:rsidRPr="00AC592A">
        <w:rPr>
          <w:rFonts w:ascii="Lato" w:hAnsi="Lato"/>
          <w:b/>
        </w:rPr>
        <w:t>decyzji o zakazie przyjmowania cudzoziemców</w:t>
      </w:r>
      <w:r w:rsidRPr="00AC592A">
        <w:rPr>
          <w:rFonts w:ascii="Lato" w:hAnsi="Lato"/>
        </w:rPr>
        <w:t>;</w:t>
      </w:r>
    </w:p>
    <w:p w:rsidR="00C61904" w:rsidRPr="00AC592A" w:rsidRDefault="00C61904" w:rsidP="00C61904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AC592A">
        <w:rPr>
          <w:rFonts w:ascii="Lato" w:hAnsi="Lato"/>
        </w:rPr>
        <w:t xml:space="preserve">zwiększone koszty administracyjne uczelni związane z obowiązkowym postępowaniem rekrutacyjnym dla cudzoziemców powinny znaleźć odzwierciedlenie w </w:t>
      </w:r>
      <w:r w:rsidRPr="00AC592A">
        <w:rPr>
          <w:rFonts w:ascii="Lato" w:hAnsi="Lato"/>
          <w:b/>
        </w:rPr>
        <w:t>zwiększonych opłatach za studia</w:t>
      </w:r>
      <w:r w:rsidRPr="00AC592A">
        <w:rPr>
          <w:rFonts w:ascii="Lato" w:hAnsi="Lato"/>
        </w:rPr>
        <w:t>;</w:t>
      </w:r>
    </w:p>
    <w:p w:rsidR="00C61904" w:rsidRPr="00AC592A" w:rsidRDefault="00C61904" w:rsidP="00C61904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AC592A">
        <w:rPr>
          <w:rFonts w:ascii="Lato" w:hAnsi="Lato"/>
        </w:rPr>
        <w:t xml:space="preserve">rozważenia wymaga wprowadzenie </w:t>
      </w:r>
      <w:r w:rsidRPr="00AC592A">
        <w:rPr>
          <w:rFonts w:ascii="Lato" w:hAnsi="Lato"/>
          <w:b/>
        </w:rPr>
        <w:t>scentralizowanego procesu preselekcji cudzoziemskich kandydatów na studia</w:t>
      </w:r>
      <w:r w:rsidRPr="00AC592A">
        <w:rPr>
          <w:rFonts w:ascii="Lato" w:hAnsi="Lato"/>
        </w:rPr>
        <w:t xml:space="preserve"> (model niemiecki), prowadzonego przez jedną instytucję, np. Narodową Agencję Wymiany Akademickiej, odpowiedzialną za </w:t>
      </w:r>
      <w:r w:rsidRPr="00AC592A">
        <w:rPr>
          <w:rFonts w:ascii="Lato" w:hAnsi="Lato"/>
          <w:b/>
        </w:rPr>
        <w:t>weryfikację świadectw dojrzałości</w:t>
      </w:r>
      <w:r w:rsidRPr="00AC592A">
        <w:rPr>
          <w:rFonts w:ascii="Lato" w:hAnsi="Lato"/>
        </w:rPr>
        <w:t xml:space="preserve"> i potwierdzenie, że dany kandydat </w:t>
      </w:r>
      <w:r w:rsidRPr="00AC592A">
        <w:rPr>
          <w:rFonts w:ascii="Lato" w:hAnsi="Lato"/>
          <w:b/>
        </w:rPr>
        <w:t>zna język wykładowy</w:t>
      </w:r>
      <w:r w:rsidRPr="00AC592A">
        <w:rPr>
          <w:rFonts w:ascii="Lato" w:hAnsi="Lato"/>
        </w:rPr>
        <w:t xml:space="preserve"> i spełnia inne minimalne kryteria podjęcia studiów wyższych w Polsce;</w:t>
      </w:r>
    </w:p>
    <w:p w:rsidR="00C61904" w:rsidRDefault="00C61904" w:rsidP="00C61904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AC592A">
        <w:rPr>
          <w:rFonts w:ascii="Lato" w:hAnsi="Lato"/>
        </w:rPr>
        <w:t xml:space="preserve">rozważenie </w:t>
      </w:r>
      <w:r w:rsidRPr="00AC592A">
        <w:rPr>
          <w:rFonts w:ascii="Lato" w:hAnsi="Lato"/>
          <w:b/>
        </w:rPr>
        <w:t>ograniczenia dostępu zagranicznych studentów do polskiego rynku pracy</w:t>
      </w:r>
      <w:r>
        <w:rPr>
          <w:rFonts w:ascii="Lato" w:hAnsi="Lato"/>
        </w:rPr>
        <w:t xml:space="preserve">, </w:t>
      </w:r>
      <w:r w:rsidRPr="00C61904">
        <w:t>a</w:t>
      </w:r>
      <w:r>
        <w:t> </w:t>
      </w:r>
      <w:r w:rsidRPr="00C61904">
        <w:t>także</w:t>
      </w:r>
      <w:r w:rsidRPr="00AC592A">
        <w:rPr>
          <w:rFonts w:ascii="Lato" w:hAnsi="Lato"/>
        </w:rPr>
        <w:t xml:space="preserve"> </w:t>
      </w:r>
      <w:r w:rsidRPr="00AC592A">
        <w:rPr>
          <w:rFonts w:ascii="Lato" w:hAnsi="Lato"/>
          <w:b/>
        </w:rPr>
        <w:t>podniesienia wysokości minimalnych środków finansowych</w:t>
      </w:r>
      <w:r>
        <w:rPr>
          <w:rFonts w:ascii="Lato" w:hAnsi="Lato"/>
        </w:rPr>
        <w:t xml:space="preserve"> wymaganych od </w:t>
      </w:r>
      <w:r w:rsidRPr="00AC592A">
        <w:rPr>
          <w:rFonts w:ascii="Lato" w:hAnsi="Lato"/>
        </w:rPr>
        <w:t xml:space="preserve">zagranicznych studentów w procesie ubiegania się o wizę i kartę pobytu oraz wprowadzenia </w:t>
      </w:r>
      <w:r w:rsidRPr="00AC592A">
        <w:rPr>
          <w:rFonts w:ascii="Lato" w:hAnsi="Lato"/>
          <w:b/>
        </w:rPr>
        <w:t xml:space="preserve">obowiązku posiadania konta z zablokowaną minimalną kwotą </w:t>
      </w:r>
      <w:r w:rsidRPr="00AC592A">
        <w:rPr>
          <w:rFonts w:ascii="Lato" w:hAnsi="Lato"/>
        </w:rPr>
        <w:t>wymaganych środków.</w:t>
      </w:r>
    </w:p>
    <w:p w:rsidR="00C61904" w:rsidRPr="00C61904" w:rsidRDefault="00C61904" w:rsidP="00C61904">
      <w:pPr>
        <w:pStyle w:val="Akapitzlist"/>
        <w:ind w:left="786"/>
        <w:jc w:val="both"/>
        <w:rPr>
          <w:rFonts w:ascii="Lato" w:hAnsi="Lato"/>
        </w:rPr>
      </w:pPr>
    </w:p>
    <w:p w:rsidR="00C61904" w:rsidRDefault="00C61904" w:rsidP="00C61904">
      <w:pPr>
        <w:jc w:val="both"/>
        <w:rPr>
          <w:rFonts w:ascii="Lato" w:hAnsi="Lato"/>
        </w:rPr>
      </w:pPr>
      <w:r>
        <w:rPr>
          <w:rFonts w:ascii="Lato" w:hAnsi="Lato"/>
        </w:rPr>
        <w:t xml:space="preserve">MSZ wspiera </w:t>
      </w:r>
      <w:r w:rsidR="00162A52">
        <w:rPr>
          <w:rFonts w:ascii="Lato" w:hAnsi="Lato"/>
        </w:rPr>
        <w:t>działania na rzecz przygotowania dokumentu Strategia</w:t>
      </w:r>
      <w:r>
        <w:rPr>
          <w:rFonts w:ascii="Lato" w:hAnsi="Lato"/>
        </w:rPr>
        <w:t xml:space="preserve"> Migracyjn</w:t>
      </w:r>
      <w:r w:rsidR="00162A52">
        <w:rPr>
          <w:rFonts w:ascii="Lato" w:hAnsi="Lato"/>
        </w:rPr>
        <w:t xml:space="preserve">a </w:t>
      </w:r>
      <w:r>
        <w:rPr>
          <w:rFonts w:ascii="Lato" w:hAnsi="Lato"/>
        </w:rPr>
        <w:t>Polski na lat</w:t>
      </w:r>
      <w:r w:rsidR="00162A52">
        <w:rPr>
          <w:rFonts w:ascii="Lato" w:hAnsi="Lato"/>
        </w:rPr>
        <w:t>a 2025-2030 przygotowywanego</w:t>
      </w:r>
      <w:r>
        <w:rPr>
          <w:rFonts w:ascii="Lato" w:hAnsi="Lato"/>
        </w:rPr>
        <w:t xml:space="preserve"> przez Ministerstwo Spraw Wewnętrznych i Administracji. W 2012 roku został przygotowany dokument rządowy „Polityka Migracyjna Polski – stan obecny postulowane działania” jednak w 2015 roku został przez kolejny rząd uchylony.</w:t>
      </w:r>
    </w:p>
    <w:p w:rsidR="00140342" w:rsidRPr="00C61904" w:rsidRDefault="00162A52" w:rsidP="00C61904">
      <w:pPr>
        <w:jc w:val="both"/>
        <w:rPr>
          <w:rFonts w:ascii="Lato" w:hAnsi="Lato"/>
        </w:rPr>
      </w:pPr>
      <w:r>
        <w:rPr>
          <w:rFonts w:ascii="Lato" w:hAnsi="Lato"/>
        </w:rPr>
        <w:t>MSZ rekomenduje</w:t>
      </w:r>
      <w:r w:rsidR="00C61904">
        <w:rPr>
          <w:rFonts w:ascii="Lato" w:hAnsi="Lato"/>
        </w:rPr>
        <w:t xml:space="preserve"> wprowadzenie łącznie </w:t>
      </w:r>
      <w:r w:rsidR="00522A90">
        <w:rPr>
          <w:rFonts w:ascii="Lato" w:hAnsi="Lato"/>
        </w:rPr>
        <w:t xml:space="preserve">kilkudziesięciu </w:t>
      </w:r>
      <w:r w:rsidR="00C61904">
        <w:rPr>
          <w:rFonts w:ascii="Lato" w:hAnsi="Lato"/>
        </w:rPr>
        <w:t xml:space="preserve">zmian legislacyjnych, oraz </w:t>
      </w:r>
      <w:r>
        <w:rPr>
          <w:rFonts w:ascii="Lato" w:hAnsi="Lato"/>
        </w:rPr>
        <w:t>12</w:t>
      </w:r>
      <w:r w:rsidR="00C61904">
        <w:rPr>
          <w:rFonts w:ascii="Lato" w:hAnsi="Lato"/>
        </w:rPr>
        <w:t xml:space="preserve"> propozycji zmian praktycznych, które pozwoliłyby na </w:t>
      </w:r>
      <w:r w:rsidR="00522A90">
        <w:rPr>
          <w:rFonts w:ascii="Lato" w:hAnsi="Lato"/>
        </w:rPr>
        <w:t>odzyskanie kontroli nad systemem wizowym</w:t>
      </w:r>
      <w:r w:rsidR="00C61904">
        <w:rPr>
          <w:rFonts w:ascii="Lato" w:hAnsi="Lato"/>
        </w:rPr>
        <w:t>, ale równocześnie pozwoliłyby zaspokoić potrzeby polskiego rynku pracy oraz możliwości kształcenia cudzoziemców na polskich uczelniach.</w:t>
      </w:r>
    </w:p>
    <w:sectPr w:rsidR="00140342" w:rsidRPr="00C61904" w:rsidSect="00C619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191" w:bottom="964" w:left="1191" w:header="709" w:footer="1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09" w:rsidRDefault="00A47409" w:rsidP="009276B2">
      <w:pPr>
        <w:spacing w:after="0" w:line="240" w:lineRule="auto"/>
      </w:pPr>
      <w:r>
        <w:separator/>
      </w:r>
    </w:p>
  </w:endnote>
  <w:endnote w:type="continuationSeparator" w:id="0">
    <w:p w:rsidR="00A47409" w:rsidRDefault="00A47409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49000"/>
      <w:docPartObj>
        <w:docPartGallery w:val="Page Numbers (Bottom of Page)"/>
        <w:docPartUnique/>
      </w:docPartObj>
    </w:sdtPr>
    <w:sdtEndPr/>
    <w:sdtContent>
      <w:p w:rsidR="006F1435" w:rsidRDefault="006F14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90">
          <w:rPr>
            <w:noProof/>
          </w:rPr>
          <w:t>4</w:t>
        </w:r>
        <w:r>
          <w:fldChar w:fldCharType="end"/>
        </w:r>
      </w:p>
    </w:sdtContent>
  </w:sdt>
  <w:p w:rsidR="006F1435" w:rsidRDefault="006F1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524659"/>
      <w:docPartObj>
        <w:docPartGallery w:val="Page Numbers (Bottom of Page)"/>
        <w:docPartUnique/>
      </w:docPartObj>
    </w:sdtPr>
    <w:sdtEndPr/>
    <w:sdtContent>
      <w:p w:rsidR="006F1435" w:rsidRDefault="006F14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90">
          <w:rPr>
            <w:noProof/>
          </w:rPr>
          <w:t>1</w:t>
        </w:r>
        <w:r>
          <w:fldChar w:fldCharType="end"/>
        </w:r>
      </w:p>
    </w:sdtContent>
  </w:sdt>
  <w:p w:rsidR="00140342" w:rsidRDefault="00140342" w:rsidP="00140342">
    <w:pPr>
      <w:pStyle w:val="Stopka"/>
      <w:tabs>
        <w:tab w:val="clear" w:pos="4536"/>
        <w:tab w:val="left" w:pos="63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09" w:rsidRDefault="00A47409" w:rsidP="009276B2">
      <w:pPr>
        <w:spacing w:after="0" w:line="240" w:lineRule="auto"/>
      </w:pPr>
      <w:r>
        <w:separator/>
      </w:r>
    </w:p>
  </w:footnote>
  <w:footnote w:type="continuationSeparator" w:id="0">
    <w:p w:rsidR="00A47409" w:rsidRDefault="00A47409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42" w:rsidRDefault="001403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B67F9" wp14:editId="144B148A">
          <wp:simplePos x="0" y="0"/>
          <wp:positionH relativeFrom="page">
            <wp:align>left</wp:align>
          </wp:positionH>
          <wp:positionV relativeFrom="paragraph">
            <wp:posOffset>-429840</wp:posOffset>
          </wp:positionV>
          <wp:extent cx="3145790" cy="1061720"/>
          <wp:effectExtent l="0" t="0" r="0" b="0"/>
          <wp:wrapThrough wrapText="bothSides">
            <wp:wrapPolygon edited="0">
              <wp:start x="3139" y="2325"/>
              <wp:lineTo x="1700" y="3876"/>
              <wp:lineTo x="785" y="6589"/>
              <wp:lineTo x="1308" y="17053"/>
              <wp:lineTo x="3532" y="18215"/>
              <wp:lineTo x="6017" y="18990"/>
              <wp:lineTo x="20667" y="18990"/>
              <wp:lineTo x="20536" y="9689"/>
              <wp:lineTo x="15435" y="8914"/>
              <wp:lineTo x="15304" y="5038"/>
              <wp:lineTo x="3662" y="2325"/>
              <wp:lineTo x="3139" y="232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5778F"/>
    <w:multiLevelType w:val="hybridMultilevel"/>
    <w:tmpl w:val="F2E860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B6452AA"/>
    <w:multiLevelType w:val="hybridMultilevel"/>
    <w:tmpl w:val="0540C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1C1C77"/>
    <w:multiLevelType w:val="hybridMultilevel"/>
    <w:tmpl w:val="69DE05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E817833"/>
    <w:multiLevelType w:val="hybridMultilevel"/>
    <w:tmpl w:val="94249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41484"/>
    <w:rsid w:val="00047C4E"/>
    <w:rsid w:val="00050071"/>
    <w:rsid w:val="00055F10"/>
    <w:rsid w:val="00081D84"/>
    <w:rsid w:val="000B33A8"/>
    <w:rsid w:val="000B3CA3"/>
    <w:rsid w:val="000D79D5"/>
    <w:rsid w:val="00100315"/>
    <w:rsid w:val="001236B0"/>
    <w:rsid w:val="00140342"/>
    <w:rsid w:val="00162A52"/>
    <w:rsid w:val="00163D0E"/>
    <w:rsid w:val="00166A88"/>
    <w:rsid w:val="00183B62"/>
    <w:rsid w:val="001B70EB"/>
    <w:rsid w:val="002A635F"/>
    <w:rsid w:val="002B3F51"/>
    <w:rsid w:val="002E0C9D"/>
    <w:rsid w:val="00307ED4"/>
    <w:rsid w:val="00485D05"/>
    <w:rsid w:val="004A2223"/>
    <w:rsid w:val="004F5D02"/>
    <w:rsid w:val="00522A90"/>
    <w:rsid w:val="005241AF"/>
    <w:rsid w:val="00590C4E"/>
    <w:rsid w:val="0059434A"/>
    <w:rsid w:val="005D01A8"/>
    <w:rsid w:val="00673E82"/>
    <w:rsid w:val="006C575D"/>
    <w:rsid w:val="006C7435"/>
    <w:rsid w:val="006D63AB"/>
    <w:rsid w:val="006F1435"/>
    <w:rsid w:val="00706157"/>
    <w:rsid w:val="0070631E"/>
    <w:rsid w:val="00716214"/>
    <w:rsid w:val="00797577"/>
    <w:rsid w:val="007E6BBC"/>
    <w:rsid w:val="008B10E0"/>
    <w:rsid w:val="009276B2"/>
    <w:rsid w:val="009708AA"/>
    <w:rsid w:val="00A47409"/>
    <w:rsid w:val="00A5793A"/>
    <w:rsid w:val="00AC4826"/>
    <w:rsid w:val="00AD6984"/>
    <w:rsid w:val="00AE6415"/>
    <w:rsid w:val="00AF46B0"/>
    <w:rsid w:val="00B20AD8"/>
    <w:rsid w:val="00B84D3E"/>
    <w:rsid w:val="00B87744"/>
    <w:rsid w:val="00BB276E"/>
    <w:rsid w:val="00BE6444"/>
    <w:rsid w:val="00BF1CA9"/>
    <w:rsid w:val="00C61904"/>
    <w:rsid w:val="00C8064A"/>
    <w:rsid w:val="00C85D56"/>
    <w:rsid w:val="00CF21C3"/>
    <w:rsid w:val="00D132C0"/>
    <w:rsid w:val="00D73437"/>
    <w:rsid w:val="00DA46CC"/>
    <w:rsid w:val="00DB673D"/>
    <w:rsid w:val="00E3400A"/>
    <w:rsid w:val="00EE13D1"/>
    <w:rsid w:val="00F05F16"/>
    <w:rsid w:val="00F13890"/>
    <w:rsid w:val="00F40743"/>
    <w:rsid w:val="00F70278"/>
    <w:rsid w:val="00FA6BD4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67CF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styleId="Tekstdymka">
    <w:name w:val="Balloon Text"/>
    <w:basedOn w:val="Normalny"/>
    <w:link w:val="TekstdymkaZnak"/>
    <w:uiPriority w:val="99"/>
    <w:semiHidden/>
    <w:unhideWhenUsed/>
    <w:rsid w:val="007E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03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1904"/>
    <w:pPr>
      <w:ind w:left="720"/>
      <w:contextualSpacing/>
    </w:pPr>
  </w:style>
  <w:style w:type="table" w:styleId="Tabela-Siatka">
    <w:name w:val="Table Grid"/>
    <w:basedOn w:val="Standardowy"/>
    <w:uiPriority w:val="39"/>
    <w:rsid w:val="00BF1C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rodzin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pliku xmlns="42cdb9da-ccc1-49ea-a900-734f8a9d49bd">szablon pisma</rodzaj_x0020_pliku>
    <j_x0119_zyk xmlns="42cdb9da-ccc1-49ea-a900-734f8a9d49bd">2</j_x0119_zy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998D4BC6FE71448EAFA2DB4D7239C8" ma:contentTypeVersion="3" ma:contentTypeDescription="Utwórz nowy dokument." ma:contentTypeScope="" ma:versionID="ac77851f711720b1e1cb31ca58a4ac37">
  <xsd:schema xmlns:xsd="http://www.w3.org/2001/XMLSchema" xmlns:xs="http://www.w3.org/2001/XMLSchema" xmlns:p="http://schemas.microsoft.com/office/2006/metadata/properties" xmlns:ns2="1c5c7361-39d5-4e55-b5eb-89c3f38c1ecd" xmlns:ns3="42cdb9da-ccc1-49ea-a900-734f8a9d49bd" targetNamespace="http://schemas.microsoft.com/office/2006/metadata/properties" ma:root="true" ma:fieldsID="9fced95375f3ab91948e1ef2a65424f0" ns2:_="" ns3:_="">
    <xsd:import namespace="1c5c7361-39d5-4e55-b5eb-89c3f38c1ecd"/>
    <xsd:import namespace="42cdb9da-ccc1-49ea-a900-734f8a9d49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rodzaj_x0020_pliku" minOccurs="0"/>
                <xsd:element ref="ns3:j_x0119_zy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db9da-ccc1-49ea-a900-734f8a9d49bd" elementFormDefault="qualified">
    <xsd:import namespace="http://schemas.microsoft.com/office/2006/documentManagement/types"/>
    <xsd:import namespace="http://schemas.microsoft.com/office/infopath/2007/PartnerControls"/>
    <xsd:element name="rodzaj_x0020_pliku" ma:index="9" nillable="true" ma:displayName="rodzaj pliku" ma:format="Dropdown" ma:internalName="rodzaj_x0020_pliku">
      <xsd:simpleType>
        <xsd:restriction base="dms:Choice">
          <xsd:enumeration value="ścianka"/>
          <xsd:enumeration value="rollup"/>
          <xsd:enumeration value="logotyp"/>
          <xsd:enumeration value="szablon pisma"/>
        </xsd:restriction>
      </xsd:simpleType>
    </xsd:element>
    <xsd:element name="j_x0119_zyk" ma:index="10" nillable="true" ma:displayName="język" ma:list="{cd8f9db8-8e12-4048-bf1a-5b5b1cd1a65a}" ma:internalName="j_x0119_zyk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F48A-147E-4E26-9DC0-1FAB07EA5C8F}">
  <ds:schemaRefs>
    <ds:schemaRef ds:uri="http://schemas.microsoft.com/office/2006/metadata/properties"/>
    <ds:schemaRef ds:uri="http://schemas.microsoft.com/office/infopath/2007/PartnerControls"/>
    <ds:schemaRef ds:uri="42cdb9da-ccc1-49ea-a900-734f8a9d49bd"/>
  </ds:schemaRefs>
</ds:datastoreItem>
</file>

<file path=customXml/itemProps2.xml><?xml version="1.0" encoding="utf-8"?>
<ds:datastoreItem xmlns:ds="http://schemas.openxmlformats.org/officeDocument/2006/customXml" ds:itemID="{7B8B48A9-2AEA-4460-AC50-F86872A27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D4C7B-0C80-4681-ABD4-C9240AEE0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42cdb9da-ccc1-49ea-a900-734f8a9d4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8CDA7-F9FE-4735-B18F-F83D4C4A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05_szablon_MSZ_PL</vt:lpstr>
    </vt:vector>
  </TitlesOfParts>
  <Company>Kancelaria Prezesa Rady Ministrow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05_szablon_MSZ_PL</dc:title>
  <dc:subject/>
  <dc:creator>Nowakowski Adam</dc:creator>
  <cp:keywords/>
  <dc:description/>
  <cp:lastModifiedBy>Wierdak Paweł</cp:lastModifiedBy>
  <cp:revision>3</cp:revision>
  <cp:lastPrinted>2024-05-14T10:13:00Z</cp:lastPrinted>
  <dcterms:created xsi:type="dcterms:W3CDTF">2024-05-14T10:14:00Z</dcterms:created>
  <dcterms:modified xsi:type="dcterms:W3CDTF">2024-05-14T11:55:00Z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0x01010058998D4BC6FE71448EAFA2DB4D7239C8</vt:lpwstr>
  </property>
</Properties>
</file>