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63CC" w14:textId="77777777" w:rsidR="00DA3993" w:rsidRPr="00B21D33" w:rsidRDefault="00EC5D06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B21D33">
        <w:rPr>
          <w:rFonts w:ascii="Times New Roman" w:hAnsi="Times New Roman" w:cs="Times New Roman"/>
          <w:i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04178407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B21D33">
        <w:rPr>
          <w:rFonts w:ascii="Times New Roman" w:hAnsi="Times New Roman" w:cs="Times New Roman"/>
          <w:b/>
        </w:rPr>
        <w:t>2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710FB9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710FB9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510CE9C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6A1624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6A1624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4707048D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3F1186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6E9B7BF1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3F1186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59CB596E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 xml:space="preserve">z </w:t>
      </w:r>
      <w:r w:rsidR="00710FB9">
        <w:rPr>
          <w:rFonts w:ascii="Times New Roman" w:eastAsia="Times New Roman" w:hAnsi="Times New Roman" w:cs="Times New Roman"/>
        </w:rPr>
        <w:t>2021r. poz. 1129 ze zm.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5A2DD0DB" w:rsidR="00DA3993" w:rsidRPr="00DA3993" w:rsidRDefault="00F747F1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7C5272CB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</w:t>
      </w:r>
      <w:r w:rsidR="00710FB9">
        <w:rPr>
          <w:rFonts w:ascii="Times New Roman" w:eastAsia="Times New Roman" w:hAnsi="Times New Roman" w:cs="Times New Roman"/>
        </w:rPr>
        <w:t>ci</w:t>
      </w:r>
      <w:r w:rsidR="00C94B51" w:rsidRPr="007B2E6C">
        <w:rPr>
          <w:rFonts w:ascii="Times New Roman" w:eastAsia="Times New Roman" w:hAnsi="Times New Roman" w:cs="Times New Roman"/>
        </w:rPr>
        <w:t xml:space="preserve">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1477D464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</w:t>
      </w:r>
      <w:r w:rsidR="00710FB9">
        <w:rPr>
          <w:rFonts w:ascii="Times New Roman" w:hAnsi="Times New Roman" w:cs="Times New Roman"/>
        </w:rPr>
        <w:t xml:space="preserve"> przepisów rozporządzenia Rady Ministrów z dnia 7 maja 2021 r. w sprawie określenia działań informacyjnych podejmowanych przez podmioty realizujące zadania finansowane lub dofinansowane z budżetu państwa lub z państwowych funduszy celowych (Dz.U. poz. 953).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2A467B7D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3F118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2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1FA5F88B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3F1186">
        <w:rPr>
          <w:rFonts w:ascii="Times New Roman" w:eastAsia="Times New Roman" w:hAnsi="Times New Roman" w:cs="Times New Roman"/>
        </w:rPr>
        <w:t>3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0CAAE776" w:rsidR="00014AD4" w:rsidRPr="00710FB9" w:rsidRDefault="00DA3993" w:rsidP="00710FB9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Wątpliwości związane z realizacją niniejszego porozumienia wyjaśniane będą w formie pisemnej.</w:t>
      </w:r>
    </w:p>
    <w:p w14:paraId="5CC3033E" w14:textId="77777777" w:rsidR="003F1186" w:rsidRDefault="003F118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3D3CB39B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23D48894" w14:textId="628F0F3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0BE38BD4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77F95E" w14:textId="1CA64B37" w:rsidR="003F1186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A03C12" w14:textId="77777777" w:rsidR="003F1186" w:rsidRPr="002B329B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534DF5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63595059" w14:textId="4D1D7071" w:rsidR="003F1186" w:rsidRPr="00534DF5" w:rsidRDefault="00534DF5" w:rsidP="0086620E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W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 xml:space="preserve">niosek </w:t>
      </w:r>
      <w:r w:rsidR="003F1186"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710FB9">
        <w:rPr>
          <w:rFonts w:ascii="Times New Roman" w:hAnsi="Times New Roman" w:cs="Times New Roman"/>
          <w:bCs/>
          <w:sz w:val="20"/>
        </w:rPr>
        <w:t xml:space="preserve">w </w:t>
      </w:r>
      <w:r w:rsidR="003F1186"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="003F1186"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="003F1186" w:rsidRPr="00534DF5">
        <w:rPr>
          <w:rFonts w:ascii="Times New Roman" w:hAnsi="Times New Roman" w:cs="Times New Roman"/>
          <w:bCs/>
          <w:sz w:val="20"/>
        </w:rPr>
        <w:t>”,</w:t>
      </w:r>
    </w:p>
    <w:p w14:paraId="0E4C3325" w14:textId="6F221DDF" w:rsidR="00DA3993" w:rsidRPr="00534DF5" w:rsidRDefault="00710FB9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Harmonogram</w:t>
      </w:r>
      <w:r w:rsidRPr="00534DF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34DF5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0346A205" w:rsidR="00D46A63" w:rsidRPr="00534DF5" w:rsidRDefault="00534DF5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34DF5">
        <w:rPr>
          <w:rFonts w:ascii="Times New Roman" w:hAnsi="Times New Roman" w:cs="Times New Roman"/>
          <w:sz w:val="20"/>
        </w:rPr>
        <w:t>K</w:t>
      </w:r>
      <w:r w:rsidRPr="00534DF5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RPr="00534DF5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0E46" w14:textId="77777777" w:rsidR="00B6392F" w:rsidRDefault="00B6392F" w:rsidP="00DA3993">
      <w:pPr>
        <w:spacing w:after="0" w:line="240" w:lineRule="auto"/>
      </w:pPr>
      <w:r>
        <w:separator/>
      </w:r>
    </w:p>
  </w:endnote>
  <w:endnote w:type="continuationSeparator" w:id="0">
    <w:p w14:paraId="6EB7A918" w14:textId="77777777" w:rsidR="00B6392F" w:rsidRDefault="00B6392F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EF3A" w14:textId="77777777" w:rsidR="00B6392F" w:rsidRDefault="00B6392F" w:rsidP="00DA3993">
      <w:pPr>
        <w:spacing w:after="0" w:line="240" w:lineRule="auto"/>
      </w:pPr>
      <w:r>
        <w:separator/>
      </w:r>
    </w:p>
  </w:footnote>
  <w:footnote w:type="continuationSeparator" w:id="0">
    <w:p w14:paraId="0E555D2D" w14:textId="77777777" w:rsidR="00B6392F" w:rsidRDefault="00B6392F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1316C0"/>
    <w:rsid w:val="00134F8A"/>
    <w:rsid w:val="00241535"/>
    <w:rsid w:val="002508FA"/>
    <w:rsid w:val="0025208E"/>
    <w:rsid w:val="002B329B"/>
    <w:rsid w:val="00367FF0"/>
    <w:rsid w:val="00380C7F"/>
    <w:rsid w:val="0039439A"/>
    <w:rsid w:val="003C2FCD"/>
    <w:rsid w:val="003C3ED2"/>
    <w:rsid w:val="003F1186"/>
    <w:rsid w:val="004537F2"/>
    <w:rsid w:val="004608DF"/>
    <w:rsid w:val="00464BE9"/>
    <w:rsid w:val="00466006"/>
    <w:rsid w:val="004D1C38"/>
    <w:rsid w:val="005241CE"/>
    <w:rsid w:val="00534DF5"/>
    <w:rsid w:val="00542B07"/>
    <w:rsid w:val="00546FD9"/>
    <w:rsid w:val="00565F9B"/>
    <w:rsid w:val="00572D8F"/>
    <w:rsid w:val="005C294C"/>
    <w:rsid w:val="005F21CF"/>
    <w:rsid w:val="005F3D89"/>
    <w:rsid w:val="005F6600"/>
    <w:rsid w:val="00621125"/>
    <w:rsid w:val="006A1624"/>
    <w:rsid w:val="006A3580"/>
    <w:rsid w:val="006C755C"/>
    <w:rsid w:val="00710FB9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8F0F4D"/>
    <w:rsid w:val="00934903"/>
    <w:rsid w:val="009A4658"/>
    <w:rsid w:val="009B23F6"/>
    <w:rsid w:val="009B3195"/>
    <w:rsid w:val="00A0140A"/>
    <w:rsid w:val="00A0527A"/>
    <w:rsid w:val="00A312FC"/>
    <w:rsid w:val="00A77FD0"/>
    <w:rsid w:val="00AE0F78"/>
    <w:rsid w:val="00AE1842"/>
    <w:rsid w:val="00B06AA0"/>
    <w:rsid w:val="00B21D33"/>
    <w:rsid w:val="00B262C4"/>
    <w:rsid w:val="00B34389"/>
    <w:rsid w:val="00B4742D"/>
    <w:rsid w:val="00B6392F"/>
    <w:rsid w:val="00B7505D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14BE"/>
    <w:rsid w:val="00D923A1"/>
    <w:rsid w:val="00DA3993"/>
    <w:rsid w:val="00DC4B3B"/>
    <w:rsid w:val="00E77E12"/>
    <w:rsid w:val="00E85951"/>
    <w:rsid w:val="00E9058A"/>
    <w:rsid w:val="00EB2546"/>
    <w:rsid w:val="00EB7B2D"/>
    <w:rsid w:val="00EC5D06"/>
    <w:rsid w:val="00F747F1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7CE3-ADAD-46C9-AFDB-8DAC1341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Magdalena Fabisiak</cp:lastModifiedBy>
  <cp:revision>6</cp:revision>
  <dcterms:created xsi:type="dcterms:W3CDTF">2022-02-07T13:53:00Z</dcterms:created>
  <dcterms:modified xsi:type="dcterms:W3CDTF">2022-02-10T14:28:00Z</dcterms:modified>
</cp:coreProperties>
</file>