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4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70"/>
        <w:gridCol w:w="219"/>
        <w:gridCol w:w="850"/>
        <w:gridCol w:w="42"/>
        <w:gridCol w:w="951"/>
        <w:gridCol w:w="283"/>
        <w:gridCol w:w="425"/>
        <w:gridCol w:w="567"/>
        <w:gridCol w:w="426"/>
        <w:gridCol w:w="567"/>
        <w:gridCol w:w="567"/>
        <w:gridCol w:w="567"/>
        <w:gridCol w:w="283"/>
        <w:gridCol w:w="284"/>
        <w:gridCol w:w="283"/>
        <w:gridCol w:w="284"/>
        <w:gridCol w:w="141"/>
        <w:gridCol w:w="142"/>
        <w:gridCol w:w="284"/>
        <w:gridCol w:w="567"/>
        <w:gridCol w:w="283"/>
        <w:gridCol w:w="284"/>
        <w:gridCol w:w="1275"/>
      </w:tblGrid>
      <w:tr w:rsidR="006A701A" w:rsidRPr="008B4FE6" w14:paraId="5EDE462F" w14:textId="77777777" w:rsidTr="00B14A36">
        <w:trPr>
          <w:trHeight w:val="1611"/>
        </w:trPr>
        <w:tc>
          <w:tcPr>
            <w:tcW w:w="7117" w:type="dxa"/>
            <w:gridSpan w:val="13"/>
          </w:tcPr>
          <w:p w14:paraId="161BF2AC" w14:textId="77777777" w:rsidR="006A701A" w:rsidRPr="008B4FE6" w:rsidRDefault="006A701A" w:rsidP="0040748A">
            <w:pPr>
              <w:spacing w:line="240" w:lineRule="auto"/>
              <w:rPr>
                <w:rFonts w:ascii="Times New Roman" w:hAnsi="Times New Roman"/>
                <w:color w:val="000000"/>
              </w:rPr>
            </w:pPr>
            <w:bookmarkStart w:id="0" w:name="t1"/>
            <w:bookmarkStart w:id="1" w:name="_GoBack"/>
            <w:bookmarkEnd w:id="1"/>
            <w:r w:rsidRPr="008B4FE6">
              <w:rPr>
                <w:rFonts w:ascii="Times New Roman" w:hAnsi="Times New Roman"/>
                <w:b/>
                <w:color w:val="000000"/>
              </w:rPr>
              <w:t xml:space="preserve">Nazwa </w:t>
            </w:r>
            <w:r w:rsidR="001B75D8">
              <w:rPr>
                <w:rFonts w:ascii="Times New Roman" w:hAnsi="Times New Roman"/>
                <w:b/>
                <w:color w:val="000000"/>
              </w:rPr>
              <w:t>projektu</w:t>
            </w:r>
          </w:p>
          <w:p w14:paraId="49397472" w14:textId="4589D75F" w:rsidR="0040748A" w:rsidRDefault="00D443C6" w:rsidP="0040748A">
            <w:pPr>
              <w:spacing w:line="240" w:lineRule="auto"/>
              <w:jc w:val="both"/>
              <w:rPr>
                <w:rFonts w:ascii="Times New Roman" w:hAnsi="Times New Roman"/>
                <w:color w:val="000000"/>
              </w:rPr>
            </w:pPr>
            <w:r>
              <w:rPr>
                <w:rFonts w:ascii="Times New Roman" w:hAnsi="Times New Roman"/>
                <w:color w:val="000000"/>
              </w:rPr>
              <w:t>Projekt r</w:t>
            </w:r>
            <w:r w:rsidRPr="00D443C6">
              <w:rPr>
                <w:rFonts w:ascii="Times New Roman" w:hAnsi="Times New Roman"/>
                <w:color w:val="000000"/>
              </w:rPr>
              <w:t>ozporządzeni</w:t>
            </w:r>
            <w:r>
              <w:rPr>
                <w:rFonts w:ascii="Times New Roman" w:hAnsi="Times New Roman"/>
                <w:color w:val="000000"/>
              </w:rPr>
              <w:t>a</w:t>
            </w:r>
            <w:r w:rsidRPr="00D443C6">
              <w:rPr>
                <w:rFonts w:ascii="Times New Roman" w:hAnsi="Times New Roman"/>
                <w:color w:val="000000"/>
              </w:rPr>
              <w:t xml:space="preserve"> Ministra Rozwoju </w:t>
            </w:r>
            <w:r>
              <w:rPr>
                <w:rFonts w:ascii="Times New Roman" w:hAnsi="Times New Roman"/>
                <w:color w:val="000000"/>
              </w:rPr>
              <w:t xml:space="preserve">i Technologii </w:t>
            </w:r>
            <w:r w:rsidR="0003247F" w:rsidRPr="0003247F">
              <w:rPr>
                <w:rFonts w:ascii="Times New Roman" w:hAnsi="Times New Roman"/>
                <w:color w:val="000000"/>
              </w:rPr>
              <w:t>w sprawie szczegółowych danych i informacji gromadzonych w centralnej ewidencji emisyjności budynków</w:t>
            </w:r>
          </w:p>
          <w:p w14:paraId="3C350997" w14:textId="77777777" w:rsidR="00D443C6" w:rsidRPr="008B4FE6" w:rsidRDefault="00D443C6" w:rsidP="0040748A">
            <w:pPr>
              <w:spacing w:line="240" w:lineRule="auto"/>
              <w:jc w:val="both"/>
              <w:rPr>
                <w:rFonts w:ascii="Times New Roman" w:hAnsi="Times New Roman"/>
                <w:color w:val="000000"/>
              </w:rPr>
            </w:pPr>
          </w:p>
          <w:p w14:paraId="59BDA6F8"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5BBB4C03" w14:textId="77777777" w:rsidR="00DA338C" w:rsidRPr="00DA338C" w:rsidRDefault="00DA338C" w:rsidP="0040748A">
            <w:pPr>
              <w:spacing w:line="240" w:lineRule="auto"/>
              <w:rPr>
                <w:rFonts w:ascii="Times New Roman" w:hAnsi="Times New Roman"/>
                <w:color w:val="000000"/>
              </w:rPr>
            </w:pPr>
            <w:r w:rsidRPr="00DA338C">
              <w:rPr>
                <w:rFonts w:ascii="Times New Roman" w:hAnsi="Times New Roman"/>
                <w:color w:val="000000"/>
              </w:rPr>
              <w:t>Główny Urząd Nadzoru Budowlanego</w:t>
            </w:r>
          </w:p>
          <w:p w14:paraId="3B5FF9B7" w14:textId="77777777" w:rsidR="006A701A" w:rsidRDefault="00DA338C" w:rsidP="0040748A">
            <w:pPr>
              <w:spacing w:line="240" w:lineRule="auto"/>
              <w:rPr>
                <w:rFonts w:ascii="Times New Roman" w:hAnsi="Times New Roman"/>
                <w:color w:val="000000"/>
              </w:rPr>
            </w:pPr>
            <w:r w:rsidRPr="00DA338C">
              <w:rPr>
                <w:rFonts w:ascii="Times New Roman" w:hAnsi="Times New Roman"/>
                <w:color w:val="000000"/>
              </w:rPr>
              <w:t>Ministerstwo Rozwoju i Technologii</w:t>
            </w:r>
          </w:p>
          <w:p w14:paraId="6BFBA729" w14:textId="77777777" w:rsidR="0040748A" w:rsidRDefault="0040748A" w:rsidP="0040748A">
            <w:pPr>
              <w:spacing w:line="240" w:lineRule="auto"/>
              <w:rPr>
                <w:rFonts w:ascii="Times New Roman" w:hAnsi="Times New Roman"/>
                <w:color w:val="000000"/>
              </w:rPr>
            </w:pPr>
          </w:p>
          <w:p w14:paraId="3048CD40" w14:textId="77777777" w:rsidR="001B3460" w:rsidRDefault="001B3460" w:rsidP="0040748A">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3F6E5BE" w14:textId="77777777" w:rsidR="00FC5D82" w:rsidRPr="00FC5D82" w:rsidRDefault="00FC5D82" w:rsidP="0040748A">
            <w:pPr>
              <w:spacing w:line="240" w:lineRule="auto"/>
              <w:jc w:val="both"/>
              <w:rPr>
                <w:rFonts w:ascii="Times New Roman" w:hAnsi="Times New Roman"/>
                <w:color w:val="000000"/>
              </w:rPr>
            </w:pPr>
            <w:r w:rsidRPr="00815A1F">
              <w:rPr>
                <w:rFonts w:ascii="Times New Roman" w:hAnsi="Times New Roman"/>
                <w:color w:val="000000"/>
              </w:rPr>
              <w:t>Piotr Uściński, Sekretarz Stanu w Ministerstwie Rozwoju i Technologii</w:t>
            </w:r>
          </w:p>
          <w:p w14:paraId="61D88D87" w14:textId="77777777" w:rsidR="001B3460" w:rsidRDefault="00DA338C" w:rsidP="0040748A">
            <w:pPr>
              <w:spacing w:line="240" w:lineRule="auto"/>
              <w:rPr>
                <w:rFonts w:ascii="Times New Roman" w:hAnsi="Times New Roman"/>
                <w:sz w:val="21"/>
                <w:szCs w:val="21"/>
              </w:rPr>
            </w:pPr>
            <w:r w:rsidRPr="00DA338C">
              <w:rPr>
                <w:rFonts w:ascii="Times New Roman" w:hAnsi="Times New Roman"/>
                <w:sz w:val="21"/>
                <w:szCs w:val="21"/>
              </w:rPr>
              <w:t>Dorota Cabańska, Główny Inspektor Nadzoru Budowlanego</w:t>
            </w:r>
          </w:p>
          <w:p w14:paraId="4BBA5646" w14:textId="77777777" w:rsidR="0040748A" w:rsidRPr="0063060B" w:rsidRDefault="0040748A" w:rsidP="0040748A">
            <w:pPr>
              <w:spacing w:line="240" w:lineRule="auto"/>
              <w:rPr>
                <w:rFonts w:ascii="Times New Roman" w:hAnsi="Times New Roman"/>
                <w:sz w:val="21"/>
                <w:szCs w:val="21"/>
              </w:rPr>
            </w:pPr>
          </w:p>
          <w:p w14:paraId="468C9A4A" w14:textId="77777777" w:rsidR="006A701A" w:rsidRPr="008B4FE6" w:rsidRDefault="006A701A" w:rsidP="0040748A">
            <w:pPr>
              <w:spacing w:line="240" w:lineRule="auto"/>
              <w:rPr>
                <w:rFonts w:ascii="Times New Roman" w:hAnsi="Times New Roman"/>
                <w:b/>
                <w:color w:val="000000"/>
              </w:rPr>
            </w:pPr>
            <w:r w:rsidRPr="008B4FE6">
              <w:rPr>
                <w:rFonts w:ascii="Times New Roman" w:hAnsi="Times New Roman"/>
                <w:b/>
                <w:color w:val="000000"/>
              </w:rPr>
              <w:t>Kontakt do opiekuna merytorycznego projektu</w:t>
            </w:r>
          </w:p>
          <w:p w14:paraId="4B1F3010" w14:textId="77777777" w:rsidR="002513EE" w:rsidRPr="001C3ADA" w:rsidRDefault="002513EE" w:rsidP="002513EE">
            <w:pPr>
              <w:spacing w:line="240" w:lineRule="auto"/>
              <w:jc w:val="both"/>
              <w:rPr>
                <w:rFonts w:ascii="Times New Roman" w:hAnsi="Times New Roman"/>
                <w:color w:val="000000"/>
              </w:rPr>
            </w:pPr>
            <w:r w:rsidRPr="001C3ADA">
              <w:rPr>
                <w:rFonts w:ascii="Times New Roman" w:hAnsi="Times New Roman"/>
                <w:color w:val="000000"/>
              </w:rPr>
              <w:t xml:space="preserve">Ewelina Grabowska </w:t>
            </w:r>
          </w:p>
          <w:p w14:paraId="0683B7AC" w14:textId="77777777" w:rsidR="002513EE" w:rsidRPr="001C3ADA" w:rsidRDefault="002513EE" w:rsidP="002513EE">
            <w:pPr>
              <w:spacing w:line="240" w:lineRule="auto"/>
              <w:jc w:val="both"/>
              <w:rPr>
                <w:rFonts w:ascii="Times New Roman" w:hAnsi="Times New Roman"/>
                <w:color w:val="000000"/>
              </w:rPr>
            </w:pPr>
            <w:r w:rsidRPr="001C3ADA">
              <w:rPr>
                <w:rFonts w:ascii="Times New Roman" w:hAnsi="Times New Roman"/>
                <w:color w:val="000000"/>
              </w:rPr>
              <w:t xml:space="preserve">Departament Prawny, Główny Urząd Nadzoru Budowlanego </w:t>
            </w:r>
          </w:p>
          <w:p w14:paraId="185267BA" w14:textId="0629FD81" w:rsidR="006A701A" w:rsidRPr="00ED063A" w:rsidRDefault="002513EE" w:rsidP="002513EE">
            <w:pPr>
              <w:spacing w:line="240" w:lineRule="auto"/>
              <w:rPr>
                <w:rFonts w:ascii="Times New Roman" w:hAnsi="Times New Roman"/>
                <w:color w:val="000000"/>
                <w:lang w:val="en-US"/>
              </w:rPr>
            </w:pPr>
            <w:r w:rsidRPr="001C3ADA">
              <w:rPr>
                <w:rFonts w:ascii="Times New Roman" w:hAnsi="Times New Roman"/>
                <w:color w:val="000000"/>
                <w:lang w:val="en-US"/>
              </w:rPr>
              <w:t xml:space="preserve">e-mail: </w:t>
            </w:r>
            <w:hyperlink r:id="rId10" w:history="1">
              <w:r w:rsidRPr="001A1B58">
                <w:rPr>
                  <w:rStyle w:val="Hipercze"/>
                  <w:rFonts w:ascii="Times New Roman" w:hAnsi="Times New Roman"/>
                  <w:lang w:val="en-US"/>
                </w:rPr>
                <w:t>e.grabowska@gunb.gov.pl</w:t>
              </w:r>
            </w:hyperlink>
          </w:p>
        </w:tc>
        <w:tc>
          <w:tcPr>
            <w:tcW w:w="3827" w:type="dxa"/>
            <w:gridSpan w:val="10"/>
            <w:shd w:val="clear" w:color="auto" w:fill="FFFFFF" w:themeFill="background1"/>
          </w:tcPr>
          <w:p w14:paraId="2C620B89" w14:textId="77777777" w:rsidR="0040748A"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p>
          <w:p w14:paraId="48614CC1" w14:textId="43BB312C" w:rsidR="001B3460" w:rsidRPr="0003247F" w:rsidRDefault="0040748A" w:rsidP="001B3460">
            <w:pPr>
              <w:spacing w:line="240" w:lineRule="auto"/>
              <w:rPr>
                <w:rFonts w:ascii="Times New Roman" w:hAnsi="Times New Roman"/>
                <w:bCs/>
                <w:sz w:val="21"/>
                <w:szCs w:val="21"/>
              </w:rPr>
            </w:pPr>
            <w:r w:rsidRPr="0003247F">
              <w:rPr>
                <w:rFonts w:ascii="Times New Roman" w:hAnsi="Times New Roman"/>
                <w:bCs/>
                <w:sz w:val="21"/>
                <w:szCs w:val="21"/>
              </w:rPr>
              <w:t>2023-0</w:t>
            </w:r>
            <w:r w:rsidR="000C58E4">
              <w:rPr>
                <w:rFonts w:ascii="Times New Roman" w:hAnsi="Times New Roman"/>
                <w:bCs/>
                <w:sz w:val="21"/>
                <w:szCs w:val="21"/>
              </w:rPr>
              <w:t>6-21</w:t>
            </w:r>
          </w:p>
          <w:p w14:paraId="57CA549D" w14:textId="77777777" w:rsidR="00F76884" w:rsidRDefault="00F76884" w:rsidP="00F76884">
            <w:pPr>
              <w:spacing w:line="240" w:lineRule="auto"/>
              <w:rPr>
                <w:rFonts w:ascii="Times New Roman" w:hAnsi="Times New Roman"/>
                <w:b/>
              </w:rPr>
            </w:pPr>
          </w:p>
          <w:p w14:paraId="081CF656" w14:textId="77777777" w:rsidR="0040748A" w:rsidRDefault="00F76884" w:rsidP="00F76884">
            <w:pPr>
              <w:spacing w:line="240" w:lineRule="auto"/>
              <w:rPr>
                <w:rFonts w:ascii="Times New Roman" w:hAnsi="Times New Roman"/>
              </w:rPr>
            </w:pPr>
            <w:r w:rsidRPr="0065019F">
              <w:rPr>
                <w:rFonts w:ascii="Times New Roman" w:hAnsi="Times New Roman"/>
                <w:b/>
              </w:rPr>
              <w:t>Źródło:</w:t>
            </w:r>
          </w:p>
          <w:p w14:paraId="5A22F8EA" w14:textId="77777777" w:rsidR="00F76884" w:rsidRDefault="00DA338C" w:rsidP="00F76884">
            <w:pPr>
              <w:spacing w:line="240" w:lineRule="auto"/>
              <w:rPr>
                <w:rFonts w:ascii="Times New Roman" w:hAnsi="Times New Roman"/>
              </w:rPr>
            </w:pPr>
            <w:r>
              <w:rPr>
                <w:rFonts w:ascii="Times New Roman" w:hAnsi="Times New Roman"/>
              </w:rPr>
              <w:t>Upoważnienie ustawowe:</w:t>
            </w:r>
          </w:p>
          <w:p w14:paraId="0AB40147" w14:textId="4E811605" w:rsidR="00D443C6" w:rsidRDefault="00DA338C" w:rsidP="0040748A">
            <w:pPr>
              <w:spacing w:line="240" w:lineRule="auto"/>
              <w:jc w:val="both"/>
              <w:rPr>
                <w:rFonts w:ascii="Times New Roman" w:hAnsi="Times New Roman"/>
              </w:rPr>
            </w:pPr>
            <w:r>
              <w:rPr>
                <w:rFonts w:ascii="Times New Roman" w:hAnsi="Times New Roman"/>
              </w:rPr>
              <w:t>Art.</w:t>
            </w:r>
            <w:r w:rsidR="00D443C6">
              <w:rPr>
                <w:rFonts w:ascii="Times New Roman" w:hAnsi="Times New Roman"/>
              </w:rPr>
              <w:t xml:space="preserve"> </w:t>
            </w:r>
            <w:r w:rsidR="00D443C6" w:rsidRPr="00D443C6">
              <w:rPr>
                <w:rFonts w:ascii="Times New Roman" w:hAnsi="Times New Roman"/>
              </w:rPr>
              <w:t>27a ust. 5 ustawy z dnia 21 listopada 2008</w:t>
            </w:r>
            <w:r w:rsidR="00902F0F">
              <w:rPr>
                <w:rFonts w:ascii="Times New Roman" w:hAnsi="Times New Roman"/>
              </w:rPr>
              <w:t> </w:t>
            </w:r>
            <w:r w:rsidR="00D443C6" w:rsidRPr="00D443C6">
              <w:rPr>
                <w:rFonts w:ascii="Times New Roman" w:hAnsi="Times New Roman"/>
              </w:rPr>
              <w:t>r. o wspieraniu termomodernizacji i</w:t>
            </w:r>
            <w:r w:rsidR="00112F8A">
              <w:rPr>
                <w:rFonts w:ascii="Times New Roman" w:hAnsi="Times New Roman"/>
              </w:rPr>
              <w:t> </w:t>
            </w:r>
            <w:r w:rsidR="00D443C6" w:rsidRPr="00D443C6">
              <w:rPr>
                <w:rFonts w:ascii="Times New Roman" w:hAnsi="Times New Roman"/>
              </w:rPr>
              <w:t>remontów oraz o centralnej ewidencji emisyjności budynków (Dz. U. z 2022 r. poz. 438, 1561, 1576, 1967 i</w:t>
            </w:r>
            <w:r w:rsidR="002513EE">
              <w:rPr>
                <w:rFonts w:ascii="Times New Roman" w:hAnsi="Times New Roman"/>
              </w:rPr>
              <w:t> </w:t>
            </w:r>
            <w:r w:rsidR="00D443C6" w:rsidRPr="00D443C6">
              <w:rPr>
                <w:rFonts w:ascii="Times New Roman" w:hAnsi="Times New Roman"/>
              </w:rPr>
              <w:t>2456)</w:t>
            </w:r>
          </w:p>
          <w:p w14:paraId="36A1B338" w14:textId="77777777" w:rsidR="00D443C6" w:rsidRDefault="00D443C6" w:rsidP="0040748A">
            <w:pPr>
              <w:spacing w:line="240" w:lineRule="auto"/>
              <w:jc w:val="both"/>
              <w:rPr>
                <w:rFonts w:ascii="Times New Roman" w:hAnsi="Times New Roman"/>
              </w:rPr>
            </w:pPr>
          </w:p>
          <w:p w14:paraId="6D833D94" w14:textId="5384A78F" w:rsidR="006A701A" w:rsidRPr="008B4FE6" w:rsidRDefault="006A701A" w:rsidP="00D443C6">
            <w:pPr>
              <w:spacing w:line="240" w:lineRule="auto"/>
              <w:jc w:val="both"/>
              <w:rPr>
                <w:rFonts w:ascii="Times New Roman" w:hAnsi="Times New Roman"/>
                <w:color w:val="000000"/>
                <w:sz w:val="28"/>
                <w:szCs w:val="28"/>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r w:rsidR="00560DE0">
              <w:rPr>
                <w:rFonts w:ascii="Times New Roman" w:hAnsi="Times New Roman"/>
                <w:b/>
                <w:color w:val="000000"/>
              </w:rPr>
              <w:t>Ministra Rozwoju i</w:t>
            </w:r>
            <w:r w:rsidR="002513EE">
              <w:rPr>
                <w:rFonts w:ascii="Times New Roman" w:hAnsi="Times New Roman"/>
                <w:b/>
                <w:color w:val="000000"/>
              </w:rPr>
              <w:t> </w:t>
            </w:r>
            <w:r w:rsidR="00560DE0">
              <w:rPr>
                <w:rFonts w:ascii="Times New Roman" w:hAnsi="Times New Roman"/>
                <w:b/>
                <w:color w:val="000000"/>
              </w:rPr>
              <w:t xml:space="preserve"> Technologii</w:t>
            </w:r>
            <w:r w:rsidR="0040748A">
              <w:rPr>
                <w:rFonts w:ascii="Times New Roman" w:hAnsi="Times New Roman"/>
                <w:b/>
                <w:color w:val="000000"/>
              </w:rPr>
              <w:t xml:space="preserve">: </w:t>
            </w:r>
            <w:r w:rsidR="00BF487E">
              <w:rPr>
                <w:rFonts w:ascii="Times New Roman" w:hAnsi="Times New Roman"/>
                <w:b/>
                <w:color w:val="000000"/>
              </w:rPr>
              <w:t>poz. 88.</w:t>
            </w:r>
          </w:p>
        </w:tc>
      </w:tr>
      <w:tr w:rsidR="006A701A" w:rsidRPr="0022687A" w14:paraId="360A25F5" w14:textId="77777777" w:rsidTr="00B14A36">
        <w:trPr>
          <w:trHeight w:val="142"/>
        </w:trPr>
        <w:tc>
          <w:tcPr>
            <w:tcW w:w="10944" w:type="dxa"/>
            <w:gridSpan w:val="23"/>
            <w:shd w:val="clear" w:color="auto" w:fill="99CCFF"/>
          </w:tcPr>
          <w:p w14:paraId="103756D0"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5A66F4B7" w14:textId="77777777" w:rsidTr="00B14A36">
        <w:trPr>
          <w:trHeight w:val="333"/>
        </w:trPr>
        <w:tc>
          <w:tcPr>
            <w:tcW w:w="10944" w:type="dxa"/>
            <w:gridSpan w:val="23"/>
            <w:shd w:val="clear" w:color="auto" w:fill="99CCFF"/>
            <w:vAlign w:val="center"/>
          </w:tcPr>
          <w:p w14:paraId="3E5EEAEA" w14:textId="77777777" w:rsidR="006A701A" w:rsidRPr="008B4FE6" w:rsidRDefault="003D12F6" w:rsidP="002A3F0C">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6A701A" w:rsidRPr="008B4FE6" w14:paraId="02D6B38D" w14:textId="77777777" w:rsidTr="00B14A36">
        <w:trPr>
          <w:trHeight w:val="142"/>
        </w:trPr>
        <w:tc>
          <w:tcPr>
            <w:tcW w:w="10944" w:type="dxa"/>
            <w:gridSpan w:val="23"/>
            <w:shd w:val="clear" w:color="auto" w:fill="FFFFFF" w:themeFill="background1"/>
          </w:tcPr>
          <w:p w14:paraId="3266BD8A" w14:textId="40CC3149" w:rsidR="00902F0F" w:rsidRDefault="00836523" w:rsidP="00836523">
            <w:pPr>
              <w:spacing w:line="240" w:lineRule="auto"/>
              <w:jc w:val="both"/>
              <w:rPr>
                <w:rFonts w:ascii="Times New Roman" w:hAnsi="Times New Roman"/>
                <w:color w:val="000000"/>
              </w:rPr>
            </w:pPr>
            <w:r w:rsidRPr="00836523">
              <w:rPr>
                <w:rFonts w:ascii="Times New Roman" w:hAnsi="Times New Roman"/>
                <w:color w:val="000000"/>
              </w:rPr>
              <w:t xml:space="preserve">Ustawa z dnia 21 listopada 2008 r. </w:t>
            </w:r>
            <w:r w:rsidR="00902F0F" w:rsidRPr="00902F0F">
              <w:rPr>
                <w:rFonts w:ascii="Times New Roman" w:hAnsi="Times New Roman"/>
                <w:color w:val="000000"/>
              </w:rPr>
              <w:t xml:space="preserve">o wspieraniu termomodernizacji i remontów oraz o centralnej ewidencji emisyjności budynków (Dz. U. z 2022 r. poz. 438, </w:t>
            </w:r>
            <w:r w:rsidR="001F1998">
              <w:rPr>
                <w:rFonts w:ascii="Times New Roman" w:hAnsi="Times New Roman"/>
                <w:color w:val="000000"/>
              </w:rPr>
              <w:t>z późn. zm.</w:t>
            </w:r>
            <w:r w:rsidR="00902F0F" w:rsidRPr="00902F0F">
              <w:rPr>
                <w:rFonts w:ascii="Times New Roman" w:hAnsi="Times New Roman"/>
                <w:color w:val="000000"/>
              </w:rPr>
              <w:t>)</w:t>
            </w:r>
            <w:r w:rsidR="00902F0F">
              <w:rPr>
                <w:rFonts w:ascii="Times New Roman" w:hAnsi="Times New Roman"/>
                <w:color w:val="000000"/>
              </w:rPr>
              <w:t xml:space="preserve"> </w:t>
            </w:r>
            <w:r w:rsidR="00885B2F" w:rsidRPr="00885B2F">
              <w:rPr>
                <w:rFonts w:ascii="Times New Roman" w:hAnsi="Times New Roman"/>
                <w:color w:val="000000"/>
              </w:rPr>
              <w:t>stwarza realne warunki do ograniczenia emisji lub wysokiej emisji, na rzecz przedsięwzięć niskoemisyjnych oraz odnawialnych źródeł energii.</w:t>
            </w:r>
            <w:r w:rsidR="00885B2F">
              <w:rPr>
                <w:rFonts w:ascii="Times New Roman" w:hAnsi="Times New Roman"/>
                <w:color w:val="000000"/>
              </w:rPr>
              <w:t xml:space="preserve"> </w:t>
            </w:r>
            <w:r w:rsidRPr="00836523">
              <w:rPr>
                <w:rFonts w:ascii="Times New Roman" w:hAnsi="Times New Roman"/>
                <w:color w:val="000000"/>
              </w:rPr>
              <w:t>Proces identyfikacji źródeł niskiej emisji zostanie rozpoczęty od gromadzenia jednolitych i</w:t>
            </w:r>
            <w:r w:rsidR="002513EE">
              <w:rPr>
                <w:rFonts w:ascii="Times New Roman" w:hAnsi="Times New Roman"/>
                <w:color w:val="000000"/>
              </w:rPr>
              <w:t> </w:t>
            </w:r>
            <w:r w:rsidRPr="00836523">
              <w:rPr>
                <w:rFonts w:ascii="Times New Roman" w:hAnsi="Times New Roman"/>
                <w:color w:val="000000"/>
              </w:rPr>
              <w:t>uspójnionych danych w skali całego kraju w ramach tworzonej Centralnej Ewidencji Emisyjności Budynków</w:t>
            </w:r>
            <w:r w:rsidR="00902F0F">
              <w:rPr>
                <w:rFonts w:ascii="Times New Roman" w:hAnsi="Times New Roman"/>
                <w:color w:val="000000"/>
              </w:rPr>
              <w:t>, zwanej dalej „</w:t>
            </w:r>
            <w:r w:rsidRPr="00836523">
              <w:rPr>
                <w:rFonts w:ascii="Times New Roman" w:hAnsi="Times New Roman"/>
                <w:color w:val="000000"/>
              </w:rPr>
              <w:t>CEEB</w:t>
            </w:r>
            <w:r w:rsidR="00902F0F">
              <w:rPr>
                <w:rFonts w:ascii="Times New Roman" w:hAnsi="Times New Roman"/>
                <w:color w:val="000000"/>
              </w:rPr>
              <w:t>”</w:t>
            </w:r>
            <w:r w:rsidRPr="00836523">
              <w:rPr>
                <w:rFonts w:ascii="Times New Roman" w:hAnsi="Times New Roman"/>
                <w:color w:val="000000"/>
              </w:rPr>
              <w:t xml:space="preserve">. </w:t>
            </w:r>
          </w:p>
          <w:p w14:paraId="601AE575" w14:textId="2F0D4FD5" w:rsidR="00902F0F" w:rsidRDefault="00902F0F" w:rsidP="00902F0F">
            <w:pPr>
              <w:spacing w:before="120" w:line="240" w:lineRule="auto"/>
              <w:jc w:val="both"/>
              <w:rPr>
                <w:rFonts w:ascii="Times New Roman" w:hAnsi="Times New Roman"/>
                <w:color w:val="000000"/>
              </w:rPr>
            </w:pPr>
            <w:r w:rsidRPr="00902F0F">
              <w:rPr>
                <w:rFonts w:ascii="Times New Roman" w:hAnsi="Times New Roman"/>
                <w:color w:val="000000"/>
              </w:rPr>
              <w:t xml:space="preserve">Niezbędne pozostaje pozyskanie informacji na temat budynków i pochodzących z nich źródeł emisji w ramach dokonywanej inwentaryzacji budynków. Utworzenie i uruchomienie CEEB, umożliwiło gromadzenie ustandaryzowanych danych i informacji o budynkach i lokalach oraz osobach wpisanych do tzw. wykazu osób uprawnionych. </w:t>
            </w:r>
          </w:p>
          <w:p w14:paraId="6B06E6F2" w14:textId="1BF430D2" w:rsidR="00091360" w:rsidRPr="00B37C80" w:rsidRDefault="00902F0F" w:rsidP="00902F0F">
            <w:pPr>
              <w:spacing w:before="120" w:line="240" w:lineRule="auto"/>
              <w:jc w:val="both"/>
              <w:rPr>
                <w:rFonts w:ascii="Times New Roman" w:hAnsi="Times New Roman"/>
                <w:color w:val="000000"/>
              </w:rPr>
            </w:pPr>
            <w:r>
              <w:rPr>
                <w:rFonts w:ascii="Times New Roman" w:hAnsi="Times New Roman"/>
                <w:color w:val="000000"/>
              </w:rPr>
              <w:t>Projektowane rozporządzenie stanowi wykonanie upoważnienia ustawowego zawartego w art. 27a ust. 5 ustawy z dnia 21</w:t>
            </w:r>
            <w:r w:rsidR="002513EE">
              <w:rPr>
                <w:rFonts w:ascii="Times New Roman" w:hAnsi="Times New Roman"/>
                <w:color w:val="000000"/>
              </w:rPr>
              <w:t> </w:t>
            </w:r>
            <w:r>
              <w:rPr>
                <w:rFonts w:ascii="Times New Roman" w:hAnsi="Times New Roman"/>
                <w:color w:val="000000"/>
              </w:rPr>
              <w:t xml:space="preserve">listopada 2008 r. o </w:t>
            </w:r>
            <w:r w:rsidRPr="00902F0F">
              <w:rPr>
                <w:rFonts w:ascii="Times New Roman" w:hAnsi="Times New Roman"/>
                <w:color w:val="000000"/>
              </w:rPr>
              <w:t>wspieraniu termomodernizacji i remontów oraz o centralnej ewidencji emisyjności budynków</w:t>
            </w:r>
            <w:r>
              <w:rPr>
                <w:rFonts w:ascii="Times New Roman" w:hAnsi="Times New Roman"/>
                <w:color w:val="000000"/>
              </w:rPr>
              <w:t>. Zgodnie z tym przepisem m</w:t>
            </w:r>
            <w:r w:rsidRPr="00902F0F">
              <w:rPr>
                <w:rFonts w:ascii="Times New Roman" w:hAnsi="Times New Roman"/>
                <w:color w:val="000000"/>
              </w:rPr>
              <w:t>inister właściwy do spraw budownictwa, planowania i zagospodarowania przestrzennego oraz mieszkalnictwa w porozumieniu z ministrem właściwym do spraw klimatu oraz z ministrem właściwym do spraw gospodarki określi, w drodze rozporządzenia, szczegółowe dane i informacje gromadzone w ewidencji, o których mowa w</w:t>
            </w:r>
            <w:r w:rsidR="002513EE">
              <w:rPr>
                <w:rFonts w:ascii="Times New Roman" w:hAnsi="Times New Roman"/>
                <w:color w:val="000000"/>
              </w:rPr>
              <w:t> </w:t>
            </w:r>
            <w:r w:rsidRPr="00902F0F">
              <w:rPr>
                <w:rFonts w:ascii="Times New Roman" w:hAnsi="Times New Roman"/>
                <w:color w:val="000000"/>
              </w:rPr>
              <w:t xml:space="preserve"> ust. 2 pkt 1, przekazywane przez osoby uprawnione, o których mowa w art. 27b ust. 1, oraz uzupełniane automatycznie przez system teleinformatyczny obsługujący ewidencję, mając na względzie użyteczność i bezpieczeństwo tych danych i</w:t>
            </w:r>
            <w:r w:rsidR="002513EE">
              <w:rPr>
                <w:rFonts w:ascii="Times New Roman" w:hAnsi="Times New Roman"/>
                <w:color w:val="000000"/>
              </w:rPr>
              <w:t> </w:t>
            </w:r>
            <w:r w:rsidRPr="00902F0F">
              <w:rPr>
                <w:rFonts w:ascii="Times New Roman" w:hAnsi="Times New Roman"/>
                <w:color w:val="000000"/>
              </w:rPr>
              <w:t xml:space="preserve"> informacji oraz funkcjonalność ewidencji.</w:t>
            </w:r>
          </w:p>
        </w:tc>
      </w:tr>
      <w:tr w:rsidR="006A701A" w:rsidRPr="008B4FE6" w14:paraId="43CBC8E9" w14:textId="77777777" w:rsidTr="00B14A36">
        <w:trPr>
          <w:trHeight w:val="142"/>
        </w:trPr>
        <w:tc>
          <w:tcPr>
            <w:tcW w:w="10944" w:type="dxa"/>
            <w:gridSpan w:val="23"/>
            <w:shd w:val="clear" w:color="auto" w:fill="99CCFF"/>
            <w:vAlign w:val="center"/>
          </w:tcPr>
          <w:p w14:paraId="01B2CF6A" w14:textId="77777777" w:rsidR="006A701A" w:rsidRPr="008B4FE6" w:rsidRDefault="0013216E" w:rsidP="002A3F0C">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14:paraId="7C4E1281" w14:textId="77777777" w:rsidTr="00B14A36">
        <w:trPr>
          <w:trHeight w:val="142"/>
        </w:trPr>
        <w:tc>
          <w:tcPr>
            <w:tcW w:w="10944" w:type="dxa"/>
            <w:gridSpan w:val="23"/>
            <w:shd w:val="clear" w:color="auto" w:fill="auto"/>
          </w:tcPr>
          <w:p w14:paraId="42A2C13B" w14:textId="11C9DDF0" w:rsidR="00902F0F" w:rsidRPr="00902F0F" w:rsidRDefault="00902F0F" w:rsidP="00F97537">
            <w:pPr>
              <w:spacing w:line="240" w:lineRule="auto"/>
              <w:jc w:val="both"/>
              <w:rPr>
                <w:rFonts w:ascii="Times New Roman" w:hAnsi="Times New Roman"/>
                <w:color w:val="000000"/>
                <w:spacing w:val="-2"/>
              </w:rPr>
            </w:pPr>
            <w:r w:rsidRPr="00902F0F">
              <w:rPr>
                <w:rFonts w:ascii="Times New Roman" w:hAnsi="Times New Roman"/>
                <w:color w:val="000000"/>
                <w:spacing w:val="-2"/>
              </w:rPr>
              <w:t>Projekt rozporządzenia przewiduje gromadzenie w CEEB następujących danych i informacji:</w:t>
            </w:r>
          </w:p>
          <w:p w14:paraId="359537A8" w14:textId="6CD7C546" w:rsidR="0085721E" w:rsidRPr="0085721E" w:rsidRDefault="0085721E" w:rsidP="0085721E">
            <w:pPr>
              <w:pStyle w:val="Akapitzlist"/>
              <w:numPr>
                <w:ilvl w:val="0"/>
                <w:numId w:val="2"/>
              </w:numPr>
              <w:spacing w:line="240" w:lineRule="auto"/>
              <w:jc w:val="both"/>
              <w:rPr>
                <w:rFonts w:ascii="Times New Roman" w:hAnsi="Times New Roman"/>
                <w:color w:val="000000"/>
                <w:spacing w:val="-2"/>
              </w:rPr>
            </w:pPr>
            <w:r w:rsidRPr="0085721E">
              <w:rPr>
                <w:rFonts w:ascii="Times New Roman" w:hAnsi="Times New Roman"/>
                <w:color w:val="000000"/>
                <w:spacing w:val="-2"/>
              </w:rPr>
              <w:t>dotyczących budynku lub lokalu: adres – pozyskiwany automatycznie z bazy danych państwowego rejestru granic i powierzchni jednostek podziałów terytorialnych kraju (PRG); identyfikator infrastruktury informacji przestrzenniej (idIIP), funkcja ogólna, obwód budynku (określany/obliczany przez system automatycznie na podstawie geometrii budynku zawartej w BDOT10k), liczba kondygnacji – pozyskiwane automatycznie na podstawie danych z systemu BDOT10k; rok budowy, średnia wysokość kondygnacji ogrzewanych, grubość ocieplenia podłogi na gruncie lub stropu nad piwnicą lub garażem, grubość ocieplenia stropodachu, grubość ocieplenia dachu, stopień ocieplenia ścian zewnętrznych, grubość ocieplenia ścian zewnętrznych, powierzchnia pomieszczeń ogrzewanych, średnia temperatura pomieszczeń ogrzewanych w sezonie grzewczym, obliczony współczynnik przenikania ciepła „U”, kształt budynku, liczba lokali, typ budynku, informacja o ociepleniu stropów, stan instalacji centralnego ogrzewania oraz c</w:t>
            </w:r>
            <w:r w:rsidR="00207195">
              <w:rPr>
                <w:rFonts w:ascii="Times New Roman" w:hAnsi="Times New Roman"/>
                <w:color w:val="000000"/>
                <w:spacing w:val="-2"/>
              </w:rPr>
              <w:t xml:space="preserve">iepłej </w:t>
            </w:r>
            <w:r w:rsidRPr="0085721E">
              <w:rPr>
                <w:rFonts w:ascii="Times New Roman" w:hAnsi="Times New Roman"/>
                <w:color w:val="000000"/>
                <w:spacing w:val="-2"/>
              </w:rPr>
              <w:t xml:space="preserve">wody użytkowej, stan stolarki okiennej, </w:t>
            </w:r>
            <w:r w:rsidR="00207195" w:rsidRPr="00207195">
              <w:rPr>
                <w:rFonts w:ascii="Times New Roman" w:hAnsi="Times New Roman"/>
                <w:color w:val="000000"/>
                <w:spacing w:val="-2"/>
              </w:rPr>
              <w:t xml:space="preserve">rodzaj stolarki okiennej, </w:t>
            </w:r>
            <w:r w:rsidRPr="0085721E">
              <w:rPr>
                <w:rFonts w:ascii="Times New Roman" w:hAnsi="Times New Roman"/>
                <w:color w:val="000000"/>
                <w:spacing w:val="-2"/>
              </w:rPr>
              <w:t xml:space="preserve">stan stolarki drzwi zewnętrznych, informacja o wymaganej termomodernizacji budynku, </w:t>
            </w:r>
            <w:r w:rsidR="00207195">
              <w:rPr>
                <w:rFonts w:ascii="Times New Roman" w:hAnsi="Times New Roman"/>
                <w:color w:val="000000"/>
                <w:spacing w:val="-2"/>
              </w:rPr>
              <w:t>rodzaj wentylacji</w:t>
            </w:r>
            <w:r w:rsidRPr="0085721E">
              <w:rPr>
                <w:rFonts w:ascii="Times New Roman" w:hAnsi="Times New Roman"/>
                <w:color w:val="000000"/>
                <w:spacing w:val="-2"/>
              </w:rPr>
              <w:t xml:space="preserve"> – ustalane na podstawie informacji uzyskanych od mieszkańca budynku lub lokalu, które będą wprowadzane do CEEB przez osoby wskazane w art. 27b ust. 1 pkt 1–4 i 9 ustawy z dnia 21 listopada 2008 r. o wspieraniu termomodernizacji i remontów oraz o centralnej ewidencji emisyjności budynków;</w:t>
            </w:r>
          </w:p>
          <w:p w14:paraId="5B5D3339" w14:textId="7BF4A725" w:rsidR="0085721E" w:rsidRPr="0085721E" w:rsidRDefault="0085721E" w:rsidP="0085721E">
            <w:pPr>
              <w:pStyle w:val="Akapitzlist"/>
              <w:numPr>
                <w:ilvl w:val="0"/>
                <w:numId w:val="2"/>
              </w:numPr>
              <w:spacing w:line="240" w:lineRule="auto"/>
              <w:jc w:val="both"/>
              <w:rPr>
                <w:rFonts w:ascii="Times New Roman" w:hAnsi="Times New Roman"/>
                <w:color w:val="000000"/>
                <w:spacing w:val="-2"/>
              </w:rPr>
            </w:pPr>
            <w:r w:rsidRPr="0085721E">
              <w:rPr>
                <w:rFonts w:ascii="Times New Roman" w:hAnsi="Times New Roman"/>
                <w:color w:val="000000"/>
                <w:spacing w:val="-2"/>
              </w:rPr>
              <w:t xml:space="preserve">dotyczących źródła ciepła, energii elektrycznej i spalania paliw – wykorzystywanych w budynku lub lokalu: rodzaj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instalacja fotowoltaiczna, kogeneracja, gruntowe wymienniki ciepła itp.), </w:t>
            </w:r>
            <w:r w:rsidR="00207195" w:rsidRPr="0085721E">
              <w:rPr>
                <w:rFonts w:ascii="Times New Roman" w:hAnsi="Times New Roman"/>
                <w:color w:val="000000"/>
                <w:spacing w:val="-2"/>
              </w:rPr>
              <w:t xml:space="preserve">moc </w:t>
            </w:r>
            <w:r w:rsidRPr="0085721E">
              <w:rPr>
                <w:rFonts w:ascii="Times New Roman" w:hAnsi="Times New Roman"/>
                <w:color w:val="000000"/>
                <w:spacing w:val="-2"/>
              </w:rPr>
              <w:t xml:space="preserve">nominalna, rodzaj paliwa i jego roczne zużycie, rok montażu, rok produkcji, przeznaczenie (charakter produkowanego ciepła), potwierdzenie spełnienia wymagań standardów niskoemisyjnych, klasa kotła na </w:t>
            </w:r>
            <w:r w:rsidRPr="0085721E">
              <w:rPr>
                <w:rFonts w:ascii="Times New Roman" w:hAnsi="Times New Roman"/>
                <w:color w:val="000000"/>
                <w:spacing w:val="-2"/>
              </w:rPr>
              <w:lastRenderedPageBreak/>
              <w:t>paliwo stałe</w:t>
            </w:r>
            <w:r w:rsidR="00CC6D61">
              <w:rPr>
                <w:rFonts w:ascii="Times New Roman" w:hAnsi="Times New Roman"/>
                <w:color w:val="000000"/>
                <w:spacing w:val="-2"/>
              </w:rPr>
              <w:t xml:space="preserve"> </w:t>
            </w:r>
            <w:r w:rsidR="00CC6D61">
              <w:rPr>
                <w:rFonts w:ascii="Times New Roman" w:hAnsi="Times New Roman"/>
              </w:rPr>
              <w:t>lub innego urządzenia grzewczego</w:t>
            </w:r>
            <w:r w:rsidR="00CC6D61">
              <w:rPr>
                <w:rFonts w:ascii="Times New Roman" w:hAnsi="Times New Roman"/>
                <w:color w:val="000000"/>
                <w:spacing w:val="-2"/>
              </w:rPr>
              <w:t>,</w:t>
            </w:r>
            <w:r w:rsidRPr="0085721E">
              <w:rPr>
                <w:rFonts w:ascii="Times New Roman" w:hAnsi="Times New Roman"/>
                <w:color w:val="000000"/>
                <w:spacing w:val="-2"/>
              </w:rPr>
              <w:t xml:space="preserve"> sposób podawania paliwa w kotle na paliwo stałe, sprawność przy mocy nominalnej kotła na paliwo stałe</w:t>
            </w:r>
            <w:r w:rsidR="000D1725">
              <w:rPr>
                <w:rFonts w:ascii="Times New Roman" w:hAnsi="Times New Roman"/>
                <w:color w:val="000000"/>
                <w:spacing w:val="-2"/>
              </w:rPr>
              <w:t xml:space="preserve"> </w:t>
            </w:r>
            <w:r w:rsidR="000D1725">
              <w:rPr>
                <w:rFonts w:ascii="Times New Roman" w:hAnsi="Times New Roman"/>
              </w:rPr>
              <w:t>lub innego urządzenia grzewczego</w:t>
            </w:r>
            <w:r w:rsidR="000D1725">
              <w:rPr>
                <w:rFonts w:ascii="Times New Roman" w:hAnsi="Times New Roman"/>
                <w:color w:val="000000"/>
                <w:spacing w:val="-2"/>
              </w:rPr>
              <w:t>,</w:t>
            </w:r>
            <w:r w:rsidRPr="0085721E">
              <w:rPr>
                <w:rFonts w:ascii="Times New Roman" w:hAnsi="Times New Roman"/>
                <w:color w:val="000000"/>
                <w:spacing w:val="-2"/>
              </w:rPr>
              <w:t xml:space="preserve"> </w:t>
            </w:r>
            <w:r w:rsidR="00207195" w:rsidRPr="00207195">
              <w:rPr>
                <w:rFonts w:ascii="Times New Roman" w:hAnsi="Times New Roman"/>
                <w:color w:val="000000"/>
                <w:spacing w:val="-2"/>
              </w:rPr>
              <w:t xml:space="preserve">bufor ciepła i/lub ciepłej wody użytkowej, </w:t>
            </w:r>
            <w:r w:rsidRPr="0085721E">
              <w:rPr>
                <w:rFonts w:ascii="Times New Roman" w:hAnsi="Times New Roman"/>
                <w:color w:val="000000"/>
                <w:spacing w:val="-2"/>
              </w:rPr>
              <w:t>urządzenie odpylające i jego sprawność w kotle na paliwo stałe</w:t>
            </w:r>
            <w:r w:rsidR="000D1725">
              <w:rPr>
                <w:rFonts w:ascii="Times New Roman" w:hAnsi="Times New Roman"/>
                <w:color w:val="000000"/>
                <w:spacing w:val="-2"/>
              </w:rPr>
              <w:t xml:space="preserve"> </w:t>
            </w:r>
            <w:r w:rsidR="000D1725">
              <w:rPr>
                <w:rFonts w:ascii="Times New Roman" w:hAnsi="Times New Roman"/>
              </w:rPr>
              <w:t>lub innym urządzeniu grzewczym</w:t>
            </w:r>
            <w:r w:rsidR="000D1725">
              <w:rPr>
                <w:rFonts w:ascii="Times New Roman" w:hAnsi="Times New Roman"/>
                <w:color w:val="000000"/>
                <w:spacing w:val="-2"/>
              </w:rPr>
              <w:t>,</w:t>
            </w:r>
            <w:r w:rsidRPr="0085721E">
              <w:rPr>
                <w:rFonts w:ascii="Times New Roman" w:hAnsi="Times New Roman"/>
                <w:color w:val="000000"/>
                <w:spacing w:val="-2"/>
              </w:rPr>
              <w:t xml:space="preserve"> </w:t>
            </w:r>
            <w:r w:rsidR="00207195" w:rsidRPr="00207195">
              <w:rPr>
                <w:rFonts w:ascii="Times New Roman" w:hAnsi="Times New Roman"/>
                <w:color w:val="000000"/>
                <w:spacing w:val="-2"/>
              </w:rPr>
              <w:t>zbiornik akumulacyjny i jego pojemność,</w:t>
            </w:r>
            <w:r w:rsidR="00207195">
              <w:rPr>
                <w:rFonts w:ascii="Times New Roman" w:hAnsi="Times New Roman"/>
                <w:color w:val="000000"/>
                <w:spacing w:val="-2"/>
              </w:rPr>
              <w:t xml:space="preserve"> </w:t>
            </w:r>
            <w:r w:rsidRPr="0085721E">
              <w:rPr>
                <w:rFonts w:ascii="Times New Roman" w:hAnsi="Times New Roman"/>
                <w:color w:val="000000"/>
                <w:spacing w:val="-2"/>
              </w:rPr>
              <w:t>źródło danych (tabliczka znamionowa, dokumentacja techniczno</w:t>
            </w:r>
            <w:r w:rsidR="000D1725">
              <w:rPr>
                <w:rFonts w:ascii="Times New Roman" w:hAnsi="Times New Roman"/>
                <w:color w:val="000000"/>
                <w:spacing w:val="-2"/>
              </w:rPr>
              <w:t>-</w:t>
            </w:r>
            <w:r w:rsidRPr="0085721E">
              <w:rPr>
                <w:rFonts w:ascii="Times New Roman" w:hAnsi="Times New Roman"/>
                <w:color w:val="000000"/>
                <w:spacing w:val="-2"/>
              </w:rPr>
              <w:t xml:space="preserve">ruchowa lub inne), planowana wymiana źródła ciepła </w:t>
            </w:r>
            <w:r w:rsidR="00207195" w:rsidRPr="00207195">
              <w:rPr>
                <w:rFonts w:ascii="Times New Roman" w:hAnsi="Times New Roman"/>
                <w:color w:val="000000"/>
                <w:spacing w:val="-2"/>
              </w:rPr>
              <w:t xml:space="preserve">lub źródła spalania paliw </w:t>
            </w:r>
            <w:r w:rsidRPr="0085721E">
              <w:rPr>
                <w:rFonts w:ascii="Times New Roman" w:hAnsi="Times New Roman"/>
                <w:color w:val="000000"/>
                <w:spacing w:val="-2"/>
              </w:rPr>
              <w:t>– ustalane na podstawie wskazań mieszkańca budynku lub lokalu albo w oparciu o informacje zamieszczone na urządzeniach grzewczych, np. tabliczka znamionowa umieszczona na kotle na paliwo stałe, które będą wprowadzane do CEEB przez osoby wskazane w art. 27b ust. 1 pkt 1–4 i 9 ustawy z dnia 21 listopada 2008 r. o wspieraniu termomodernizacji i remontów oraz o centralnej ewidencji emisyjności budynków;</w:t>
            </w:r>
          </w:p>
          <w:p w14:paraId="4C42FB6D" w14:textId="0EA8C4FB" w:rsidR="00F97537" w:rsidRPr="00F97537" w:rsidRDefault="00902F0F" w:rsidP="00F97537">
            <w:pPr>
              <w:pStyle w:val="Akapitzlist"/>
              <w:numPr>
                <w:ilvl w:val="0"/>
                <w:numId w:val="2"/>
              </w:numPr>
              <w:spacing w:line="240" w:lineRule="auto"/>
              <w:jc w:val="both"/>
              <w:rPr>
                <w:rFonts w:ascii="Times New Roman" w:hAnsi="Times New Roman"/>
                <w:color w:val="000000"/>
                <w:spacing w:val="-2"/>
              </w:rPr>
            </w:pPr>
            <w:r w:rsidRPr="00F97537">
              <w:rPr>
                <w:rFonts w:ascii="Times New Roman" w:hAnsi="Times New Roman"/>
                <w:color w:val="000000"/>
                <w:spacing w:val="-2"/>
              </w:rPr>
              <w:t>obejmujących:</w:t>
            </w:r>
          </w:p>
          <w:p w14:paraId="5502A4A9" w14:textId="53D46F62" w:rsidR="00902F0F" w:rsidRDefault="00902F0F" w:rsidP="00F97537">
            <w:pPr>
              <w:pStyle w:val="Akapitzlist"/>
              <w:numPr>
                <w:ilvl w:val="0"/>
                <w:numId w:val="3"/>
              </w:numPr>
              <w:spacing w:line="240" w:lineRule="auto"/>
              <w:ind w:left="774" w:hanging="425"/>
              <w:contextualSpacing w:val="0"/>
              <w:jc w:val="both"/>
              <w:rPr>
                <w:rFonts w:ascii="Times New Roman" w:hAnsi="Times New Roman"/>
                <w:color w:val="000000"/>
                <w:spacing w:val="-2"/>
              </w:rPr>
            </w:pPr>
            <w:r w:rsidRPr="001F1998">
              <w:rPr>
                <w:rFonts w:ascii="Times New Roman" w:hAnsi="Times New Roman"/>
                <w:color w:val="000000"/>
                <w:spacing w:val="-2"/>
              </w:rPr>
              <w:t>datę</w:t>
            </w:r>
            <w:r w:rsidR="00983AAF">
              <w:rPr>
                <w:rFonts w:ascii="Times New Roman" w:hAnsi="Times New Roman"/>
                <w:color w:val="000000"/>
                <w:spacing w:val="-2"/>
              </w:rPr>
              <w:t>, uczestników</w:t>
            </w:r>
            <w:r w:rsidR="0085721E">
              <w:rPr>
                <w:rFonts w:ascii="Times New Roman" w:hAnsi="Times New Roman"/>
                <w:color w:val="000000"/>
                <w:spacing w:val="-2"/>
              </w:rPr>
              <w:t>, zakres</w:t>
            </w:r>
            <w:r w:rsidRPr="001F1998">
              <w:rPr>
                <w:rFonts w:ascii="Times New Roman" w:hAnsi="Times New Roman"/>
                <w:color w:val="000000"/>
                <w:spacing w:val="-2"/>
              </w:rPr>
              <w:t xml:space="preserve"> i wynik kontroli przewodów kominowych (dymowych, spalinowych i wentylacyjnych), o której mowa w art. 62 ust. 1 pkt 1 lit. c ustawy z dnia 7 lipca 1994 r. – Prawo budowlane (Dz. U. z 202</w:t>
            </w:r>
            <w:r w:rsidR="0085721E">
              <w:rPr>
                <w:rFonts w:ascii="Times New Roman" w:hAnsi="Times New Roman"/>
                <w:color w:val="000000"/>
                <w:spacing w:val="-2"/>
              </w:rPr>
              <w:t>3</w:t>
            </w:r>
            <w:r w:rsidRPr="001F1998">
              <w:rPr>
                <w:rFonts w:ascii="Times New Roman" w:hAnsi="Times New Roman"/>
                <w:color w:val="000000"/>
                <w:spacing w:val="-2"/>
              </w:rPr>
              <w:t xml:space="preserve"> r. poz.</w:t>
            </w:r>
            <w:r w:rsidR="0085721E">
              <w:rPr>
                <w:rFonts w:ascii="Times New Roman" w:hAnsi="Times New Roman"/>
                <w:color w:val="000000"/>
                <w:spacing w:val="-2"/>
              </w:rPr>
              <w:t xml:space="preserve"> 682</w:t>
            </w:r>
            <w:r w:rsidRPr="001F1998">
              <w:rPr>
                <w:rFonts w:ascii="Times New Roman" w:hAnsi="Times New Roman"/>
                <w:color w:val="000000"/>
                <w:spacing w:val="-2"/>
              </w:rPr>
              <w:t xml:space="preserve">) </w:t>
            </w:r>
            <w:r w:rsidR="0085721E">
              <w:rPr>
                <w:rFonts w:ascii="Times New Roman" w:hAnsi="Times New Roman"/>
                <w:color w:val="000000"/>
                <w:spacing w:val="-2"/>
              </w:rPr>
              <w:t>–</w:t>
            </w:r>
            <w:r w:rsidRPr="001F1998">
              <w:rPr>
                <w:rFonts w:ascii="Times New Roman" w:hAnsi="Times New Roman"/>
                <w:color w:val="000000"/>
                <w:spacing w:val="-2"/>
              </w:rPr>
              <w:t xml:space="preserve"> które są wprowadzane do CEEB przez osoby wskazane w art. 27b ust. 1 pkt 4 i 9 ustawy z dnia 21</w:t>
            </w:r>
            <w:r w:rsidR="002513EE">
              <w:rPr>
                <w:rFonts w:ascii="Times New Roman" w:hAnsi="Times New Roman"/>
                <w:color w:val="000000"/>
                <w:spacing w:val="-2"/>
              </w:rPr>
              <w:t> </w:t>
            </w:r>
            <w:r w:rsidRPr="001F1998">
              <w:rPr>
                <w:rFonts w:ascii="Times New Roman" w:hAnsi="Times New Roman"/>
                <w:color w:val="000000"/>
                <w:spacing w:val="-2"/>
              </w:rPr>
              <w:t>listopada 2008</w:t>
            </w:r>
            <w:r w:rsidR="0085721E">
              <w:rPr>
                <w:rFonts w:ascii="Times New Roman" w:hAnsi="Times New Roman"/>
                <w:color w:val="000000"/>
                <w:spacing w:val="-2"/>
              </w:rPr>
              <w:t> </w:t>
            </w:r>
            <w:r w:rsidRPr="001F1998">
              <w:rPr>
                <w:rFonts w:ascii="Times New Roman" w:hAnsi="Times New Roman"/>
                <w:color w:val="000000"/>
                <w:spacing w:val="-2"/>
              </w:rPr>
              <w:t xml:space="preserve">r. o wspieraniu termomodernizacji i remontów </w:t>
            </w:r>
            <w:r w:rsidR="001F1998" w:rsidRPr="00902F0F">
              <w:rPr>
                <w:rFonts w:ascii="Times New Roman" w:hAnsi="Times New Roman"/>
                <w:color w:val="000000"/>
              </w:rPr>
              <w:t>oraz o centralnej ewidencji emisyjności budynków</w:t>
            </w:r>
            <w:r w:rsidR="00D20FE8">
              <w:rPr>
                <w:rFonts w:ascii="Times New Roman" w:hAnsi="Times New Roman"/>
                <w:color w:val="000000"/>
                <w:spacing w:val="-2"/>
              </w:rPr>
              <w:t>,</w:t>
            </w:r>
          </w:p>
          <w:p w14:paraId="50DAAAE9" w14:textId="3B44697A" w:rsidR="0085721E" w:rsidRPr="0085721E" w:rsidRDefault="0085721E" w:rsidP="0085721E">
            <w:pPr>
              <w:pStyle w:val="Akapitzlist"/>
              <w:numPr>
                <w:ilvl w:val="0"/>
                <w:numId w:val="3"/>
              </w:numPr>
              <w:spacing w:line="240" w:lineRule="auto"/>
              <w:ind w:left="772" w:hanging="423"/>
              <w:contextualSpacing w:val="0"/>
              <w:jc w:val="both"/>
              <w:rPr>
                <w:rFonts w:ascii="Times New Roman" w:hAnsi="Times New Roman"/>
                <w:color w:val="000000"/>
                <w:spacing w:val="-2"/>
              </w:rPr>
            </w:pPr>
            <w:r w:rsidRPr="0085721E">
              <w:rPr>
                <w:rFonts w:ascii="Times New Roman" w:hAnsi="Times New Roman"/>
                <w:color w:val="000000"/>
                <w:spacing w:val="-2"/>
              </w:rPr>
              <w:t>datę, uczestników i wynik kontroli, o której mowa w art. 9u ustawy z dnia 13 września 1996 r. o utrzymaniu czystości i porządku w gminach (Dz. U. z 2022 r. poz. 2519, z późn. zm.), w zakresie gospodarowania odpadami komunalnymi, odprowadzania nieczystości ciekłych oraz parametrów technicznych budynku lub lokalu   które są wprowadzane do CEEB przez osoby wskazane w art. 27b ust. 1 pkt 2 ustawy z dnia 21 listopada 2008 r. o wspieraniu termomodernizacji i remontów oraz o centralnej ewidencji emisyjności budynków,</w:t>
            </w:r>
          </w:p>
          <w:p w14:paraId="422EBA19" w14:textId="13E116E7" w:rsidR="0085721E" w:rsidRPr="0085721E" w:rsidRDefault="0085721E" w:rsidP="0085721E">
            <w:pPr>
              <w:pStyle w:val="Akapitzlist"/>
              <w:numPr>
                <w:ilvl w:val="0"/>
                <w:numId w:val="3"/>
              </w:numPr>
              <w:spacing w:line="240" w:lineRule="auto"/>
              <w:ind w:left="772"/>
              <w:contextualSpacing w:val="0"/>
              <w:jc w:val="both"/>
              <w:rPr>
                <w:rFonts w:ascii="Times New Roman" w:hAnsi="Times New Roman"/>
                <w:color w:val="000000"/>
                <w:spacing w:val="-2"/>
              </w:rPr>
            </w:pPr>
            <w:r w:rsidRPr="0085721E">
              <w:rPr>
                <w:rFonts w:ascii="Times New Roman" w:hAnsi="Times New Roman"/>
                <w:color w:val="000000"/>
                <w:spacing w:val="-2"/>
              </w:rPr>
              <w:t>datę, uczestników i wynik kontroli, o której mowa w art. 379 ust. 1 ustawy z dnia 27 kwietnia 2001 r. – Prawo ochrony środowiska (Dz. U. z 2022 r. poz. 2556, z późn. zm. ), w zakresie: źródeł spalania paliw oraz rodzaju wykorzystywanego paliwa, spełnienia wymagań określonych w uchwale, o której mowa w art. 96 ust. 1 tej ustawy, ustalenia wysokości należnej opłaty za korzystanie ze środowiska, o której mowa w art. 284 ust. 1 tej ustawy oraz parametrów technicznych budynku lub lokalu– które są wprowadzane do CEEB przez osoby wskazane w art. 27b ust. 1 pkt 1 ustawy z dnia 21 listopada 2008 r. o wspieraniu termomodernizacji i remontów oraz o centralnej ewidencji emisyjności budynków,</w:t>
            </w:r>
          </w:p>
          <w:p w14:paraId="5D9CA5D7" w14:textId="7BD27BA4" w:rsidR="00902F0F" w:rsidRDefault="00902F0F" w:rsidP="002A3F0C">
            <w:pPr>
              <w:pStyle w:val="Akapitzlist"/>
              <w:numPr>
                <w:ilvl w:val="0"/>
                <w:numId w:val="3"/>
              </w:numPr>
              <w:spacing w:line="240" w:lineRule="auto"/>
              <w:ind w:left="772"/>
              <w:contextualSpacing w:val="0"/>
              <w:jc w:val="both"/>
              <w:rPr>
                <w:rFonts w:ascii="Times New Roman" w:hAnsi="Times New Roman"/>
                <w:color w:val="000000"/>
                <w:spacing w:val="-2"/>
              </w:rPr>
            </w:pPr>
            <w:r w:rsidRPr="00D20FE8">
              <w:rPr>
                <w:rFonts w:ascii="Times New Roman" w:hAnsi="Times New Roman"/>
                <w:color w:val="000000"/>
                <w:spacing w:val="-2"/>
              </w:rPr>
              <w:t xml:space="preserve">dane o przyznanej premii, </w:t>
            </w:r>
            <w:r w:rsidR="000D1725" w:rsidRPr="000D1725">
              <w:rPr>
                <w:rFonts w:ascii="Times New Roman" w:hAnsi="Times New Roman"/>
                <w:color w:val="000000"/>
                <w:spacing w:val="-2"/>
              </w:rPr>
              <w:t xml:space="preserve">grancie MZG lub OZE, </w:t>
            </w:r>
            <w:r w:rsidRPr="00D20FE8">
              <w:rPr>
                <w:rFonts w:ascii="Times New Roman" w:hAnsi="Times New Roman"/>
                <w:color w:val="000000"/>
                <w:spacing w:val="-2"/>
              </w:rPr>
              <w:t xml:space="preserve">udzielonej uldze podatkowej lub udzielonym ze środków publicznych dofinansowaniu przedsięwzięć związanych z ochroną powietrza, w zakresie: rodzaju i kwoty udzielonego </w:t>
            </w:r>
            <w:r w:rsidR="000D1725">
              <w:rPr>
                <w:rFonts w:ascii="Times New Roman" w:hAnsi="Times New Roman"/>
                <w:color w:val="000000"/>
                <w:spacing w:val="-2"/>
              </w:rPr>
              <w:t>wsparcia</w:t>
            </w:r>
            <w:r w:rsidRPr="00D20FE8">
              <w:rPr>
                <w:rFonts w:ascii="Times New Roman" w:hAnsi="Times New Roman"/>
                <w:color w:val="000000"/>
                <w:spacing w:val="-2"/>
              </w:rPr>
              <w:t>, całkowitego kosztu przedsięwzięcia, przedmiotu i źródła dofinansowania, okresu trwałości przedsięwzięcia w</w:t>
            </w:r>
            <w:r w:rsidR="002513EE">
              <w:rPr>
                <w:rFonts w:ascii="Times New Roman" w:hAnsi="Times New Roman"/>
                <w:color w:val="000000"/>
                <w:spacing w:val="-2"/>
              </w:rPr>
              <w:t> </w:t>
            </w:r>
            <w:r w:rsidRPr="00D20FE8">
              <w:rPr>
                <w:rFonts w:ascii="Times New Roman" w:hAnsi="Times New Roman"/>
                <w:color w:val="000000"/>
                <w:spacing w:val="-2"/>
              </w:rPr>
              <w:t xml:space="preserve">ramach, którego udzielono </w:t>
            </w:r>
            <w:r w:rsidR="000D1725">
              <w:rPr>
                <w:rFonts w:ascii="Times New Roman" w:hAnsi="Times New Roman"/>
                <w:color w:val="000000"/>
                <w:spacing w:val="-2"/>
              </w:rPr>
              <w:t xml:space="preserve">wsparcia finansowego – </w:t>
            </w:r>
            <w:r w:rsidRPr="00D20FE8">
              <w:rPr>
                <w:rFonts w:ascii="Times New Roman" w:hAnsi="Times New Roman"/>
                <w:color w:val="000000"/>
                <w:spacing w:val="-2"/>
              </w:rPr>
              <w:t xml:space="preserve">które są wprowadzane do CEEB przez osoby wskazane w art. 27b ust. 1 pkt 5-7 ustawy z dnia 21 listopada 2008 r. o wspieraniu termomodernizacji i remontów </w:t>
            </w:r>
            <w:r w:rsidR="005507B4" w:rsidRPr="001F1998">
              <w:rPr>
                <w:rFonts w:ascii="Times New Roman" w:hAnsi="Times New Roman"/>
                <w:color w:val="000000"/>
              </w:rPr>
              <w:t>oraz o centralnej ewidencji emisyjności budynków</w:t>
            </w:r>
            <w:r w:rsidR="005507B4">
              <w:rPr>
                <w:rFonts w:ascii="Times New Roman" w:hAnsi="Times New Roman"/>
                <w:color w:val="000000"/>
                <w:spacing w:val="-2"/>
              </w:rPr>
              <w:t>,</w:t>
            </w:r>
          </w:p>
          <w:p w14:paraId="5D930A5C" w14:textId="47DD2B98" w:rsidR="00902F0F" w:rsidRPr="005507B4" w:rsidRDefault="00983AAF" w:rsidP="002A3F0C">
            <w:pPr>
              <w:pStyle w:val="Akapitzlist"/>
              <w:numPr>
                <w:ilvl w:val="0"/>
                <w:numId w:val="3"/>
              </w:numPr>
              <w:spacing w:line="240" w:lineRule="auto"/>
              <w:ind w:left="772"/>
              <w:contextualSpacing w:val="0"/>
              <w:jc w:val="both"/>
              <w:rPr>
                <w:rFonts w:ascii="Times New Roman" w:hAnsi="Times New Roman"/>
                <w:color w:val="000000"/>
                <w:spacing w:val="-2"/>
              </w:rPr>
            </w:pPr>
            <w:r>
              <w:rPr>
                <w:rFonts w:ascii="Times New Roman" w:hAnsi="Times New Roman"/>
                <w:color w:val="000000"/>
                <w:spacing w:val="-2"/>
              </w:rPr>
              <w:t xml:space="preserve">uczestników i </w:t>
            </w:r>
            <w:r w:rsidR="00902F0F" w:rsidRPr="005507B4">
              <w:rPr>
                <w:rFonts w:ascii="Times New Roman" w:hAnsi="Times New Roman"/>
                <w:color w:val="000000"/>
                <w:spacing w:val="-2"/>
              </w:rPr>
              <w:t xml:space="preserve">datę kontroli, o której mowa w art. 9 ust. 1 ustawy z dnia 20 lipca 1991 r. o Inspekcji Ochrony Środowiska </w:t>
            </w:r>
            <w:r w:rsidR="005507B4" w:rsidRPr="005507B4">
              <w:rPr>
                <w:rFonts w:ascii="Times New Roman" w:hAnsi="Times New Roman"/>
                <w:color w:val="000000"/>
                <w:spacing w:val="-2"/>
              </w:rPr>
              <w:t>(</w:t>
            </w:r>
            <w:r w:rsidR="005507B4" w:rsidRPr="005507B4">
              <w:rPr>
                <w:rFonts w:ascii="Times New Roman" w:hAnsi="Times New Roman"/>
              </w:rPr>
              <w:t>Dz.</w:t>
            </w:r>
            <w:r w:rsidR="005507B4">
              <w:rPr>
                <w:rFonts w:ascii="Times New Roman" w:hAnsi="Times New Roman"/>
              </w:rPr>
              <w:t xml:space="preserve"> </w:t>
            </w:r>
            <w:r w:rsidR="005507B4" w:rsidRPr="005507B4">
              <w:rPr>
                <w:rFonts w:ascii="Times New Roman" w:hAnsi="Times New Roman"/>
              </w:rPr>
              <w:t>U. z</w:t>
            </w:r>
            <w:r w:rsidR="005507B4">
              <w:rPr>
                <w:rFonts w:ascii="Times New Roman" w:hAnsi="Times New Roman"/>
              </w:rPr>
              <w:t xml:space="preserve"> </w:t>
            </w:r>
            <w:r w:rsidR="005507B4" w:rsidRPr="005507B4">
              <w:rPr>
                <w:rFonts w:ascii="Times New Roman" w:hAnsi="Times New Roman"/>
              </w:rPr>
              <w:t>2021</w:t>
            </w:r>
            <w:r w:rsidR="005507B4">
              <w:rPr>
                <w:rFonts w:ascii="Times New Roman" w:hAnsi="Times New Roman"/>
              </w:rPr>
              <w:t xml:space="preserve"> </w:t>
            </w:r>
            <w:r w:rsidR="005507B4" w:rsidRPr="005507B4">
              <w:rPr>
                <w:rFonts w:ascii="Times New Roman" w:hAnsi="Times New Roman"/>
              </w:rPr>
              <w:t>r. poz. 1070</w:t>
            </w:r>
            <w:r w:rsidR="005507B4">
              <w:rPr>
                <w:rFonts w:ascii="Times New Roman" w:hAnsi="Times New Roman"/>
              </w:rPr>
              <w:t>, z późn. zm.</w:t>
            </w:r>
            <w:r w:rsidR="005507B4" w:rsidRPr="005507B4">
              <w:rPr>
                <w:rFonts w:ascii="Times New Roman" w:hAnsi="Times New Roman"/>
              </w:rPr>
              <w:t>)</w:t>
            </w:r>
            <w:r w:rsidR="00902F0F" w:rsidRPr="005507B4">
              <w:rPr>
                <w:rFonts w:ascii="Times New Roman" w:hAnsi="Times New Roman"/>
                <w:color w:val="000000"/>
                <w:spacing w:val="-2"/>
              </w:rPr>
              <w:t xml:space="preserve"> - które są wprowadzane do CEEB przez osoby wskazane w</w:t>
            </w:r>
            <w:r w:rsidR="002513EE">
              <w:rPr>
                <w:rFonts w:ascii="Times New Roman" w:hAnsi="Times New Roman"/>
                <w:color w:val="000000"/>
                <w:spacing w:val="-2"/>
              </w:rPr>
              <w:t> </w:t>
            </w:r>
            <w:r w:rsidR="00902F0F" w:rsidRPr="005507B4">
              <w:rPr>
                <w:rFonts w:ascii="Times New Roman" w:hAnsi="Times New Roman"/>
                <w:color w:val="000000"/>
                <w:spacing w:val="-2"/>
              </w:rPr>
              <w:t xml:space="preserve">art. 27b ust. 1 pkt 3 i 9 ustawy z dnia 21 listopada 2008 r. o wspieraniu termomodernizacji i remontów </w:t>
            </w:r>
            <w:r w:rsidR="005507B4" w:rsidRPr="005507B4">
              <w:rPr>
                <w:rFonts w:ascii="Times New Roman" w:hAnsi="Times New Roman"/>
                <w:color w:val="000000"/>
              </w:rPr>
              <w:t>oraz o</w:t>
            </w:r>
            <w:r w:rsidR="002513EE">
              <w:rPr>
                <w:rFonts w:ascii="Times New Roman" w:hAnsi="Times New Roman"/>
                <w:color w:val="000000"/>
              </w:rPr>
              <w:t> </w:t>
            </w:r>
            <w:r w:rsidR="005507B4" w:rsidRPr="005507B4">
              <w:rPr>
                <w:rFonts w:ascii="Times New Roman" w:hAnsi="Times New Roman"/>
                <w:color w:val="000000"/>
              </w:rPr>
              <w:t>centralnej ewidencji emisyjności budynków</w:t>
            </w:r>
            <w:r w:rsidR="005507B4" w:rsidRPr="005507B4">
              <w:rPr>
                <w:rFonts w:ascii="Times New Roman" w:hAnsi="Times New Roman"/>
                <w:color w:val="000000"/>
                <w:spacing w:val="-2"/>
              </w:rPr>
              <w:t>,</w:t>
            </w:r>
          </w:p>
          <w:p w14:paraId="6D0162C8" w14:textId="45BD2869" w:rsidR="00902F0F" w:rsidRPr="005507B4" w:rsidRDefault="00902F0F" w:rsidP="002A3F0C">
            <w:pPr>
              <w:pStyle w:val="Akapitzlist"/>
              <w:numPr>
                <w:ilvl w:val="0"/>
                <w:numId w:val="3"/>
              </w:numPr>
              <w:spacing w:line="240" w:lineRule="auto"/>
              <w:ind w:left="772"/>
              <w:contextualSpacing w:val="0"/>
              <w:jc w:val="both"/>
              <w:rPr>
                <w:rFonts w:ascii="Times New Roman" w:hAnsi="Times New Roman"/>
                <w:color w:val="000000"/>
                <w:spacing w:val="-2"/>
              </w:rPr>
            </w:pPr>
            <w:r w:rsidRPr="005507B4">
              <w:rPr>
                <w:rFonts w:ascii="Times New Roman" w:hAnsi="Times New Roman"/>
                <w:color w:val="000000"/>
                <w:spacing w:val="-2"/>
              </w:rPr>
              <w:t xml:space="preserve">datę i wynik kontroli, o której mowa w art. 23 ust. 1 pkt 1 ustawy z dnia </w:t>
            </w:r>
            <w:r w:rsidR="005507B4" w:rsidRPr="005507B4">
              <w:rPr>
                <w:rFonts w:ascii="Times New Roman" w:hAnsi="Times New Roman"/>
              </w:rPr>
              <w:t>29</w:t>
            </w:r>
            <w:r w:rsidR="005507B4">
              <w:rPr>
                <w:rFonts w:ascii="Times New Roman" w:hAnsi="Times New Roman"/>
              </w:rPr>
              <w:t xml:space="preserve"> </w:t>
            </w:r>
            <w:r w:rsidR="005507B4" w:rsidRPr="005507B4">
              <w:rPr>
                <w:rFonts w:ascii="Times New Roman" w:hAnsi="Times New Roman"/>
              </w:rPr>
              <w:t>sierpnia 2014</w:t>
            </w:r>
            <w:r w:rsidR="005507B4">
              <w:rPr>
                <w:rFonts w:ascii="Times New Roman" w:hAnsi="Times New Roman"/>
              </w:rPr>
              <w:t xml:space="preserve"> </w:t>
            </w:r>
            <w:r w:rsidR="005507B4" w:rsidRPr="005507B4">
              <w:rPr>
                <w:rFonts w:ascii="Times New Roman" w:hAnsi="Times New Roman"/>
              </w:rPr>
              <w:t>r. o</w:t>
            </w:r>
            <w:r w:rsidR="005507B4">
              <w:rPr>
                <w:rFonts w:ascii="Times New Roman" w:hAnsi="Times New Roman"/>
              </w:rPr>
              <w:t xml:space="preserve"> </w:t>
            </w:r>
            <w:r w:rsidR="005507B4" w:rsidRPr="005507B4">
              <w:rPr>
                <w:rFonts w:ascii="Times New Roman" w:hAnsi="Times New Roman"/>
              </w:rPr>
              <w:t>charakterystyce energetycznej budynków (Dz.</w:t>
            </w:r>
            <w:r w:rsidR="005507B4">
              <w:rPr>
                <w:rFonts w:ascii="Times New Roman" w:hAnsi="Times New Roman"/>
              </w:rPr>
              <w:t xml:space="preserve"> </w:t>
            </w:r>
            <w:r w:rsidR="005507B4" w:rsidRPr="005507B4">
              <w:rPr>
                <w:rFonts w:ascii="Times New Roman" w:hAnsi="Times New Roman"/>
              </w:rPr>
              <w:t>U. z</w:t>
            </w:r>
            <w:r w:rsidR="005507B4">
              <w:rPr>
                <w:rFonts w:ascii="Times New Roman" w:hAnsi="Times New Roman"/>
              </w:rPr>
              <w:t xml:space="preserve"> </w:t>
            </w:r>
            <w:r w:rsidR="005507B4" w:rsidRPr="005507B4">
              <w:rPr>
                <w:rFonts w:ascii="Times New Roman" w:hAnsi="Times New Roman"/>
              </w:rPr>
              <w:t>2021</w:t>
            </w:r>
            <w:r w:rsidR="005507B4">
              <w:rPr>
                <w:rFonts w:ascii="Times New Roman" w:hAnsi="Times New Roman"/>
              </w:rPr>
              <w:t xml:space="preserve"> </w:t>
            </w:r>
            <w:r w:rsidR="005507B4" w:rsidRPr="005507B4">
              <w:rPr>
                <w:rFonts w:ascii="Times New Roman" w:hAnsi="Times New Roman"/>
              </w:rPr>
              <w:t>r. poz.</w:t>
            </w:r>
            <w:r w:rsidR="005507B4">
              <w:rPr>
                <w:rFonts w:ascii="Times New Roman" w:hAnsi="Times New Roman"/>
              </w:rPr>
              <w:t xml:space="preserve"> </w:t>
            </w:r>
            <w:r w:rsidR="005507B4" w:rsidRPr="005507B4">
              <w:rPr>
                <w:rFonts w:ascii="Times New Roman" w:hAnsi="Times New Roman"/>
              </w:rPr>
              <w:t>497)</w:t>
            </w:r>
            <w:r w:rsidRPr="005507B4">
              <w:rPr>
                <w:rFonts w:ascii="Times New Roman" w:hAnsi="Times New Roman"/>
                <w:color w:val="000000"/>
                <w:spacing w:val="-2"/>
              </w:rPr>
              <w:t xml:space="preserve">, w zakresie: powierzchni </w:t>
            </w:r>
            <w:r w:rsidR="002513EE">
              <w:rPr>
                <w:rFonts w:ascii="Times New Roman" w:hAnsi="Times New Roman"/>
                <w:color w:val="000000"/>
                <w:spacing w:val="-2"/>
              </w:rPr>
              <w:t>całkowitej</w:t>
            </w:r>
            <w:r w:rsidR="002513EE" w:rsidRPr="005507B4">
              <w:rPr>
                <w:rFonts w:ascii="Times New Roman" w:hAnsi="Times New Roman"/>
                <w:color w:val="000000"/>
                <w:spacing w:val="-2"/>
              </w:rPr>
              <w:t xml:space="preserve"> </w:t>
            </w:r>
            <w:r w:rsidRPr="005507B4">
              <w:rPr>
                <w:rFonts w:ascii="Times New Roman" w:hAnsi="Times New Roman"/>
                <w:color w:val="000000"/>
                <w:spacing w:val="-2"/>
              </w:rPr>
              <w:t>budynku, roku produkcji kotła, roku wykonania systemu ogrzewania, mocy nominalnej kotła, przeznaczenia kotła, sprawności przy mocy nominalnej oraz alternatywnego źródła ciepła - które są pozyskiwane automatycznie z</w:t>
            </w:r>
            <w:r w:rsidR="002513EE">
              <w:rPr>
                <w:rFonts w:ascii="Times New Roman" w:hAnsi="Times New Roman"/>
                <w:color w:val="000000"/>
                <w:spacing w:val="-2"/>
              </w:rPr>
              <w:t> </w:t>
            </w:r>
            <w:r w:rsidRPr="005507B4">
              <w:rPr>
                <w:rFonts w:ascii="Times New Roman" w:hAnsi="Times New Roman"/>
                <w:color w:val="000000"/>
                <w:spacing w:val="-2"/>
              </w:rPr>
              <w:t>centralnego rejestru charakterystyki energetycznej budynków</w:t>
            </w:r>
            <w:r w:rsidR="005507B4" w:rsidRPr="005507B4">
              <w:rPr>
                <w:rFonts w:ascii="Times New Roman" w:hAnsi="Times New Roman"/>
                <w:color w:val="000000"/>
                <w:spacing w:val="-2"/>
              </w:rPr>
              <w:t>,</w:t>
            </w:r>
          </w:p>
          <w:p w14:paraId="69377A0E" w14:textId="297F224C" w:rsidR="00902F0F" w:rsidRPr="002513EE" w:rsidRDefault="00902F0F">
            <w:pPr>
              <w:pStyle w:val="Akapitzlist"/>
              <w:numPr>
                <w:ilvl w:val="0"/>
                <w:numId w:val="3"/>
              </w:numPr>
              <w:spacing w:line="240" w:lineRule="auto"/>
              <w:ind w:left="772"/>
              <w:contextualSpacing w:val="0"/>
              <w:jc w:val="both"/>
              <w:rPr>
                <w:rFonts w:ascii="Times New Roman" w:hAnsi="Times New Roman"/>
                <w:color w:val="000000"/>
                <w:spacing w:val="-2"/>
              </w:rPr>
            </w:pPr>
            <w:r w:rsidRPr="005507B4">
              <w:rPr>
                <w:rFonts w:ascii="Times New Roman" w:hAnsi="Times New Roman"/>
                <w:color w:val="000000"/>
                <w:spacing w:val="-2"/>
              </w:rPr>
              <w:t xml:space="preserve">sporządzone świadectwo charakterystyki energetycznej budynku, o którym mowa w art. 3 ust. 1 i 2 ustawy z dnia </w:t>
            </w:r>
            <w:r w:rsidR="005507B4">
              <w:rPr>
                <w:rFonts w:ascii="Times New Roman" w:hAnsi="Times New Roman"/>
                <w:color w:val="000000"/>
                <w:spacing w:val="-2"/>
              </w:rPr>
              <w:t>2</w:t>
            </w:r>
            <w:r w:rsidRPr="005507B4">
              <w:rPr>
                <w:rFonts w:ascii="Times New Roman" w:hAnsi="Times New Roman"/>
                <w:color w:val="000000"/>
                <w:spacing w:val="-2"/>
              </w:rPr>
              <w:t xml:space="preserve">9 </w:t>
            </w:r>
            <w:r w:rsidR="005507B4">
              <w:rPr>
                <w:rFonts w:ascii="Times New Roman" w:hAnsi="Times New Roman"/>
                <w:color w:val="000000"/>
                <w:spacing w:val="-2"/>
              </w:rPr>
              <w:t>sierpnia</w:t>
            </w:r>
            <w:r w:rsidRPr="005507B4">
              <w:rPr>
                <w:rFonts w:ascii="Times New Roman" w:hAnsi="Times New Roman"/>
                <w:color w:val="000000"/>
                <w:spacing w:val="-2"/>
              </w:rPr>
              <w:t xml:space="preserve"> 2014 r. o charakterystyce energetycznej budynków, w zakresie:</w:t>
            </w:r>
            <w:r w:rsidR="00983AAF">
              <w:rPr>
                <w:rFonts w:ascii="Times New Roman" w:hAnsi="Times New Roman"/>
                <w:color w:val="000000"/>
                <w:spacing w:val="-2"/>
              </w:rPr>
              <w:t xml:space="preserve"> </w:t>
            </w:r>
            <w:r w:rsidR="00983AAF" w:rsidRPr="002513EE">
              <w:rPr>
                <w:rFonts w:ascii="Times New Roman" w:hAnsi="Times New Roman"/>
                <w:color w:val="000000"/>
                <w:spacing w:val="-2"/>
              </w:rPr>
              <w:t>numeru świadectwa charakterystyki energetycznej budynku lub części budynku,</w:t>
            </w:r>
            <w:r w:rsidR="00983AAF">
              <w:rPr>
                <w:rFonts w:ascii="Times New Roman" w:hAnsi="Times New Roman"/>
                <w:color w:val="000000"/>
                <w:spacing w:val="-2"/>
              </w:rPr>
              <w:t xml:space="preserve"> </w:t>
            </w:r>
            <w:r w:rsidR="00983AAF" w:rsidRPr="002513EE">
              <w:rPr>
                <w:rFonts w:ascii="Times New Roman" w:hAnsi="Times New Roman"/>
                <w:color w:val="000000"/>
                <w:spacing w:val="-2"/>
              </w:rPr>
              <w:t>daty wystawienia świadectwa charakterystyki energetycznej budynku lub części budynku,</w:t>
            </w:r>
            <w:r w:rsidR="00983AAF">
              <w:rPr>
                <w:rFonts w:ascii="Times New Roman" w:hAnsi="Times New Roman"/>
                <w:color w:val="000000"/>
                <w:spacing w:val="-2"/>
              </w:rPr>
              <w:t xml:space="preserve"> </w:t>
            </w:r>
            <w:r w:rsidRPr="002513EE">
              <w:rPr>
                <w:rFonts w:ascii="Times New Roman" w:hAnsi="Times New Roman"/>
                <w:color w:val="000000"/>
                <w:spacing w:val="-2"/>
              </w:rPr>
              <w:t xml:space="preserve">współczynnika przenikania ciepła przegród </w:t>
            </w:r>
            <w:r w:rsidR="00207195">
              <w:rPr>
                <w:rFonts w:ascii="Times New Roman" w:hAnsi="Times New Roman"/>
                <w:color w:val="000000"/>
                <w:spacing w:val="-2"/>
              </w:rPr>
              <w:t>U</w:t>
            </w:r>
            <w:r w:rsidRPr="002513EE">
              <w:rPr>
                <w:rFonts w:ascii="Times New Roman" w:hAnsi="Times New Roman"/>
                <w:color w:val="000000"/>
                <w:spacing w:val="-2"/>
              </w:rPr>
              <w:t>, systemu ogrzewczego, w tym wytwarzania, przesyłu, akumulacji, regulacji i wykorzystania ciepła, systemu przygotowania ciepłej wody użytkowej, w tym wytwarzania, przesyłu, akumulacji, regulacji i wykorzystania ciepła oraz powierzchni pomieszczeń o regulowanej temperaturze powietrza - które są pozyskiwane automatycznie z centralnego rejestru charakterystyki energetycznej budynków</w:t>
            </w:r>
            <w:r w:rsidR="005507B4" w:rsidRPr="002513EE">
              <w:rPr>
                <w:rFonts w:ascii="Times New Roman" w:hAnsi="Times New Roman"/>
                <w:color w:val="000000"/>
                <w:spacing w:val="-2"/>
              </w:rPr>
              <w:t>,</w:t>
            </w:r>
          </w:p>
          <w:p w14:paraId="32E35788" w14:textId="6F9B0C32" w:rsidR="0085721E" w:rsidRPr="0085721E" w:rsidRDefault="0085721E" w:rsidP="0085721E">
            <w:pPr>
              <w:pStyle w:val="Akapitzlist"/>
              <w:numPr>
                <w:ilvl w:val="0"/>
                <w:numId w:val="3"/>
              </w:numPr>
              <w:spacing w:line="240" w:lineRule="auto"/>
              <w:ind w:left="772"/>
              <w:contextualSpacing w:val="0"/>
              <w:jc w:val="both"/>
              <w:rPr>
                <w:rFonts w:ascii="Times New Roman" w:hAnsi="Times New Roman"/>
                <w:color w:val="000000"/>
                <w:spacing w:val="-2"/>
              </w:rPr>
            </w:pPr>
            <w:r w:rsidRPr="0085721E">
              <w:rPr>
                <w:rFonts w:ascii="Times New Roman" w:hAnsi="Times New Roman"/>
                <w:color w:val="000000"/>
                <w:spacing w:val="-2"/>
              </w:rPr>
              <w:t>datę usunięcia zanieczyszczenia z przewodów dymowych i spalinowych, o których mowa w przepisach wydanych na podstawie art. 13 ust. 1 ustawy z dnia 24 sierpnia 1991 r. o ochronie przeciwpożarowej (Dz. U. z 2022 r. poz. 2057) – które są wprowadzane do CEEB przez osoby wskazane w art. 27b ust. 1 pkt 4 i 9 ustawy z dnia 21 listopada 2008 r. o wspieraniu termomodernizacji i remontów oraz o centralnej ewidencji emisyjności budynków,</w:t>
            </w:r>
          </w:p>
          <w:p w14:paraId="0FA306F1" w14:textId="0AE760F6" w:rsidR="00983AAF" w:rsidRPr="003F5A9A" w:rsidRDefault="00902F0F" w:rsidP="003F5A9A">
            <w:pPr>
              <w:pStyle w:val="Akapitzlist"/>
              <w:numPr>
                <w:ilvl w:val="0"/>
                <w:numId w:val="3"/>
              </w:numPr>
              <w:spacing w:line="240" w:lineRule="auto"/>
              <w:ind w:left="772"/>
              <w:contextualSpacing w:val="0"/>
              <w:jc w:val="both"/>
              <w:rPr>
                <w:rFonts w:ascii="Times New Roman" w:hAnsi="Times New Roman"/>
                <w:color w:val="000000"/>
                <w:spacing w:val="-2"/>
              </w:rPr>
            </w:pPr>
            <w:r w:rsidRPr="003E2B53">
              <w:rPr>
                <w:rFonts w:ascii="Times New Roman" w:hAnsi="Times New Roman"/>
                <w:color w:val="000000"/>
                <w:spacing w:val="-2"/>
              </w:rPr>
              <w:t>dane o przyznanych świadczeniach z pomocy społecznej lub innych formach wsparcia finansowego ze środków publicznych w zakresie: formy przyznanego świadczenia (świadczenie pieniężne lub inna forma realizacji świadczenia), kwoty przyznanego świadczenia pieniężnego, daty przyznania świadczenia oraz szczegółowego celu przyznanego świadczenia (na: opał, gaz, energię elektryczną, ciepło z sieci ciepłowniczej) - które są wprowadzane do CEEB przez osoby wskazane w art. 27b ust. 1 pkt 8 ustawy z dnia 21 listopada 2008 r. o wspieraniu termomodernizacji i remontów</w:t>
            </w:r>
            <w:r w:rsidR="005507B4" w:rsidRPr="003E2B53">
              <w:rPr>
                <w:rFonts w:ascii="Times New Roman" w:hAnsi="Times New Roman"/>
                <w:color w:val="000000"/>
                <w:spacing w:val="-2"/>
              </w:rPr>
              <w:t xml:space="preserve"> </w:t>
            </w:r>
            <w:r w:rsidR="005507B4" w:rsidRPr="003E2B53">
              <w:rPr>
                <w:rFonts w:ascii="Times New Roman" w:hAnsi="Times New Roman"/>
                <w:color w:val="000000"/>
              </w:rPr>
              <w:t>oraz o centralnej ewidencji emisyjności budynków</w:t>
            </w:r>
            <w:r w:rsidRPr="003E2B53">
              <w:rPr>
                <w:rFonts w:ascii="Times New Roman" w:hAnsi="Times New Roman"/>
                <w:color w:val="000000"/>
                <w:spacing w:val="-2"/>
              </w:rPr>
              <w:t xml:space="preserve"> </w:t>
            </w:r>
            <w:r w:rsidR="003E2B53" w:rsidRPr="001F1998">
              <w:rPr>
                <w:rFonts w:ascii="Times New Roman" w:hAnsi="Times New Roman"/>
                <w:color w:val="000000"/>
              </w:rPr>
              <w:t>oraz o centralnej ewidencji emisyjności budynków</w:t>
            </w:r>
            <w:r w:rsidRPr="003E2B53">
              <w:rPr>
                <w:rFonts w:ascii="Times New Roman" w:hAnsi="Times New Roman"/>
                <w:color w:val="000000"/>
                <w:spacing w:val="-2"/>
              </w:rPr>
              <w:t>.</w:t>
            </w:r>
          </w:p>
        </w:tc>
      </w:tr>
      <w:tr w:rsidR="006A701A" w:rsidRPr="008B4FE6" w14:paraId="6D168017" w14:textId="77777777" w:rsidTr="00B14A36">
        <w:trPr>
          <w:trHeight w:val="307"/>
        </w:trPr>
        <w:tc>
          <w:tcPr>
            <w:tcW w:w="10944" w:type="dxa"/>
            <w:gridSpan w:val="23"/>
            <w:shd w:val="clear" w:color="auto" w:fill="99CCFF"/>
            <w:vAlign w:val="center"/>
          </w:tcPr>
          <w:p w14:paraId="5A28DF97" w14:textId="4C367EC5" w:rsidR="006A701A" w:rsidRPr="008B4FE6" w:rsidRDefault="007E7549" w:rsidP="002A3F0C">
            <w:pPr>
              <w:numPr>
                <w:ilvl w:val="0"/>
                <w:numId w:val="1"/>
              </w:numPr>
              <w:spacing w:before="60" w:after="60" w:line="240" w:lineRule="auto"/>
              <w:ind w:left="318" w:hanging="284"/>
              <w:jc w:val="both"/>
              <w:rPr>
                <w:rFonts w:ascii="Times New Roman" w:hAnsi="Times New Roman"/>
                <w:b/>
                <w:color w:val="000000"/>
              </w:rPr>
            </w:pPr>
            <w:r>
              <w:rPr>
                <w:rFonts w:ascii="Times New Roman" w:hAnsi="Times New Roman"/>
                <w:b/>
                <w:color w:val="000000"/>
              </w:rPr>
              <w:lastRenderedPageBreak/>
              <w:t>Jak problem został rozwiązany w innych krajach, w szczególności krajach członkowskich OECD/UE?</w:t>
            </w:r>
          </w:p>
        </w:tc>
      </w:tr>
      <w:tr w:rsidR="006A701A" w:rsidRPr="008B4FE6" w14:paraId="21E4E449" w14:textId="77777777" w:rsidTr="00B14A36">
        <w:trPr>
          <w:trHeight w:val="142"/>
        </w:trPr>
        <w:tc>
          <w:tcPr>
            <w:tcW w:w="10944" w:type="dxa"/>
            <w:gridSpan w:val="23"/>
            <w:shd w:val="clear" w:color="auto" w:fill="auto"/>
          </w:tcPr>
          <w:p w14:paraId="4A6DCAB1" w14:textId="0E5EAECE" w:rsidR="00F645FD" w:rsidRPr="00F645FD" w:rsidRDefault="00F645FD" w:rsidP="00F645FD">
            <w:pPr>
              <w:spacing w:line="240" w:lineRule="auto"/>
              <w:jc w:val="both"/>
              <w:rPr>
                <w:rFonts w:ascii="Times New Roman" w:hAnsi="Times New Roman"/>
              </w:rPr>
            </w:pPr>
            <w:r w:rsidRPr="00F645FD">
              <w:rPr>
                <w:rFonts w:ascii="Times New Roman" w:hAnsi="Times New Roman"/>
              </w:rPr>
              <w:lastRenderedPageBreak/>
              <w:t>W krajach, gdzie występuje powszechne zjawisko niskiej emisji związane z eksploatacją urządzeń grzewczych na paliwa stałe w sektorze komunalno-bytowymi (np. Rumunia, Bułgaria, Słowacja, Węgry, Kosowo, Macedonia) przedmiotowy problem nie został dotychczas kompleksowo rozwiązany. Brak jest jednocześnie możliwości wskazania „uniwersalnych” rozwiązań, które zapewnią ograniczenie niskiej emisji, a w konsekwencji poprawę jakości powietrza bez względu na</w:t>
            </w:r>
            <w:r w:rsidR="004673A4">
              <w:rPr>
                <w:rFonts w:ascii="Times New Roman" w:hAnsi="Times New Roman"/>
              </w:rPr>
              <w:t> </w:t>
            </w:r>
            <w:r w:rsidRPr="00F645FD">
              <w:rPr>
                <w:rFonts w:ascii="Times New Roman" w:hAnsi="Times New Roman"/>
              </w:rPr>
              <w:t>występujące uwarunkowania w danym kraju, tj. sytuację gospodarczą, warunki geograficzne i meteorologiczne, czy też skalę zanieczyszczenia. Znaczącą poprawę jakości powietrza w tych krajach będzie można osiągnąć przede wszystkim poprzez ograniczenie poziomu niskiej emisji, co powinno stanowić priorytet w planowanych i realizowanych działaniach naprawczych. Skala i rodzaj problemów związanych z zanieczyszczeniem powietrza w poszczególnych państwach są</w:t>
            </w:r>
            <w:r w:rsidR="004673A4">
              <w:rPr>
                <w:rFonts w:ascii="Times New Roman" w:hAnsi="Times New Roman"/>
              </w:rPr>
              <w:t> </w:t>
            </w:r>
            <w:r w:rsidRPr="00F645FD">
              <w:rPr>
                <w:rFonts w:ascii="Times New Roman" w:hAnsi="Times New Roman"/>
              </w:rPr>
              <w:t>bardzo zróżnicowane, m.in. z uwagi na sytuację gospodarczą, czy też ich położenie geograficzne i powierzchnię. W</w:t>
            </w:r>
            <w:r w:rsidR="004673A4">
              <w:rPr>
                <w:rFonts w:ascii="Times New Roman" w:hAnsi="Times New Roman"/>
              </w:rPr>
              <w:t> </w:t>
            </w:r>
            <w:r w:rsidRPr="00F645FD">
              <w:rPr>
                <w:rFonts w:ascii="Times New Roman" w:hAnsi="Times New Roman"/>
              </w:rPr>
              <w:t>konsekwencji nie ma możliwości wskazania „jedynie słusznej drogi” czy też „złotego środka”, które zapewnią poprawę jakości powietrza bez względu na okoliczności zewnętrzne. N</w:t>
            </w:r>
            <w:r w:rsidR="000B2F97">
              <w:rPr>
                <w:rFonts w:ascii="Times New Roman" w:hAnsi="Times New Roman"/>
              </w:rPr>
              <w:t xml:space="preserve">ajwyższa </w:t>
            </w:r>
            <w:r w:rsidRPr="00F645FD">
              <w:rPr>
                <w:rFonts w:ascii="Times New Roman" w:hAnsi="Times New Roman"/>
              </w:rPr>
              <w:t>I</w:t>
            </w:r>
            <w:r w:rsidR="000B2F97">
              <w:rPr>
                <w:rFonts w:ascii="Times New Roman" w:hAnsi="Times New Roman"/>
              </w:rPr>
              <w:t xml:space="preserve">zba </w:t>
            </w:r>
            <w:r w:rsidRPr="00F645FD">
              <w:rPr>
                <w:rFonts w:ascii="Times New Roman" w:hAnsi="Times New Roman"/>
              </w:rPr>
              <w:t>K</w:t>
            </w:r>
            <w:r w:rsidR="000B2F97">
              <w:rPr>
                <w:rFonts w:ascii="Times New Roman" w:hAnsi="Times New Roman"/>
              </w:rPr>
              <w:t>ontroli</w:t>
            </w:r>
            <w:r w:rsidRPr="00F645FD">
              <w:rPr>
                <w:rFonts w:ascii="Times New Roman" w:hAnsi="Times New Roman"/>
              </w:rPr>
              <w:t xml:space="preserve"> wraz z Naczelnym Organem Kontroli Holandii (Algemene Rekenkamer), podjęły się koordynowania pierwszej międzynarodowej kontroli nt. skuteczności działań na rzecz poprawy jakości powietrza w 14 krajach Europy (Polska, Holandia, Słowacja, Mołdawia, Gruzja, Rumunia, Kosowo, Bułgaria, Macedonia, Albania, Szwajcaria, Hiszpania, Estonia) oraz w Izraelu, która została zaprezentowana w dokumencie pt.: „Joint report on air quality”. Wyniki kontroli międzynarodowej wskazują, że większość krajów aktualnie nie jest przygotowana do wykonania zadań w sposób określony w krajowych rekomendacjach N</w:t>
            </w:r>
            <w:r w:rsidR="000B2F97">
              <w:rPr>
                <w:rFonts w:ascii="Times New Roman" w:hAnsi="Times New Roman"/>
              </w:rPr>
              <w:t xml:space="preserve">ajwyższej </w:t>
            </w:r>
            <w:r w:rsidRPr="00F645FD">
              <w:rPr>
                <w:rFonts w:ascii="Times New Roman" w:hAnsi="Times New Roman"/>
              </w:rPr>
              <w:t>I</w:t>
            </w:r>
            <w:r w:rsidR="000B2F97">
              <w:rPr>
                <w:rFonts w:ascii="Times New Roman" w:hAnsi="Times New Roman"/>
              </w:rPr>
              <w:t xml:space="preserve">zby </w:t>
            </w:r>
            <w:r w:rsidRPr="00F645FD">
              <w:rPr>
                <w:rFonts w:ascii="Times New Roman" w:hAnsi="Times New Roman"/>
              </w:rPr>
              <w:t>K</w:t>
            </w:r>
            <w:r w:rsidR="000B2F97">
              <w:rPr>
                <w:rFonts w:ascii="Times New Roman" w:hAnsi="Times New Roman"/>
              </w:rPr>
              <w:t>ontroli</w:t>
            </w:r>
            <w:r w:rsidRPr="00F645FD">
              <w:rPr>
                <w:rFonts w:ascii="Times New Roman" w:hAnsi="Times New Roman"/>
              </w:rPr>
              <w:t xml:space="preserve"> (vide: pkt 1). Wiele z krajów uczestniczących w audycie znajduje się na początku drogi, która ma prowadzić do poprawy jakości powietrza i nie dysponuje danymi umożliwiającymi adekwatne zaplanowanie działań naprawczych i skuteczne zarządzanie procesem ich wdrażania.</w:t>
            </w:r>
          </w:p>
          <w:p w14:paraId="133CE333" w14:textId="095A8683" w:rsidR="006A701A" w:rsidRPr="00F645FD" w:rsidRDefault="00F645FD" w:rsidP="000B4496">
            <w:pPr>
              <w:spacing w:before="120" w:line="240" w:lineRule="auto"/>
              <w:jc w:val="both"/>
              <w:rPr>
                <w:rFonts w:ascii="Times New Roman" w:hAnsi="Times New Roman"/>
                <w:color w:val="000000"/>
                <w:spacing w:val="-2"/>
              </w:rPr>
            </w:pPr>
            <w:r w:rsidRPr="00F645FD">
              <w:rPr>
                <w:rFonts w:ascii="Times New Roman" w:hAnsi="Times New Roman"/>
              </w:rPr>
              <w:t>W wielu krajach europejskich uruchomiono programy rządowe mające na celu poprawę efektywności energetycznej poprzez modernizację budynków przemysłowych i mieszkalnych. Wsparcie jest dostępne w formie ulg lub dotacji, które mogą być stosowane do izolacji termicznej, wymiany drzwi, modernizacji systemów grzewczych (np. wymiana kotłów) i</w:t>
            </w:r>
            <w:r w:rsidR="004673A4">
              <w:rPr>
                <w:rFonts w:ascii="Times New Roman" w:hAnsi="Times New Roman"/>
              </w:rPr>
              <w:t> </w:t>
            </w:r>
            <w:r w:rsidRPr="00F645FD">
              <w:rPr>
                <w:rFonts w:ascii="Times New Roman" w:hAnsi="Times New Roman"/>
              </w:rPr>
              <w:t>instalacji systemów odzyskiwania energii oraz systemów opartych na odnawialnych źródłach energii. W większości krajów europejskich brak jest jednocześnie systemów gromadzących dane emisyjne na poziomie budynków. W Wielkiej Brytanii dane zostały zebrane w celu ustalenia zapotrzebowania na ciepło – nie gromadzi się danych dla celów emisyjnych. W Austrii w celu lepszego określenia emisji z sektora z budynków opracowano dedykowane 22 wskaźniki emisyjne w</w:t>
            </w:r>
            <w:r w:rsidR="004673A4">
              <w:rPr>
                <w:rFonts w:ascii="Times New Roman" w:hAnsi="Times New Roman"/>
              </w:rPr>
              <w:t> </w:t>
            </w:r>
            <w:r w:rsidRPr="00F645FD">
              <w:rPr>
                <w:rFonts w:ascii="Times New Roman" w:hAnsi="Times New Roman"/>
              </w:rPr>
              <w:t>zależności od źródła ciepła i spalanego paliwa, przy czym dane te dotyczą spalania oleju, gazu, drewna oraz węgla. W</w:t>
            </w:r>
            <w:r w:rsidR="00B14A36">
              <w:rPr>
                <w:rFonts w:ascii="Times New Roman" w:hAnsi="Times New Roman"/>
              </w:rPr>
              <w:t> </w:t>
            </w:r>
            <w:r w:rsidRPr="00F645FD">
              <w:rPr>
                <w:rFonts w:ascii="Times New Roman" w:hAnsi="Times New Roman"/>
              </w:rPr>
              <w:t xml:space="preserve"> przypadku danych dotyczących paliwa stałego w postaci węgla, w Austrii istnieją tylko 2 wskaźniki dla pieca i kotła na paliwo stałe, z tego powodu, że te źródła nie są popularne w tym kraju. Zapotrzebowanie na energię zostało wyliczone po stopniodniach (różnicy w temperaturze na zewnętrz i wewnątrz) dla 5 wskaźników. Wyliczenia dotyczą średnich krajowych, dane nie są rozkładane przestrzennie. W Czechach, w kraju, w którym również występuje problem z jakością powietrza z tzw. sektora niskiej emisji – wyznaczono wskaźniki emisyjne z uwzględnieniem dostępnego na wewnętrznym rynku paliw oraz ich kaloryczności. Na tej podstawie określono emisyjność w 4 typach kotłów na paliwa stałe. Jednakże w Czechach brakuje bazy inwentaryzacyjnej budynków/lokali, dlatego dane gromadzone na poziomie gminnym są</w:t>
            </w:r>
            <w:r w:rsidR="00B14A36">
              <w:rPr>
                <w:rFonts w:ascii="Times New Roman" w:hAnsi="Times New Roman"/>
              </w:rPr>
              <w:t> </w:t>
            </w:r>
            <w:r w:rsidRPr="00F645FD">
              <w:rPr>
                <w:rFonts w:ascii="Times New Roman" w:hAnsi="Times New Roman"/>
              </w:rPr>
              <w:t xml:space="preserve"> nieprecyzyjne.</w:t>
            </w:r>
          </w:p>
        </w:tc>
      </w:tr>
      <w:tr w:rsidR="006A701A" w:rsidRPr="008B4FE6" w14:paraId="2C2B4A9C" w14:textId="77777777" w:rsidTr="00B14A36">
        <w:trPr>
          <w:trHeight w:val="359"/>
        </w:trPr>
        <w:tc>
          <w:tcPr>
            <w:tcW w:w="10944" w:type="dxa"/>
            <w:gridSpan w:val="23"/>
            <w:shd w:val="clear" w:color="auto" w:fill="99CCFF"/>
            <w:vAlign w:val="center"/>
          </w:tcPr>
          <w:p w14:paraId="6516864E" w14:textId="77777777" w:rsidR="006A701A" w:rsidRPr="008B4FE6" w:rsidRDefault="006A701A" w:rsidP="002A3F0C">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260F33" w:rsidRPr="008B4FE6" w14:paraId="2C7A4DA7" w14:textId="77777777" w:rsidTr="00B14A36">
        <w:trPr>
          <w:trHeight w:val="142"/>
        </w:trPr>
        <w:tc>
          <w:tcPr>
            <w:tcW w:w="2439" w:type="dxa"/>
            <w:gridSpan w:val="3"/>
            <w:shd w:val="clear" w:color="auto" w:fill="auto"/>
          </w:tcPr>
          <w:p w14:paraId="13DA0835"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68" w:type="dxa"/>
            <w:gridSpan w:val="5"/>
            <w:shd w:val="clear" w:color="auto" w:fill="auto"/>
          </w:tcPr>
          <w:p w14:paraId="2E79A24F" w14:textId="77777777" w:rsidR="00260F33" w:rsidRPr="008B4FE6" w:rsidRDefault="00563199" w:rsidP="0072636A">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3402" w:type="dxa"/>
            <w:gridSpan w:val="9"/>
            <w:shd w:val="clear" w:color="auto" w:fill="auto"/>
          </w:tcPr>
          <w:p w14:paraId="0B548E5D"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835" w:type="dxa"/>
            <w:gridSpan w:val="6"/>
            <w:shd w:val="clear" w:color="auto" w:fill="auto"/>
          </w:tcPr>
          <w:p w14:paraId="45E63B36" w14:textId="77777777" w:rsidR="00260F33" w:rsidRPr="008B4FE6" w:rsidRDefault="00260F33" w:rsidP="0072636A">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0B4496" w:rsidRPr="008B4FE6" w14:paraId="0E4C6797" w14:textId="77777777" w:rsidTr="00B14A36">
        <w:trPr>
          <w:trHeight w:val="142"/>
        </w:trPr>
        <w:tc>
          <w:tcPr>
            <w:tcW w:w="2439" w:type="dxa"/>
            <w:gridSpan w:val="3"/>
            <w:shd w:val="clear" w:color="auto" w:fill="auto"/>
          </w:tcPr>
          <w:p w14:paraId="63561FDF" w14:textId="77777777"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 xml:space="preserve">Przedsiębiorcy: </w:t>
            </w:r>
          </w:p>
          <w:p w14:paraId="7A11AC1D" w14:textId="209ECA2D" w:rsidR="000B4496" w:rsidRPr="000B4496" w:rsidRDefault="000B4496" w:rsidP="002A3F0C">
            <w:pPr>
              <w:pStyle w:val="Akapitzlist"/>
              <w:numPr>
                <w:ilvl w:val="0"/>
                <w:numId w:val="5"/>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 xml:space="preserve">osoby z uprawnieniami kominiarskimi - mistrzowie kominiarscy oraz czeladnicy kominiarscy, </w:t>
            </w:r>
          </w:p>
          <w:p w14:paraId="1304C947" w14:textId="6974413F" w:rsidR="000B4496" w:rsidRPr="000B4496" w:rsidRDefault="000B4496" w:rsidP="002A3F0C">
            <w:pPr>
              <w:pStyle w:val="Akapitzlist"/>
              <w:numPr>
                <w:ilvl w:val="0"/>
                <w:numId w:val="5"/>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z uprawnieniami budowlanymi odpowiedniej specjalności instalacyjnej,</w:t>
            </w:r>
          </w:p>
          <w:p w14:paraId="39AA5C45" w14:textId="26FBE44D" w:rsidR="000B4496" w:rsidRPr="000B4496" w:rsidRDefault="000B4496" w:rsidP="002A3F0C">
            <w:pPr>
              <w:pStyle w:val="Akapitzlist"/>
              <w:numPr>
                <w:ilvl w:val="0"/>
                <w:numId w:val="5"/>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sporządzające świadectwo charakterystyki energetycznej budynku,</w:t>
            </w:r>
          </w:p>
          <w:p w14:paraId="6B01BAA2" w14:textId="3C2B44D7" w:rsidR="000B4496" w:rsidRPr="000B4496" w:rsidRDefault="000B4496" w:rsidP="002A3F0C">
            <w:pPr>
              <w:pStyle w:val="Akapitzlist"/>
              <w:numPr>
                <w:ilvl w:val="0"/>
                <w:numId w:val="5"/>
              </w:numPr>
              <w:spacing w:line="240" w:lineRule="auto"/>
              <w:ind w:left="347"/>
              <w:rPr>
                <w:rFonts w:ascii="Times New Roman" w:hAnsi="Times New Roman"/>
                <w:color w:val="000000"/>
                <w:spacing w:val="-2"/>
                <w:sz w:val="18"/>
                <w:szCs w:val="18"/>
              </w:rPr>
            </w:pPr>
            <w:r w:rsidRPr="000B4496">
              <w:rPr>
                <w:rFonts w:ascii="Times New Roman" w:hAnsi="Times New Roman"/>
                <w:color w:val="000000"/>
                <w:spacing w:val="-2"/>
                <w:sz w:val="18"/>
                <w:szCs w:val="18"/>
              </w:rPr>
              <w:t>osoby przeprowadzające kontrolę stanu technicznego systemu ogrzewania.</w:t>
            </w:r>
          </w:p>
        </w:tc>
        <w:tc>
          <w:tcPr>
            <w:tcW w:w="2268" w:type="dxa"/>
            <w:gridSpan w:val="5"/>
            <w:shd w:val="clear" w:color="auto" w:fill="auto"/>
          </w:tcPr>
          <w:p w14:paraId="5775F0F2" w14:textId="37E4FEE2" w:rsidR="000B4496" w:rsidRPr="000B4496" w:rsidRDefault="000B4496" w:rsidP="002A3F0C">
            <w:pPr>
              <w:pStyle w:val="Akapitzlist"/>
              <w:numPr>
                <w:ilvl w:val="0"/>
                <w:numId w:val="6"/>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ok. 3 100 osób z uprawnieniami mistrzów kominiarskich oraz ok. 6200 osób z uprawnieniami czeladników kominiarskich</w:t>
            </w:r>
            <w:r w:rsidR="00C24DC8">
              <w:rPr>
                <w:rFonts w:ascii="Times New Roman" w:hAnsi="Times New Roman"/>
                <w:color w:val="000000"/>
                <w:spacing w:val="-2"/>
                <w:sz w:val="18"/>
                <w:szCs w:val="18"/>
              </w:rPr>
              <w:t>;</w:t>
            </w:r>
          </w:p>
          <w:p w14:paraId="62A96607" w14:textId="5B2120B3" w:rsidR="000B4496" w:rsidRPr="000B4496" w:rsidRDefault="000B4496" w:rsidP="002A3F0C">
            <w:pPr>
              <w:pStyle w:val="Akapitzlist"/>
              <w:numPr>
                <w:ilvl w:val="0"/>
                <w:numId w:val="6"/>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ok. 22 000 osób</w:t>
            </w:r>
            <w:r w:rsidR="00C24DC8">
              <w:rPr>
                <w:rFonts w:ascii="Times New Roman" w:hAnsi="Times New Roman"/>
                <w:color w:val="000000"/>
                <w:spacing w:val="-2"/>
                <w:sz w:val="18"/>
                <w:szCs w:val="18"/>
              </w:rPr>
              <w:t>;</w:t>
            </w:r>
          </w:p>
          <w:p w14:paraId="17BC0CE3" w14:textId="414569D7" w:rsidR="000B4496" w:rsidRPr="000B4496" w:rsidRDefault="000B4496" w:rsidP="002A3F0C">
            <w:pPr>
              <w:pStyle w:val="Akapitzlist"/>
              <w:numPr>
                <w:ilvl w:val="0"/>
                <w:numId w:val="6"/>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15 232 osoby</w:t>
            </w:r>
            <w:r w:rsidR="00C24DC8">
              <w:rPr>
                <w:rFonts w:ascii="Times New Roman" w:hAnsi="Times New Roman"/>
                <w:color w:val="000000"/>
                <w:spacing w:val="-2"/>
                <w:sz w:val="18"/>
                <w:szCs w:val="18"/>
              </w:rPr>
              <w:t>;</w:t>
            </w:r>
          </w:p>
          <w:p w14:paraId="3C61D72E" w14:textId="4B8E563F" w:rsidR="000B4496" w:rsidRPr="000B4496" w:rsidRDefault="000B4496" w:rsidP="002A3F0C">
            <w:pPr>
              <w:pStyle w:val="Akapitzlist"/>
              <w:numPr>
                <w:ilvl w:val="0"/>
                <w:numId w:val="6"/>
              </w:numPr>
              <w:spacing w:line="240" w:lineRule="auto"/>
              <w:ind w:left="317"/>
              <w:rPr>
                <w:rFonts w:ascii="Times New Roman" w:hAnsi="Times New Roman"/>
                <w:color w:val="000000"/>
                <w:spacing w:val="-2"/>
                <w:sz w:val="18"/>
                <w:szCs w:val="18"/>
              </w:rPr>
            </w:pPr>
            <w:r w:rsidRPr="000B4496">
              <w:rPr>
                <w:rFonts w:ascii="Times New Roman" w:hAnsi="Times New Roman"/>
                <w:color w:val="000000"/>
                <w:spacing w:val="-2"/>
                <w:sz w:val="18"/>
                <w:szCs w:val="18"/>
              </w:rPr>
              <w:t>1 775 osób.</w:t>
            </w:r>
          </w:p>
        </w:tc>
        <w:tc>
          <w:tcPr>
            <w:tcW w:w="3402" w:type="dxa"/>
            <w:gridSpan w:val="9"/>
            <w:shd w:val="clear" w:color="auto" w:fill="auto"/>
          </w:tcPr>
          <w:p w14:paraId="5F0603D1" w14:textId="50E8E13F" w:rsidR="000B4496" w:rsidRPr="000B4496" w:rsidRDefault="000B4496" w:rsidP="002A3F0C">
            <w:pPr>
              <w:pStyle w:val="Akapitzlist"/>
              <w:numPr>
                <w:ilvl w:val="0"/>
                <w:numId w:val="7"/>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własna analiza rynku oparta na informacjach pochodzących z cechów kominiarskich,</w:t>
            </w:r>
          </w:p>
          <w:p w14:paraId="04CD5A5F" w14:textId="108F9642" w:rsidR="000B4496" w:rsidRPr="000B4496" w:rsidRDefault="000B4496" w:rsidP="002A3F0C">
            <w:pPr>
              <w:pStyle w:val="Akapitzlist"/>
              <w:numPr>
                <w:ilvl w:val="0"/>
                <w:numId w:val="7"/>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własna analiza rynku oparta na informacjach z Polskiej Izby Inżynierów Budownictwa zamieszczonych z Biuletynie „Inżynier Budownictwa” (stan na 2017 r.),</w:t>
            </w:r>
          </w:p>
          <w:p w14:paraId="1088E325" w14:textId="3FF111DC" w:rsidR="000B4496" w:rsidRPr="000B4496" w:rsidRDefault="000B4496" w:rsidP="002A3F0C">
            <w:pPr>
              <w:pStyle w:val="Akapitzlist"/>
              <w:numPr>
                <w:ilvl w:val="0"/>
                <w:numId w:val="7"/>
              </w:numPr>
              <w:spacing w:line="240" w:lineRule="auto"/>
              <w:ind w:left="350"/>
              <w:rPr>
                <w:rFonts w:ascii="Times New Roman" w:hAnsi="Times New Roman"/>
                <w:color w:val="000000"/>
                <w:spacing w:val="-2"/>
                <w:sz w:val="18"/>
                <w:szCs w:val="18"/>
              </w:rPr>
            </w:pPr>
            <w:r w:rsidRPr="000B4496">
              <w:rPr>
                <w:rFonts w:ascii="Times New Roman" w:hAnsi="Times New Roman"/>
                <w:color w:val="000000"/>
                <w:spacing w:val="-2"/>
                <w:sz w:val="18"/>
                <w:szCs w:val="18"/>
              </w:rPr>
              <w:t>dane z centralnego rejestru świadectw charakterystyki energetycznej budynków - prowadzonego obecnie przez Ministra Rozwoju i Technologii.</w:t>
            </w:r>
          </w:p>
        </w:tc>
        <w:tc>
          <w:tcPr>
            <w:tcW w:w="2835" w:type="dxa"/>
            <w:gridSpan w:val="6"/>
            <w:shd w:val="clear" w:color="auto" w:fill="auto"/>
          </w:tcPr>
          <w:p w14:paraId="2AC0A7EF" w14:textId="39BEF745" w:rsidR="000B4496" w:rsidRPr="000B4496" w:rsidRDefault="000B4496" w:rsidP="000B4496">
            <w:pPr>
              <w:spacing w:line="240" w:lineRule="auto"/>
              <w:jc w:val="both"/>
              <w:rPr>
                <w:rFonts w:ascii="Times New Roman" w:hAnsi="Times New Roman"/>
                <w:color w:val="000000"/>
                <w:sz w:val="18"/>
                <w:szCs w:val="18"/>
              </w:rPr>
            </w:pPr>
            <w:r w:rsidRPr="000B4496">
              <w:rPr>
                <w:rFonts w:ascii="Times New Roman" w:hAnsi="Times New Roman"/>
                <w:color w:val="000000"/>
                <w:sz w:val="18"/>
                <w:szCs w:val="18"/>
              </w:rPr>
              <w:t>Możliwość wprowadzenia danych do CEEB w ramach określonej „roli” i przekazania odpowiedniego zestawu danych.</w:t>
            </w:r>
          </w:p>
          <w:p w14:paraId="6E7EB757" w14:textId="7A28F852" w:rsidR="000B4496" w:rsidRPr="000B4496" w:rsidRDefault="000B4496" w:rsidP="000B4496">
            <w:pPr>
              <w:spacing w:line="240" w:lineRule="auto"/>
              <w:rPr>
                <w:rFonts w:ascii="Times New Roman" w:hAnsi="Times New Roman"/>
                <w:color w:val="000000"/>
                <w:spacing w:val="-2"/>
                <w:sz w:val="18"/>
                <w:szCs w:val="18"/>
              </w:rPr>
            </w:pPr>
          </w:p>
        </w:tc>
      </w:tr>
      <w:tr w:rsidR="000B4496" w:rsidRPr="008B4FE6" w14:paraId="5A43D6A6" w14:textId="77777777" w:rsidTr="00B14A36">
        <w:trPr>
          <w:trHeight w:val="142"/>
        </w:trPr>
        <w:tc>
          <w:tcPr>
            <w:tcW w:w="2439" w:type="dxa"/>
            <w:gridSpan w:val="3"/>
            <w:shd w:val="clear" w:color="auto" w:fill="auto"/>
          </w:tcPr>
          <w:p w14:paraId="242EBD63" w14:textId="168ABB61" w:rsidR="000B4496" w:rsidRPr="000B4496" w:rsidRDefault="000B4496" w:rsidP="00F658D1">
            <w:pPr>
              <w:tabs>
                <w:tab w:val="left" w:pos="1695"/>
              </w:tabs>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Wojewódzkie Inspektoraty Ochrony Środowiska</w:t>
            </w:r>
          </w:p>
        </w:tc>
        <w:tc>
          <w:tcPr>
            <w:tcW w:w="2268" w:type="dxa"/>
            <w:gridSpan w:val="5"/>
            <w:shd w:val="clear" w:color="auto" w:fill="auto"/>
          </w:tcPr>
          <w:p w14:paraId="302434EA" w14:textId="22D6FE51"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3402" w:type="dxa"/>
            <w:gridSpan w:val="9"/>
            <w:shd w:val="clear" w:color="auto" w:fill="auto"/>
          </w:tcPr>
          <w:p w14:paraId="780EC674" w14:textId="3ECA3C5A"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69E03AFC" w14:textId="6F7A0DC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F243A0D" w14:textId="77777777" w:rsidTr="00B14A36">
        <w:trPr>
          <w:trHeight w:val="142"/>
        </w:trPr>
        <w:tc>
          <w:tcPr>
            <w:tcW w:w="2439" w:type="dxa"/>
            <w:gridSpan w:val="3"/>
            <w:shd w:val="clear" w:color="auto" w:fill="auto"/>
          </w:tcPr>
          <w:p w14:paraId="778E76DE" w14:textId="273F3BCE" w:rsidR="000B4496" w:rsidRPr="000B4496" w:rsidRDefault="000B4496" w:rsidP="00F658D1">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Główny Inspektorat Ochrony Środowiska</w:t>
            </w:r>
          </w:p>
        </w:tc>
        <w:tc>
          <w:tcPr>
            <w:tcW w:w="2268" w:type="dxa"/>
            <w:gridSpan w:val="5"/>
            <w:shd w:val="clear" w:color="auto" w:fill="auto"/>
          </w:tcPr>
          <w:p w14:paraId="6D522ADB" w14:textId="76CD0039"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3402" w:type="dxa"/>
            <w:gridSpan w:val="9"/>
            <w:shd w:val="clear" w:color="auto" w:fill="auto"/>
          </w:tcPr>
          <w:p w14:paraId="044308C0" w14:textId="4E5CD3AE"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1AB36486" w14:textId="70757146"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39FD7D06" w14:textId="77777777" w:rsidTr="00B14A36">
        <w:trPr>
          <w:trHeight w:val="142"/>
        </w:trPr>
        <w:tc>
          <w:tcPr>
            <w:tcW w:w="2439" w:type="dxa"/>
            <w:gridSpan w:val="3"/>
            <w:shd w:val="clear" w:color="auto" w:fill="auto"/>
          </w:tcPr>
          <w:p w14:paraId="5BD3E89A" w14:textId="081D8B3B"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color w:val="000000"/>
                <w:spacing w:val="-2"/>
                <w:sz w:val="18"/>
                <w:szCs w:val="18"/>
              </w:rPr>
              <w:lastRenderedPageBreak/>
              <w:t>Narodowy Fundusz Ochrony Środowiska i Gospodarki Wodnej</w:t>
            </w:r>
          </w:p>
        </w:tc>
        <w:tc>
          <w:tcPr>
            <w:tcW w:w="2268" w:type="dxa"/>
            <w:gridSpan w:val="5"/>
            <w:shd w:val="clear" w:color="auto" w:fill="auto"/>
          </w:tcPr>
          <w:p w14:paraId="70CCE927" w14:textId="3D845F90"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3402" w:type="dxa"/>
            <w:gridSpan w:val="9"/>
            <w:shd w:val="clear" w:color="auto" w:fill="auto"/>
          </w:tcPr>
          <w:p w14:paraId="0019797A" w14:textId="798487A6" w:rsidR="000B4496" w:rsidRPr="000B4496" w:rsidRDefault="000B4496" w:rsidP="000B4496">
            <w:pPr>
              <w:spacing w:line="240" w:lineRule="auto"/>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6C55FDFB" w14:textId="1096AF15"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7892DB63" w14:textId="77777777" w:rsidTr="00B14A36">
        <w:trPr>
          <w:trHeight w:val="142"/>
        </w:trPr>
        <w:tc>
          <w:tcPr>
            <w:tcW w:w="2439" w:type="dxa"/>
            <w:gridSpan w:val="3"/>
            <w:shd w:val="clear" w:color="auto" w:fill="auto"/>
          </w:tcPr>
          <w:p w14:paraId="4CB21397" w14:textId="042B0715"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Wojewódzkie Fundusze Ochrony Środowiska i </w:t>
            </w:r>
            <w:r w:rsidRPr="000B4496">
              <w:rPr>
                <w:rFonts w:ascii="Times New Roman" w:hAnsi="Times New Roman"/>
                <w:color w:val="000000"/>
                <w:spacing w:val="-2"/>
                <w:sz w:val="18"/>
                <w:szCs w:val="18"/>
              </w:rPr>
              <w:t>Gospodarki Wodnej</w:t>
            </w:r>
          </w:p>
        </w:tc>
        <w:tc>
          <w:tcPr>
            <w:tcW w:w="2268" w:type="dxa"/>
            <w:gridSpan w:val="5"/>
            <w:shd w:val="clear" w:color="auto" w:fill="auto"/>
          </w:tcPr>
          <w:p w14:paraId="66A65B79" w14:textId="59A615E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3402" w:type="dxa"/>
            <w:gridSpan w:val="9"/>
            <w:shd w:val="clear" w:color="auto" w:fill="auto"/>
          </w:tcPr>
          <w:p w14:paraId="17102613" w14:textId="4535CA20"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1FB83340" w14:textId="4FB710AE"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148CBD56" w14:textId="77777777" w:rsidTr="00B14A36">
        <w:trPr>
          <w:trHeight w:val="142"/>
        </w:trPr>
        <w:tc>
          <w:tcPr>
            <w:tcW w:w="2439" w:type="dxa"/>
            <w:gridSpan w:val="3"/>
            <w:shd w:val="clear" w:color="auto" w:fill="auto"/>
          </w:tcPr>
          <w:p w14:paraId="34F76D8F" w14:textId="701CC8AA" w:rsidR="000B4496" w:rsidRPr="000B4496" w:rsidRDefault="000B4496" w:rsidP="00F658D1">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Bank Gospodarstwa Krajowego</w:t>
            </w:r>
          </w:p>
        </w:tc>
        <w:tc>
          <w:tcPr>
            <w:tcW w:w="2268" w:type="dxa"/>
            <w:gridSpan w:val="5"/>
            <w:shd w:val="clear" w:color="auto" w:fill="auto"/>
          </w:tcPr>
          <w:p w14:paraId="1332E5E3" w14:textId="29660E84"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3402" w:type="dxa"/>
            <w:gridSpan w:val="9"/>
            <w:shd w:val="clear" w:color="auto" w:fill="auto"/>
          </w:tcPr>
          <w:p w14:paraId="22A9EE43" w14:textId="17EA295D"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6C264E0A" w14:textId="266E6001"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028717F" w14:textId="77777777" w:rsidTr="00B14A36">
        <w:trPr>
          <w:trHeight w:val="142"/>
        </w:trPr>
        <w:tc>
          <w:tcPr>
            <w:tcW w:w="2439" w:type="dxa"/>
            <w:gridSpan w:val="3"/>
            <w:shd w:val="clear" w:color="auto" w:fill="auto"/>
          </w:tcPr>
          <w:p w14:paraId="76484EB3" w14:textId="245FF332"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Gminy (wójt, burmistrz, prezydent miasta)</w:t>
            </w:r>
          </w:p>
        </w:tc>
        <w:tc>
          <w:tcPr>
            <w:tcW w:w="2268" w:type="dxa"/>
            <w:gridSpan w:val="5"/>
            <w:shd w:val="clear" w:color="auto" w:fill="auto"/>
          </w:tcPr>
          <w:p w14:paraId="28074901" w14:textId="27AC4584" w:rsidR="000B4496" w:rsidRDefault="000B4496" w:rsidP="002A3F0C">
            <w:pPr>
              <w:pStyle w:val="Akapitzlist"/>
              <w:numPr>
                <w:ilvl w:val="0"/>
                <w:numId w:val="8"/>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24</w:t>
            </w:r>
            <w:r w:rsidR="00885B2F">
              <w:rPr>
                <w:rFonts w:ascii="Times New Roman" w:hAnsi="Times New Roman"/>
                <w:color w:val="000000"/>
                <w:spacing w:val="-2"/>
                <w:sz w:val="18"/>
                <w:szCs w:val="18"/>
              </w:rPr>
              <w:t>77</w:t>
            </w:r>
            <w:r w:rsidRPr="00C24DC8">
              <w:rPr>
                <w:rFonts w:ascii="Times New Roman" w:hAnsi="Times New Roman"/>
                <w:color w:val="000000"/>
                <w:spacing w:val="-2"/>
                <w:sz w:val="18"/>
                <w:szCs w:val="18"/>
              </w:rPr>
              <w:t>gmin</w:t>
            </w:r>
            <w:r w:rsidR="00C24DC8">
              <w:rPr>
                <w:rFonts w:ascii="Times New Roman" w:hAnsi="Times New Roman"/>
                <w:color w:val="000000"/>
                <w:spacing w:val="-2"/>
                <w:sz w:val="18"/>
                <w:szCs w:val="18"/>
              </w:rPr>
              <w:t>;</w:t>
            </w:r>
          </w:p>
          <w:p w14:paraId="4F002DA6" w14:textId="1EFA44F5" w:rsidR="000B4496" w:rsidRPr="00C24DC8" w:rsidRDefault="000B4496" w:rsidP="002A3F0C">
            <w:pPr>
              <w:pStyle w:val="Akapitzlist"/>
              <w:numPr>
                <w:ilvl w:val="0"/>
                <w:numId w:val="8"/>
              </w:numPr>
              <w:spacing w:line="240" w:lineRule="auto"/>
              <w:ind w:left="316"/>
              <w:jc w:val="both"/>
              <w:rPr>
                <w:rFonts w:ascii="Times New Roman" w:hAnsi="Times New Roman"/>
                <w:color w:val="000000"/>
                <w:spacing w:val="-2"/>
                <w:sz w:val="18"/>
                <w:szCs w:val="18"/>
              </w:rPr>
            </w:pPr>
            <w:r w:rsidRPr="00C24DC8">
              <w:rPr>
                <w:rFonts w:ascii="Times New Roman" w:hAnsi="Times New Roman"/>
                <w:color w:val="000000"/>
                <w:spacing w:val="-2"/>
                <w:sz w:val="18"/>
                <w:szCs w:val="18"/>
              </w:rPr>
              <w:t>66 miast na prawach powiatu</w:t>
            </w:r>
            <w:r w:rsidR="00C24DC8">
              <w:rPr>
                <w:rFonts w:ascii="Times New Roman" w:hAnsi="Times New Roman"/>
                <w:color w:val="000000"/>
                <w:spacing w:val="-2"/>
                <w:sz w:val="18"/>
                <w:szCs w:val="18"/>
              </w:rPr>
              <w:t>.</w:t>
            </w:r>
          </w:p>
        </w:tc>
        <w:tc>
          <w:tcPr>
            <w:tcW w:w="3402" w:type="dxa"/>
            <w:gridSpan w:val="9"/>
            <w:shd w:val="clear" w:color="auto" w:fill="auto"/>
          </w:tcPr>
          <w:p w14:paraId="54E426A0" w14:textId="0565A9AB"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4FAAA27D" w14:textId="07F04EA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B1BB750" w14:textId="77777777" w:rsidTr="00B14A36">
        <w:trPr>
          <w:trHeight w:val="142"/>
        </w:trPr>
        <w:tc>
          <w:tcPr>
            <w:tcW w:w="2439" w:type="dxa"/>
            <w:gridSpan w:val="3"/>
            <w:shd w:val="clear" w:color="auto" w:fill="auto"/>
          </w:tcPr>
          <w:p w14:paraId="1E564EB0" w14:textId="7C60A9E2"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Powiaty</w:t>
            </w:r>
          </w:p>
        </w:tc>
        <w:tc>
          <w:tcPr>
            <w:tcW w:w="2268" w:type="dxa"/>
            <w:gridSpan w:val="5"/>
            <w:shd w:val="clear" w:color="auto" w:fill="auto"/>
          </w:tcPr>
          <w:p w14:paraId="0D29E8BD" w14:textId="7777777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314</w:t>
            </w:r>
          </w:p>
          <w:p w14:paraId="70156E22" w14:textId="23624CD2" w:rsidR="000B4496" w:rsidRPr="000B4496" w:rsidRDefault="000B4496" w:rsidP="000B4496">
            <w:pPr>
              <w:spacing w:line="240" w:lineRule="auto"/>
              <w:jc w:val="both"/>
              <w:rPr>
                <w:rFonts w:ascii="Times New Roman" w:hAnsi="Times New Roman"/>
                <w:color w:val="000000"/>
                <w:spacing w:val="-2"/>
                <w:sz w:val="18"/>
                <w:szCs w:val="18"/>
              </w:rPr>
            </w:pPr>
          </w:p>
        </w:tc>
        <w:tc>
          <w:tcPr>
            <w:tcW w:w="3402" w:type="dxa"/>
            <w:gridSpan w:val="9"/>
            <w:shd w:val="clear" w:color="auto" w:fill="auto"/>
          </w:tcPr>
          <w:p w14:paraId="012EF109" w14:textId="6C6019A7"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00E1A24B" w14:textId="4DC26C12"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22D08AEA" w14:textId="77777777" w:rsidTr="00B14A36">
        <w:trPr>
          <w:trHeight w:val="142"/>
        </w:trPr>
        <w:tc>
          <w:tcPr>
            <w:tcW w:w="2439" w:type="dxa"/>
            <w:gridSpan w:val="3"/>
            <w:shd w:val="clear" w:color="auto" w:fill="auto"/>
          </w:tcPr>
          <w:p w14:paraId="38D1EA80" w14:textId="6BB50E58"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Samorząd województwa</w:t>
            </w:r>
          </w:p>
        </w:tc>
        <w:tc>
          <w:tcPr>
            <w:tcW w:w="2268" w:type="dxa"/>
            <w:gridSpan w:val="5"/>
            <w:shd w:val="clear" w:color="auto" w:fill="auto"/>
          </w:tcPr>
          <w:p w14:paraId="681DFFD9" w14:textId="04ADBDBD"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16</w:t>
            </w:r>
          </w:p>
        </w:tc>
        <w:tc>
          <w:tcPr>
            <w:tcW w:w="3402" w:type="dxa"/>
            <w:gridSpan w:val="9"/>
            <w:shd w:val="clear" w:color="auto" w:fill="auto"/>
          </w:tcPr>
          <w:p w14:paraId="61ED0F62" w14:textId="040640EF"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5E73FD7D" w14:textId="352AF323"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085BDB72" w14:textId="77777777" w:rsidTr="00B14A36">
        <w:trPr>
          <w:trHeight w:val="142"/>
        </w:trPr>
        <w:tc>
          <w:tcPr>
            <w:tcW w:w="2439" w:type="dxa"/>
            <w:gridSpan w:val="3"/>
            <w:shd w:val="clear" w:color="auto" w:fill="auto"/>
          </w:tcPr>
          <w:p w14:paraId="5CB68ED8" w14:textId="60C3A380"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Krajowa Administracja Skarbowa</w:t>
            </w:r>
          </w:p>
        </w:tc>
        <w:tc>
          <w:tcPr>
            <w:tcW w:w="2268" w:type="dxa"/>
            <w:gridSpan w:val="5"/>
            <w:shd w:val="clear" w:color="auto" w:fill="auto"/>
          </w:tcPr>
          <w:p w14:paraId="21FECE39" w14:textId="3CE47E05"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pacing w:val="-2"/>
                <w:sz w:val="18"/>
                <w:szCs w:val="18"/>
              </w:rPr>
              <w:t>1</w:t>
            </w:r>
          </w:p>
        </w:tc>
        <w:tc>
          <w:tcPr>
            <w:tcW w:w="3402" w:type="dxa"/>
            <w:gridSpan w:val="9"/>
            <w:shd w:val="clear" w:color="auto" w:fill="auto"/>
          </w:tcPr>
          <w:p w14:paraId="473A2245" w14:textId="74EC10B4"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spacing w:val="-2"/>
                <w:sz w:val="18"/>
                <w:szCs w:val="18"/>
              </w:rPr>
              <w:t>Dane ogólnodostępne</w:t>
            </w:r>
          </w:p>
        </w:tc>
        <w:tc>
          <w:tcPr>
            <w:tcW w:w="2835" w:type="dxa"/>
            <w:gridSpan w:val="6"/>
            <w:shd w:val="clear" w:color="auto" w:fill="auto"/>
          </w:tcPr>
          <w:p w14:paraId="5CDC3EA3" w14:textId="699D026F"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0B4496" w:rsidRPr="008B4FE6" w14:paraId="63B72EE6" w14:textId="77777777" w:rsidTr="00B14A36">
        <w:trPr>
          <w:trHeight w:val="142"/>
        </w:trPr>
        <w:tc>
          <w:tcPr>
            <w:tcW w:w="2439" w:type="dxa"/>
            <w:gridSpan w:val="3"/>
            <w:shd w:val="clear" w:color="auto" w:fill="auto"/>
          </w:tcPr>
          <w:p w14:paraId="652A5B36" w14:textId="2CFABFD6" w:rsidR="000B4496" w:rsidRPr="000B4496" w:rsidRDefault="000B4496" w:rsidP="000B4496">
            <w:pPr>
              <w:tabs>
                <w:tab w:val="left" w:pos="1560"/>
              </w:tabs>
              <w:spacing w:line="240" w:lineRule="auto"/>
              <w:jc w:val="both"/>
              <w:rPr>
                <w:rFonts w:ascii="Times New Roman" w:hAnsi="Times New Roman"/>
                <w:color w:val="000000"/>
                <w:sz w:val="18"/>
                <w:szCs w:val="18"/>
              </w:rPr>
            </w:pPr>
            <w:r w:rsidRPr="000B4496">
              <w:rPr>
                <w:rFonts w:ascii="Times New Roman" w:hAnsi="Times New Roman"/>
                <w:sz w:val="18"/>
                <w:szCs w:val="18"/>
              </w:rPr>
              <w:t xml:space="preserve">Ośrodki pomocy społecznej, </w:t>
            </w:r>
            <w:r w:rsidRPr="000B4496">
              <w:rPr>
                <w:rFonts w:ascii="Times New Roman" w:hAnsi="Times New Roman"/>
                <w:spacing w:val="-2"/>
                <w:sz w:val="18"/>
                <w:szCs w:val="18"/>
              </w:rPr>
              <w:t>centra usług społecznych</w:t>
            </w:r>
          </w:p>
        </w:tc>
        <w:tc>
          <w:tcPr>
            <w:tcW w:w="2268" w:type="dxa"/>
            <w:gridSpan w:val="5"/>
            <w:shd w:val="clear" w:color="auto" w:fill="auto"/>
          </w:tcPr>
          <w:p w14:paraId="68025A79" w14:textId="351AD0C5" w:rsidR="000B4496" w:rsidRPr="000B4496" w:rsidRDefault="000B4496" w:rsidP="002A3F0C">
            <w:pPr>
              <w:pStyle w:val="Akapitzlist"/>
              <w:numPr>
                <w:ilvl w:val="0"/>
                <w:numId w:val="4"/>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24</w:t>
            </w:r>
            <w:r w:rsidR="00575233">
              <w:rPr>
                <w:rFonts w:ascii="Times New Roman" w:hAnsi="Times New Roman"/>
                <w:color w:val="000000"/>
                <w:spacing w:val="-2"/>
                <w:sz w:val="18"/>
                <w:szCs w:val="18"/>
              </w:rPr>
              <w:t xml:space="preserve">77 </w:t>
            </w:r>
            <w:r w:rsidRPr="000B4496">
              <w:rPr>
                <w:rFonts w:ascii="Times New Roman" w:hAnsi="Times New Roman"/>
                <w:color w:val="000000"/>
                <w:spacing w:val="-2"/>
                <w:sz w:val="18"/>
                <w:szCs w:val="18"/>
              </w:rPr>
              <w:t>gmin</w:t>
            </w:r>
            <w:r w:rsidR="00C24DC8">
              <w:rPr>
                <w:rFonts w:ascii="Times New Roman" w:hAnsi="Times New Roman"/>
                <w:color w:val="000000"/>
                <w:spacing w:val="-2"/>
                <w:sz w:val="18"/>
                <w:szCs w:val="18"/>
              </w:rPr>
              <w:t>;</w:t>
            </w:r>
          </w:p>
          <w:p w14:paraId="24FA215A" w14:textId="560200A5" w:rsidR="000B4496" w:rsidRPr="004E3286" w:rsidRDefault="000B4496" w:rsidP="000B4496">
            <w:pPr>
              <w:pStyle w:val="Akapitzlist"/>
              <w:numPr>
                <w:ilvl w:val="0"/>
                <w:numId w:val="4"/>
              </w:numPr>
              <w:spacing w:line="240" w:lineRule="auto"/>
              <w:ind w:left="316"/>
              <w:jc w:val="both"/>
              <w:rPr>
                <w:rFonts w:ascii="Times New Roman" w:hAnsi="Times New Roman"/>
                <w:color w:val="000000"/>
                <w:spacing w:val="-2"/>
                <w:sz w:val="18"/>
                <w:szCs w:val="18"/>
              </w:rPr>
            </w:pPr>
            <w:r w:rsidRPr="000B4496">
              <w:rPr>
                <w:rFonts w:ascii="Times New Roman" w:hAnsi="Times New Roman"/>
                <w:color w:val="000000"/>
                <w:spacing w:val="-2"/>
                <w:sz w:val="18"/>
                <w:szCs w:val="18"/>
              </w:rPr>
              <w:t>66 miast na prawach powiatu</w:t>
            </w:r>
            <w:r w:rsidR="00C24DC8">
              <w:rPr>
                <w:rFonts w:ascii="Times New Roman" w:hAnsi="Times New Roman"/>
                <w:color w:val="000000"/>
                <w:spacing w:val="-2"/>
                <w:sz w:val="18"/>
                <w:szCs w:val="18"/>
              </w:rPr>
              <w:t>.</w:t>
            </w:r>
          </w:p>
        </w:tc>
        <w:tc>
          <w:tcPr>
            <w:tcW w:w="3402" w:type="dxa"/>
            <w:gridSpan w:val="9"/>
            <w:shd w:val="clear" w:color="auto" w:fill="auto"/>
          </w:tcPr>
          <w:p w14:paraId="2ADE4167" w14:textId="13D5375A" w:rsidR="000B4496" w:rsidRPr="00C24DC8" w:rsidRDefault="000B4496" w:rsidP="000B4496">
            <w:pPr>
              <w:spacing w:line="240" w:lineRule="auto"/>
              <w:jc w:val="both"/>
              <w:rPr>
                <w:rFonts w:ascii="Times New Roman" w:hAnsi="Times New Roman"/>
                <w:spacing w:val="-2"/>
                <w:sz w:val="18"/>
                <w:szCs w:val="18"/>
              </w:rPr>
            </w:pPr>
            <w:r w:rsidRPr="000B4496">
              <w:rPr>
                <w:rFonts w:ascii="Times New Roman" w:hAnsi="Times New Roman"/>
                <w:spacing w:val="-2"/>
                <w:sz w:val="18"/>
                <w:szCs w:val="18"/>
              </w:rPr>
              <w:t xml:space="preserve">Żródło: http://eteryt.stat.gov.pl/eteryt/raporty/WebRaportZestawienie.aspx </w:t>
            </w:r>
          </w:p>
        </w:tc>
        <w:tc>
          <w:tcPr>
            <w:tcW w:w="2835" w:type="dxa"/>
            <w:gridSpan w:val="6"/>
            <w:shd w:val="clear" w:color="auto" w:fill="auto"/>
          </w:tcPr>
          <w:p w14:paraId="2B7FDFBD" w14:textId="795303DA" w:rsidR="000B4496" w:rsidRPr="000B4496" w:rsidRDefault="000B4496" w:rsidP="000B4496">
            <w:pPr>
              <w:spacing w:line="240" w:lineRule="auto"/>
              <w:jc w:val="both"/>
              <w:rPr>
                <w:rFonts w:ascii="Times New Roman" w:hAnsi="Times New Roman"/>
                <w:color w:val="000000"/>
                <w:spacing w:val="-2"/>
                <w:sz w:val="18"/>
                <w:szCs w:val="18"/>
              </w:rPr>
            </w:pPr>
            <w:r w:rsidRPr="000B4496">
              <w:rPr>
                <w:rFonts w:ascii="Times New Roman" w:hAnsi="Times New Roman"/>
                <w:color w:val="000000"/>
                <w:sz w:val="18"/>
                <w:szCs w:val="18"/>
              </w:rPr>
              <w:t xml:space="preserve">Możliwość wprowadzenia danych do CEEB w ramach określonej „roli” i przekazania odpowiedniego zestawu danych. </w:t>
            </w:r>
          </w:p>
        </w:tc>
      </w:tr>
      <w:tr w:rsidR="00923C48" w:rsidRPr="008B4FE6" w14:paraId="248D4DE0" w14:textId="77777777" w:rsidTr="00B14A36">
        <w:trPr>
          <w:trHeight w:val="302"/>
        </w:trPr>
        <w:tc>
          <w:tcPr>
            <w:tcW w:w="10944" w:type="dxa"/>
            <w:gridSpan w:val="23"/>
            <w:shd w:val="clear" w:color="auto" w:fill="99CCFF"/>
            <w:vAlign w:val="center"/>
          </w:tcPr>
          <w:p w14:paraId="46FE4AED" w14:textId="77777777" w:rsidR="00923C48" w:rsidRPr="008B4FE6" w:rsidRDefault="00923C48" w:rsidP="002A3F0C">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923C48" w:rsidRPr="008B4FE6" w14:paraId="7730A496" w14:textId="77777777" w:rsidTr="00B14A36">
        <w:trPr>
          <w:trHeight w:val="342"/>
        </w:trPr>
        <w:tc>
          <w:tcPr>
            <w:tcW w:w="10944" w:type="dxa"/>
            <w:gridSpan w:val="23"/>
            <w:shd w:val="clear" w:color="auto" w:fill="FFFFFF" w:themeFill="background1"/>
          </w:tcPr>
          <w:p w14:paraId="5BF153CE" w14:textId="163FC6B5" w:rsidR="001B601A" w:rsidRPr="00D07EDD" w:rsidRDefault="001B601A" w:rsidP="00D07EDD">
            <w:pPr>
              <w:spacing w:line="240" w:lineRule="auto"/>
              <w:jc w:val="both"/>
              <w:rPr>
                <w:rFonts w:ascii="Times New Roman" w:hAnsi="Times New Roman"/>
                <w:color w:val="000000"/>
                <w:spacing w:val="-2"/>
              </w:rPr>
            </w:pPr>
            <w:r w:rsidRPr="00D07EDD">
              <w:rPr>
                <w:rFonts w:ascii="Times New Roman" w:hAnsi="Times New Roman"/>
                <w:color w:val="000000"/>
                <w:spacing w:val="-2"/>
              </w:rPr>
              <w:t>Zgodnie z art. 5 ustawy z dnia 7 lipca 2005 r. o działalności lobbingowej w procesie stanowienia prawa (Dz. U. z 2017 r. poz.</w:t>
            </w:r>
            <w:r w:rsidR="00A24B33">
              <w:rPr>
                <w:rFonts w:ascii="Times New Roman" w:hAnsi="Times New Roman"/>
                <w:color w:val="000000"/>
                <w:spacing w:val="-2"/>
              </w:rPr>
              <w:t> </w:t>
            </w:r>
            <w:r w:rsidRPr="00D07EDD">
              <w:rPr>
                <w:rFonts w:ascii="Times New Roman" w:hAnsi="Times New Roman"/>
                <w:color w:val="000000"/>
                <w:spacing w:val="-2"/>
              </w:rPr>
              <w:t>248) oraz § 52 uchwały Nr 190 Rady Ministrów z dnia 29 października 2013 r. – Regulamin pracy Rady Ministrów (M.</w:t>
            </w:r>
            <w:r w:rsidR="00A24B33">
              <w:rPr>
                <w:rFonts w:ascii="Times New Roman" w:hAnsi="Times New Roman"/>
                <w:color w:val="000000"/>
                <w:spacing w:val="-2"/>
              </w:rPr>
              <w:t> </w:t>
            </w:r>
            <w:r w:rsidRPr="00D07EDD">
              <w:rPr>
                <w:rFonts w:ascii="Times New Roman" w:hAnsi="Times New Roman"/>
                <w:color w:val="000000"/>
                <w:spacing w:val="-2"/>
              </w:rPr>
              <w:t>P. z 2022 r. poz. 348), projekt rozporządzenia zosta</w:t>
            </w:r>
            <w:r w:rsidR="00DC02AD">
              <w:rPr>
                <w:rFonts w:ascii="Times New Roman" w:hAnsi="Times New Roman"/>
                <w:color w:val="000000"/>
                <w:spacing w:val="-2"/>
              </w:rPr>
              <w:t>ł</w:t>
            </w:r>
            <w:r w:rsidRPr="00D07EDD">
              <w:rPr>
                <w:rFonts w:ascii="Times New Roman" w:hAnsi="Times New Roman"/>
                <w:color w:val="000000"/>
                <w:spacing w:val="-2"/>
              </w:rPr>
              <w:t xml:space="preserve"> zamieszczony w Biuletynie Informacji Publicznej </w:t>
            </w:r>
            <w:r w:rsidR="00E41487">
              <w:rPr>
                <w:rFonts w:ascii="Times New Roman" w:hAnsi="Times New Roman"/>
                <w:color w:val="000000"/>
                <w:spacing w:val="-2"/>
              </w:rPr>
              <w:t xml:space="preserve">na stronie podmiotowej </w:t>
            </w:r>
            <w:r w:rsidRPr="00D07EDD">
              <w:rPr>
                <w:rFonts w:ascii="Times New Roman" w:hAnsi="Times New Roman"/>
                <w:color w:val="000000"/>
                <w:spacing w:val="-2"/>
              </w:rPr>
              <w:t>Rządowego Centrum Legislacji w serwisie „Rządowy Proces Legislacyjny”.</w:t>
            </w:r>
          </w:p>
          <w:p w14:paraId="5428DFF9" w14:textId="77777777" w:rsidR="001B601A" w:rsidRPr="00D07EDD" w:rsidRDefault="001B601A" w:rsidP="00D07EDD">
            <w:pPr>
              <w:spacing w:line="240" w:lineRule="auto"/>
              <w:jc w:val="both"/>
              <w:rPr>
                <w:rFonts w:ascii="Times New Roman" w:hAnsi="Times New Roman"/>
                <w:color w:val="000000"/>
                <w:spacing w:val="-2"/>
              </w:rPr>
            </w:pPr>
          </w:p>
          <w:p w14:paraId="73C3D4F8" w14:textId="6B209A2D" w:rsidR="00D668D8" w:rsidRPr="00D07EDD" w:rsidRDefault="00D668D8" w:rsidP="00D07EDD">
            <w:pPr>
              <w:spacing w:line="240" w:lineRule="auto"/>
              <w:jc w:val="both"/>
              <w:rPr>
                <w:rFonts w:ascii="Times New Roman" w:hAnsi="Times New Roman"/>
                <w:color w:val="000000"/>
                <w:spacing w:val="-2"/>
              </w:rPr>
            </w:pPr>
            <w:r w:rsidRPr="00D07EDD">
              <w:rPr>
                <w:rFonts w:ascii="Times New Roman" w:hAnsi="Times New Roman"/>
                <w:color w:val="000000"/>
                <w:spacing w:val="-2"/>
              </w:rPr>
              <w:t xml:space="preserve">Projekt rozporządzenia </w:t>
            </w:r>
            <w:r w:rsidR="003134A4">
              <w:rPr>
                <w:rFonts w:ascii="Times New Roman" w:hAnsi="Times New Roman"/>
                <w:color w:val="000000"/>
                <w:spacing w:val="-2"/>
              </w:rPr>
              <w:t xml:space="preserve">został </w:t>
            </w:r>
            <w:r w:rsidRPr="00D07EDD">
              <w:rPr>
                <w:rFonts w:ascii="Times New Roman" w:hAnsi="Times New Roman"/>
                <w:color w:val="000000"/>
                <w:spacing w:val="-2"/>
              </w:rPr>
              <w:t>przekazany do konsultacji publicznych</w:t>
            </w:r>
            <w:r w:rsidR="003134A4">
              <w:rPr>
                <w:rFonts w:ascii="Times New Roman" w:hAnsi="Times New Roman"/>
                <w:color w:val="000000"/>
                <w:spacing w:val="-2"/>
              </w:rPr>
              <w:t xml:space="preserve"> </w:t>
            </w:r>
            <w:r w:rsidRPr="00D07EDD">
              <w:rPr>
                <w:rFonts w:ascii="Times New Roman" w:hAnsi="Times New Roman"/>
                <w:color w:val="000000"/>
                <w:spacing w:val="-2"/>
              </w:rPr>
              <w:t>następującym podmiotom:</w:t>
            </w:r>
          </w:p>
          <w:p w14:paraId="40B903C7" w14:textId="080D63F2"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Bank Gospodarstwa Krajowego</w:t>
            </w:r>
            <w:r>
              <w:rPr>
                <w:rFonts w:ascii="Times New Roman" w:hAnsi="Times New Roman"/>
              </w:rPr>
              <w:t>;</w:t>
            </w:r>
          </w:p>
          <w:p w14:paraId="14D2BEA4" w14:textId="16E6A004"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Banków Polskich</w:t>
            </w:r>
            <w:r>
              <w:rPr>
                <w:rFonts w:ascii="Times New Roman" w:hAnsi="Times New Roman"/>
              </w:rPr>
              <w:t>;</w:t>
            </w:r>
          </w:p>
          <w:p w14:paraId="73E848C8" w14:textId="0DE7523B"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Unia Metropolii Polskich</w:t>
            </w:r>
            <w:r>
              <w:rPr>
                <w:rFonts w:ascii="Times New Roman" w:hAnsi="Times New Roman"/>
              </w:rPr>
              <w:t>;</w:t>
            </w:r>
          </w:p>
          <w:p w14:paraId="313D0B21" w14:textId="6825980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Miast Polskich</w:t>
            </w:r>
            <w:r>
              <w:rPr>
                <w:rFonts w:ascii="Times New Roman" w:hAnsi="Times New Roman"/>
              </w:rPr>
              <w:t>;</w:t>
            </w:r>
          </w:p>
          <w:p w14:paraId="4E95E957" w14:textId="5444DD0B"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Powiatów Polskich;</w:t>
            </w:r>
          </w:p>
          <w:p w14:paraId="0478B131" w14:textId="55C9D33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Unia Miasteczek Polskich</w:t>
            </w:r>
            <w:r>
              <w:rPr>
                <w:rFonts w:ascii="Times New Roman" w:hAnsi="Times New Roman"/>
              </w:rPr>
              <w:t>;</w:t>
            </w:r>
          </w:p>
          <w:p w14:paraId="25324EFD" w14:textId="0934942A"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Instytut Rozwoju Miast i Regionów</w:t>
            </w:r>
            <w:r>
              <w:rPr>
                <w:rFonts w:ascii="Times New Roman" w:hAnsi="Times New Roman"/>
              </w:rPr>
              <w:t>;</w:t>
            </w:r>
          </w:p>
          <w:p w14:paraId="61620A5E" w14:textId="76B20771"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Województw Rzeczypospolitej Polskiej;</w:t>
            </w:r>
          </w:p>
          <w:p w14:paraId="0B65FD2E" w14:textId="3BA8FF49"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Gmin Wiejskich Rzeczypospolitej Polskie</w:t>
            </w:r>
            <w:r>
              <w:rPr>
                <w:rFonts w:ascii="Times New Roman" w:hAnsi="Times New Roman"/>
              </w:rPr>
              <w:t>j;</w:t>
            </w:r>
          </w:p>
          <w:p w14:paraId="62AE93D8" w14:textId="57BC088F"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Instytut Techniki Budowlanej</w:t>
            </w:r>
            <w:r>
              <w:rPr>
                <w:rFonts w:ascii="Times New Roman" w:hAnsi="Times New Roman"/>
              </w:rPr>
              <w:t>;</w:t>
            </w:r>
          </w:p>
          <w:p w14:paraId="084D4408" w14:textId="7FA3BD96"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Instytut Ekonomii Środowiska</w:t>
            </w:r>
            <w:r>
              <w:rPr>
                <w:rFonts w:ascii="Times New Roman" w:hAnsi="Times New Roman"/>
              </w:rPr>
              <w:t>;</w:t>
            </w:r>
          </w:p>
          <w:p w14:paraId="173791C5" w14:textId="1ECBB6E8"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Fundacja Instytut na rzecz Ekorozwoju</w:t>
            </w:r>
            <w:r>
              <w:rPr>
                <w:rFonts w:ascii="Times New Roman" w:hAnsi="Times New Roman"/>
              </w:rPr>
              <w:t>;</w:t>
            </w:r>
          </w:p>
          <w:p w14:paraId="49DFE225" w14:textId="4E484EFE"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Fundacja Instytut Sobieskiego</w:t>
            </w:r>
            <w:r>
              <w:rPr>
                <w:rFonts w:ascii="Times New Roman" w:hAnsi="Times New Roman"/>
              </w:rPr>
              <w:t>;</w:t>
            </w:r>
          </w:p>
          <w:p w14:paraId="2CF38C65" w14:textId="4851A5BC"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Instytut Ochrony Środowiska – Państwowy Instytut Badawcz</w:t>
            </w:r>
            <w:r>
              <w:rPr>
                <w:rFonts w:ascii="Times New Roman" w:hAnsi="Times New Roman"/>
              </w:rPr>
              <w:t>y;</w:t>
            </w:r>
          </w:p>
          <w:p w14:paraId="165DC833" w14:textId="6D380351"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Instytut Łączności – Państwowy Instytut Badawczy</w:t>
            </w:r>
            <w:r>
              <w:rPr>
                <w:rFonts w:ascii="Times New Roman" w:hAnsi="Times New Roman"/>
              </w:rPr>
              <w:t>;</w:t>
            </w:r>
          </w:p>
          <w:p w14:paraId="26D60746" w14:textId="796A47FC"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Instytut Chemicznej Przeróbki Węgla</w:t>
            </w:r>
            <w:r>
              <w:rPr>
                <w:rFonts w:ascii="Times New Roman" w:hAnsi="Times New Roman"/>
              </w:rPr>
              <w:t>;</w:t>
            </w:r>
          </w:p>
          <w:p w14:paraId="7BE1CB7D" w14:textId="441F3BFE"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Krajowa Agencja Poszanowania Energii S.A.</w:t>
            </w:r>
            <w:r>
              <w:rPr>
                <w:rFonts w:ascii="Times New Roman" w:hAnsi="Times New Roman"/>
              </w:rPr>
              <w:t>;</w:t>
            </w:r>
          </w:p>
          <w:p w14:paraId="20486A0E" w14:textId="41CBD2A8"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Narodowa Agencja Poszanowania Energii S.A</w:t>
            </w:r>
            <w:r>
              <w:rPr>
                <w:rFonts w:ascii="Times New Roman" w:hAnsi="Times New Roman"/>
              </w:rPr>
              <w:t>.;</w:t>
            </w:r>
          </w:p>
          <w:p w14:paraId="15196771" w14:textId="52047D82"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Rada Główna Instytutów Badawczych</w:t>
            </w:r>
            <w:r>
              <w:rPr>
                <w:rFonts w:ascii="Times New Roman" w:hAnsi="Times New Roman"/>
              </w:rPr>
              <w:t>;</w:t>
            </w:r>
          </w:p>
          <w:p w14:paraId="0AA2110D" w14:textId="0F886063"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Polskie Stowarzyszenie Budownictwa Ekologicznego</w:t>
            </w:r>
            <w:r>
              <w:rPr>
                <w:rFonts w:ascii="Times New Roman" w:hAnsi="Times New Roman"/>
              </w:rPr>
              <w:t>;</w:t>
            </w:r>
          </w:p>
          <w:p w14:paraId="0674DFA4" w14:textId="5EAE2D82"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Certyfikatorów i Audytorów Energetycznych</w:t>
            </w:r>
            <w:r>
              <w:rPr>
                <w:rFonts w:ascii="Times New Roman" w:hAnsi="Times New Roman"/>
              </w:rPr>
              <w:t>;</w:t>
            </w:r>
          </w:p>
          <w:p w14:paraId="4CB447BB" w14:textId="527EC970"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Pracodawców-Producentów Materiałów Dla Budownictwa</w:t>
            </w:r>
            <w:r>
              <w:rPr>
                <w:rFonts w:ascii="Times New Roman" w:hAnsi="Times New Roman"/>
              </w:rPr>
              <w:t>;</w:t>
            </w:r>
          </w:p>
          <w:p w14:paraId="064DD987"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Polskie Stowarzyszenie Producentów Styropianu</w:t>
            </w:r>
            <w:r>
              <w:rPr>
                <w:rFonts w:ascii="Times New Roman" w:hAnsi="Times New Roman"/>
              </w:rPr>
              <w:t>;</w:t>
            </w:r>
          </w:p>
          <w:p w14:paraId="5B371BFD"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MIWO Stowarzyszenie Producentów Wełny Mineralnej: Szklanej i Skalnej</w:t>
            </w:r>
            <w:r>
              <w:rPr>
                <w:rFonts w:ascii="Times New Roman" w:hAnsi="Times New Roman"/>
              </w:rPr>
              <w:t>;</w:t>
            </w:r>
          </w:p>
          <w:p w14:paraId="0DDDAEC2"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Polskie Okna i Drzwi, Związek Producentów, Dostawców i Dystrybutorów</w:t>
            </w:r>
            <w:r>
              <w:rPr>
                <w:rFonts w:ascii="Times New Roman" w:hAnsi="Times New Roman"/>
              </w:rPr>
              <w:t>;</w:t>
            </w:r>
          </w:p>
          <w:p w14:paraId="5E305554"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Nowoczesne Budynki</w:t>
            </w:r>
            <w:r>
              <w:rPr>
                <w:rFonts w:ascii="Times New Roman" w:hAnsi="Times New Roman"/>
              </w:rPr>
              <w:t>;</w:t>
            </w:r>
          </w:p>
          <w:p w14:paraId="65C8B1DD" w14:textId="53DD5366"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Federacja Porozumienie Polskiego Rynku Nieruchomości</w:t>
            </w:r>
            <w:r>
              <w:rPr>
                <w:rFonts w:ascii="Times New Roman" w:hAnsi="Times New Roman"/>
              </w:rPr>
              <w:t>;</w:t>
            </w:r>
          </w:p>
          <w:p w14:paraId="5F5C5ED3" w14:textId="2DBA559F"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lastRenderedPageBreak/>
              <w:t>Konfederacja Budownictwa i Nieruchomości</w:t>
            </w:r>
            <w:r>
              <w:rPr>
                <w:rFonts w:ascii="Times New Roman" w:hAnsi="Times New Roman"/>
              </w:rPr>
              <w:t>;</w:t>
            </w:r>
          </w:p>
          <w:p w14:paraId="75AEA1EF" w14:textId="17414F23"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Federacja Organizacji Zarządców, Administratorów i Właścicieli Nieruchomości</w:t>
            </w:r>
            <w:r>
              <w:rPr>
                <w:rFonts w:ascii="Times New Roman" w:hAnsi="Times New Roman"/>
              </w:rPr>
              <w:t>;</w:t>
            </w:r>
          </w:p>
          <w:p w14:paraId="4787537F" w14:textId="7EDCEBB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Federacja Rynku Nieruchomości</w:t>
            </w:r>
            <w:r>
              <w:rPr>
                <w:rFonts w:ascii="Times New Roman" w:hAnsi="Times New Roman"/>
              </w:rPr>
              <w:t>;</w:t>
            </w:r>
          </w:p>
          <w:p w14:paraId="2D9B0AC7" w14:textId="58EDC30C"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 Związek Firm Deweloperskich</w:t>
            </w:r>
            <w:r>
              <w:rPr>
                <w:rFonts w:ascii="Times New Roman" w:hAnsi="Times New Roman"/>
              </w:rPr>
              <w:t>;</w:t>
            </w:r>
          </w:p>
          <w:p w14:paraId="2FF92D64" w14:textId="567EAA71"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 Związek Inżynierów i Techników Budownictwa</w:t>
            </w:r>
            <w:r>
              <w:rPr>
                <w:rFonts w:ascii="Times New Roman" w:hAnsi="Times New Roman"/>
              </w:rPr>
              <w:t>;</w:t>
            </w:r>
          </w:p>
          <w:p w14:paraId="054F188B" w14:textId="4D0CC35C"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Izba Projektowania Budowlaneg</w:t>
            </w:r>
            <w:r>
              <w:rPr>
                <w:rFonts w:ascii="Times New Roman" w:hAnsi="Times New Roman"/>
              </w:rPr>
              <w:t>o;</w:t>
            </w:r>
          </w:p>
          <w:p w14:paraId="466D3D59" w14:textId="692CF710"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Zawodowy Budowlani</w:t>
            </w:r>
            <w:r>
              <w:rPr>
                <w:rFonts w:ascii="Times New Roman" w:hAnsi="Times New Roman"/>
              </w:rPr>
              <w:t>;</w:t>
            </w:r>
          </w:p>
          <w:p w14:paraId="67D769A7" w14:textId="5CA7785A"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 Związek Pracodawców Budownictw</w:t>
            </w:r>
            <w:r>
              <w:rPr>
                <w:rFonts w:ascii="Times New Roman" w:hAnsi="Times New Roman"/>
              </w:rPr>
              <w:t>a;</w:t>
            </w:r>
          </w:p>
          <w:p w14:paraId="2A2E493A" w14:textId="78082998"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Korporacja Kominiarzy Polskich;</w:t>
            </w:r>
          </w:p>
          <w:p w14:paraId="63E3AFFB"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Ogólnopolska Komisja Branżowa Kominiarzy przy Związku Rzemiosła Polskiego;</w:t>
            </w:r>
          </w:p>
          <w:p w14:paraId="7FE54611" w14:textId="5A40E0ED"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Korporacja Mistrzów Kominiarskich woj. Śląskiego</w:t>
            </w:r>
            <w:r>
              <w:rPr>
                <w:rFonts w:ascii="Times New Roman" w:hAnsi="Times New Roman"/>
              </w:rPr>
              <w:t>;</w:t>
            </w:r>
          </w:p>
          <w:p w14:paraId="19BDE4CE" w14:textId="66A2ED81"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Beskidzki Cech Kominiarzy</w:t>
            </w:r>
            <w:r>
              <w:rPr>
                <w:rFonts w:ascii="Times New Roman" w:hAnsi="Times New Roman"/>
              </w:rPr>
              <w:t>;</w:t>
            </w:r>
          </w:p>
          <w:p w14:paraId="24FF6929" w14:textId="0EDE4FE3"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Krajowa Izba Kominiarzy</w:t>
            </w:r>
            <w:r>
              <w:rPr>
                <w:rFonts w:ascii="Times New Roman" w:hAnsi="Times New Roman"/>
              </w:rPr>
              <w:t>;</w:t>
            </w:r>
          </w:p>
          <w:p w14:paraId="757217D1" w14:textId="17AFD5DD"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Związek Rzemiosła Polskiego</w:t>
            </w:r>
            <w:r>
              <w:rPr>
                <w:rFonts w:ascii="Times New Roman" w:hAnsi="Times New Roman"/>
              </w:rPr>
              <w:t>;</w:t>
            </w:r>
          </w:p>
          <w:p w14:paraId="3508A988" w14:textId="559327B6"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Naczelna Organizacja Techniczna</w:t>
            </w:r>
            <w:r>
              <w:rPr>
                <w:rFonts w:ascii="Times New Roman" w:hAnsi="Times New Roman"/>
              </w:rPr>
              <w:t>;</w:t>
            </w:r>
          </w:p>
          <w:p w14:paraId="285CA2F2" w14:textId="0B4065C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Izba Energetyki Przemysłowej i Odbiorców Energii</w:t>
            </w:r>
            <w:r>
              <w:rPr>
                <w:rFonts w:ascii="Times New Roman" w:hAnsi="Times New Roman"/>
              </w:rPr>
              <w:t>;</w:t>
            </w:r>
          </w:p>
          <w:p w14:paraId="10B502FD" w14:textId="5093386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Izba Gospodarcza Energetyki i Ochrony Środowiska;</w:t>
            </w:r>
          </w:p>
          <w:p w14:paraId="34C4C567" w14:textId="61E9185D"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Izba Gospodarcza Gazownictwa</w:t>
            </w:r>
            <w:r>
              <w:rPr>
                <w:rFonts w:ascii="Times New Roman" w:hAnsi="Times New Roman"/>
              </w:rPr>
              <w:t>;</w:t>
            </w:r>
          </w:p>
          <w:p w14:paraId="7BD5DC20" w14:textId="5B65D01F"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Krajowa Izba Biopaliw</w:t>
            </w:r>
            <w:r>
              <w:rPr>
                <w:rFonts w:ascii="Times New Roman" w:hAnsi="Times New Roman"/>
              </w:rPr>
              <w:t>;</w:t>
            </w:r>
          </w:p>
          <w:p w14:paraId="62BBD84C" w14:textId="2EEE3CE0"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Geotermalna Asocjacja im. prof. Juliana Sokołowskiego;</w:t>
            </w:r>
          </w:p>
          <w:p w14:paraId="58FDFC09" w14:textId="0CFA9AB0"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Izba Biomasy</w:t>
            </w:r>
            <w:r>
              <w:rPr>
                <w:rFonts w:ascii="Times New Roman" w:hAnsi="Times New Roman"/>
              </w:rPr>
              <w:t>;</w:t>
            </w:r>
          </w:p>
          <w:p w14:paraId="22BAC3D5" w14:textId="1B82BB9B"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Izba Gospodarcza Energetyki Odnawialnej i Rozproszone</w:t>
            </w:r>
            <w:r>
              <w:rPr>
                <w:rFonts w:ascii="Times New Roman" w:hAnsi="Times New Roman"/>
              </w:rPr>
              <w:t>j;</w:t>
            </w:r>
          </w:p>
          <w:p w14:paraId="71F77EB2" w14:textId="78CA178D"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 Komitet Energii Elektrycznej</w:t>
            </w:r>
            <w:r>
              <w:rPr>
                <w:rFonts w:ascii="Times New Roman" w:hAnsi="Times New Roman"/>
              </w:rPr>
              <w:t>;</w:t>
            </w:r>
          </w:p>
          <w:p w14:paraId="3EC454F8" w14:textId="08202165"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Polskie Stowarzyszenie Energetyki Wiatrowej</w:t>
            </w:r>
            <w:r>
              <w:rPr>
                <w:rFonts w:ascii="Times New Roman" w:hAnsi="Times New Roman"/>
              </w:rPr>
              <w:t>;</w:t>
            </w:r>
          </w:p>
          <w:p w14:paraId="0CFC93ED" w14:textId="36FB53BA"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Polskie Towarzystwo Elektrociepłowni Zawodowych</w:t>
            </w:r>
            <w:r>
              <w:rPr>
                <w:rFonts w:ascii="Times New Roman" w:hAnsi="Times New Roman"/>
              </w:rPr>
              <w:t>;</w:t>
            </w:r>
          </w:p>
          <w:p w14:paraId="50C398CE" w14:textId="6844645B"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Elektryków Polskich</w:t>
            </w:r>
            <w:r>
              <w:rPr>
                <w:rFonts w:ascii="Times New Roman" w:hAnsi="Times New Roman"/>
              </w:rPr>
              <w:t>;</w:t>
            </w:r>
          </w:p>
          <w:p w14:paraId="7AC9E907" w14:textId="7F10B42B"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Energii Odnawialnej</w:t>
            </w:r>
            <w:r>
              <w:rPr>
                <w:rFonts w:ascii="Times New Roman" w:hAnsi="Times New Roman"/>
              </w:rPr>
              <w:t>;</w:t>
            </w:r>
          </w:p>
          <w:p w14:paraId="6FDA7ECA"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Inżynierów i Techników Mechaników Polskich</w:t>
            </w:r>
            <w:r>
              <w:rPr>
                <w:rFonts w:ascii="Times New Roman" w:hAnsi="Times New Roman"/>
              </w:rPr>
              <w:t>;</w:t>
            </w:r>
          </w:p>
          <w:p w14:paraId="71501422"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na Rzecz Efektywności – im. prof. Krzysztofa Żmijewskiego</w:t>
            </w:r>
            <w:r>
              <w:rPr>
                <w:rFonts w:ascii="Times New Roman" w:hAnsi="Times New Roman"/>
              </w:rPr>
              <w:t>;</w:t>
            </w:r>
          </w:p>
          <w:p w14:paraId="52DF2F5C" w14:textId="77777777"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Niezależnych Wytwórców Energii Skojarzonej</w:t>
            </w:r>
            <w:r>
              <w:rPr>
                <w:rFonts w:ascii="Times New Roman" w:hAnsi="Times New Roman"/>
              </w:rPr>
              <w:t>;</w:t>
            </w:r>
          </w:p>
          <w:p w14:paraId="18B48963" w14:textId="671BB02A"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Stowarzyszenie Polskich Energetyków</w:t>
            </w:r>
            <w:r>
              <w:rPr>
                <w:rFonts w:ascii="Times New Roman" w:hAnsi="Times New Roman"/>
              </w:rPr>
              <w:t>;</w:t>
            </w:r>
          </w:p>
          <w:p w14:paraId="61076871" w14:textId="2A5E9DA2" w:rsidR="00D07EDD" w:rsidRDefault="00D07EDD" w:rsidP="002A3F0C">
            <w:pPr>
              <w:pStyle w:val="Akapitzlist"/>
              <w:numPr>
                <w:ilvl w:val="0"/>
                <w:numId w:val="9"/>
              </w:numPr>
              <w:spacing w:line="240" w:lineRule="auto"/>
              <w:ind w:left="488" w:hanging="502"/>
              <w:rPr>
                <w:rFonts w:ascii="Times New Roman" w:hAnsi="Times New Roman"/>
              </w:rPr>
            </w:pPr>
            <w:r w:rsidRPr="00D07EDD">
              <w:rPr>
                <w:rFonts w:ascii="Times New Roman" w:hAnsi="Times New Roman"/>
              </w:rPr>
              <w:t>Towarzystwo Obrotu Energią</w:t>
            </w:r>
            <w:r>
              <w:rPr>
                <w:rFonts w:ascii="Times New Roman" w:hAnsi="Times New Roman"/>
              </w:rPr>
              <w:t>;</w:t>
            </w:r>
          </w:p>
          <w:p w14:paraId="7D742912" w14:textId="033BA630" w:rsidR="00C316FD" w:rsidRDefault="00D07EDD" w:rsidP="00C316FD">
            <w:pPr>
              <w:pStyle w:val="Akapitzlist"/>
              <w:numPr>
                <w:ilvl w:val="0"/>
                <w:numId w:val="9"/>
              </w:numPr>
              <w:spacing w:line="240" w:lineRule="auto"/>
              <w:ind w:left="488" w:hanging="502"/>
              <w:rPr>
                <w:rFonts w:ascii="Times New Roman" w:hAnsi="Times New Roman"/>
              </w:rPr>
            </w:pPr>
            <w:r w:rsidRPr="00D07EDD">
              <w:rPr>
                <w:rFonts w:ascii="Times New Roman" w:hAnsi="Times New Roman"/>
              </w:rPr>
              <w:t>Polska Izba Ekologii</w:t>
            </w:r>
            <w:r w:rsidR="003134A4">
              <w:rPr>
                <w:rFonts w:ascii="Times New Roman" w:hAnsi="Times New Roman"/>
              </w:rPr>
              <w:t>;</w:t>
            </w:r>
          </w:p>
          <w:p w14:paraId="22631EAF" w14:textId="0A51D7F8" w:rsidR="00BE63B3" w:rsidRDefault="00BE63B3" w:rsidP="00C316FD">
            <w:pPr>
              <w:pStyle w:val="Akapitzlist"/>
              <w:numPr>
                <w:ilvl w:val="0"/>
                <w:numId w:val="9"/>
              </w:numPr>
              <w:spacing w:line="240" w:lineRule="auto"/>
              <w:ind w:left="488" w:hanging="502"/>
              <w:rPr>
                <w:rFonts w:ascii="Times New Roman" w:hAnsi="Times New Roman"/>
              </w:rPr>
            </w:pPr>
            <w:r w:rsidRPr="00BE63B3">
              <w:rPr>
                <w:rFonts w:ascii="Times New Roman" w:hAnsi="Times New Roman"/>
              </w:rPr>
              <w:t>Stowarzyszenie Certyfikatorów i Audytorów Energetycznych</w:t>
            </w:r>
            <w:r>
              <w:rPr>
                <w:rFonts w:ascii="Times New Roman" w:hAnsi="Times New Roman"/>
              </w:rPr>
              <w:t>;</w:t>
            </w:r>
          </w:p>
          <w:p w14:paraId="400F36C2" w14:textId="4038AD6F" w:rsidR="003134A4" w:rsidRDefault="003134A4" w:rsidP="00C316FD">
            <w:pPr>
              <w:pStyle w:val="Akapitzlist"/>
              <w:numPr>
                <w:ilvl w:val="0"/>
                <w:numId w:val="9"/>
              </w:numPr>
              <w:spacing w:line="240" w:lineRule="auto"/>
              <w:ind w:left="488" w:hanging="502"/>
              <w:rPr>
                <w:rFonts w:ascii="Times New Roman" w:hAnsi="Times New Roman"/>
              </w:rPr>
            </w:pPr>
            <w:r>
              <w:rPr>
                <w:rFonts w:ascii="Times New Roman" w:hAnsi="Times New Roman"/>
              </w:rPr>
              <w:t>Porozumienie Zielonogórskie.</w:t>
            </w:r>
          </w:p>
          <w:p w14:paraId="6E8102CA" w14:textId="77777777" w:rsidR="001B601A" w:rsidRPr="00D07EDD" w:rsidRDefault="001B601A" w:rsidP="00D07EDD">
            <w:pPr>
              <w:spacing w:line="240" w:lineRule="auto"/>
              <w:jc w:val="both"/>
              <w:rPr>
                <w:rFonts w:ascii="Times New Roman" w:hAnsi="Times New Roman"/>
                <w:color w:val="000000"/>
                <w:spacing w:val="-2"/>
              </w:rPr>
            </w:pPr>
          </w:p>
          <w:p w14:paraId="1958EB36" w14:textId="0D198098" w:rsidR="0040068E" w:rsidRDefault="0040068E" w:rsidP="0040068E">
            <w:pPr>
              <w:spacing w:line="240" w:lineRule="auto"/>
              <w:jc w:val="both"/>
              <w:rPr>
                <w:rFonts w:ascii="Times New Roman" w:hAnsi="Times New Roman"/>
                <w:color w:val="000000"/>
                <w:spacing w:val="-2"/>
              </w:rPr>
            </w:pPr>
            <w:r>
              <w:rPr>
                <w:rFonts w:ascii="Times New Roman" w:hAnsi="Times New Roman"/>
                <w:color w:val="000000"/>
                <w:spacing w:val="-2"/>
              </w:rPr>
              <w:t xml:space="preserve">Projekt rozporządzenia </w:t>
            </w:r>
            <w:r w:rsidR="003D090C">
              <w:rPr>
                <w:rFonts w:ascii="Times New Roman" w:hAnsi="Times New Roman"/>
                <w:color w:val="000000"/>
                <w:spacing w:val="-2"/>
              </w:rPr>
              <w:t xml:space="preserve">został </w:t>
            </w:r>
            <w:r>
              <w:rPr>
                <w:rFonts w:ascii="Times New Roman" w:hAnsi="Times New Roman"/>
                <w:color w:val="000000"/>
                <w:spacing w:val="-2"/>
              </w:rPr>
              <w:t>przekazany do opiniowania następującym podmiotom:</w:t>
            </w:r>
          </w:p>
          <w:p w14:paraId="3716DA2D"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Urząd Ochrony Konkurencji i Konsumentów;</w:t>
            </w:r>
          </w:p>
          <w:p w14:paraId="02BCC013"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Prokuratoria Generalna RP;</w:t>
            </w:r>
          </w:p>
          <w:p w14:paraId="1E215692"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Główny Urząd Geodezji i Kartografii;</w:t>
            </w:r>
          </w:p>
          <w:p w14:paraId="0002E554"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Główny Urząd Statystyczny;</w:t>
            </w:r>
          </w:p>
          <w:p w14:paraId="0A247A2C"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Urząd Ochrony Danych Osobowych;</w:t>
            </w:r>
          </w:p>
          <w:p w14:paraId="346F955F"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Generalna Dyrekcja Ochrony Środowiska;</w:t>
            </w:r>
          </w:p>
          <w:p w14:paraId="37C22557"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Główny Inspektorat Ochrony Środowiska;</w:t>
            </w:r>
          </w:p>
          <w:p w14:paraId="2E1F5472" w14:textId="77777777" w:rsidR="00E935FA" w:rsidRP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Rada do Spraw Cyfryzacji;</w:t>
            </w:r>
          </w:p>
          <w:p w14:paraId="02F76B17" w14:textId="0A255F70" w:rsidR="00E935FA" w:rsidRDefault="00E935FA" w:rsidP="00E935FA">
            <w:pPr>
              <w:pStyle w:val="Akapitzlist"/>
              <w:numPr>
                <w:ilvl w:val="0"/>
                <w:numId w:val="10"/>
              </w:numPr>
              <w:spacing w:line="240" w:lineRule="auto"/>
              <w:ind w:left="347"/>
              <w:jc w:val="both"/>
              <w:rPr>
                <w:rFonts w:ascii="Times New Roman" w:hAnsi="Times New Roman"/>
                <w:color w:val="000000"/>
                <w:spacing w:val="-2"/>
              </w:rPr>
            </w:pPr>
            <w:r w:rsidRPr="00E935FA">
              <w:rPr>
                <w:rFonts w:ascii="Times New Roman" w:hAnsi="Times New Roman"/>
                <w:color w:val="000000"/>
                <w:spacing w:val="-2"/>
              </w:rPr>
              <w:t>Narodowy Fundusz Ochrony Środowiska i Gospodarki Wodnej</w:t>
            </w:r>
            <w:r w:rsidR="000B2F97">
              <w:rPr>
                <w:rFonts w:ascii="Times New Roman" w:hAnsi="Times New Roman"/>
                <w:color w:val="000000"/>
                <w:spacing w:val="-2"/>
              </w:rPr>
              <w:t>;</w:t>
            </w:r>
          </w:p>
          <w:p w14:paraId="1687FC28" w14:textId="11232A05" w:rsidR="000B2F97" w:rsidRDefault="000B2F97" w:rsidP="000B2F97">
            <w:pPr>
              <w:pStyle w:val="Akapitzlist"/>
              <w:numPr>
                <w:ilvl w:val="0"/>
                <w:numId w:val="10"/>
              </w:numPr>
              <w:spacing w:line="240" w:lineRule="auto"/>
              <w:ind w:left="347"/>
              <w:jc w:val="both"/>
              <w:rPr>
                <w:rFonts w:ascii="Times New Roman" w:hAnsi="Times New Roman"/>
                <w:color w:val="000000"/>
                <w:spacing w:val="-2"/>
              </w:rPr>
            </w:pPr>
            <w:r>
              <w:rPr>
                <w:rFonts w:ascii="Times New Roman" w:hAnsi="Times New Roman"/>
                <w:color w:val="000000"/>
                <w:spacing w:val="-2"/>
              </w:rPr>
              <w:t xml:space="preserve">Polska </w:t>
            </w:r>
            <w:r w:rsidRPr="000B2F97">
              <w:rPr>
                <w:rFonts w:ascii="Times New Roman" w:hAnsi="Times New Roman"/>
                <w:color w:val="000000"/>
                <w:spacing w:val="-2"/>
              </w:rPr>
              <w:t>Izba Inżynierów Budownictwa;</w:t>
            </w:r>
          </w:p>
          <w:p w14:paraId="79E149D8" w14:textId="79705758" w:rsidR="000B2F97" w:rsidRDefault="000B2F97" w:rsidP="000B2F97">
            <w:pPr>
              <w:pStyle w:val="Akapitzlist"/>
              <w:numPr>
                <w:ilvl w:val="0"/>
                <w:numId w:val="10"/>
              </w:numPr>
              <w:spacing w:line="240" w:lineRule="auto"/>
              <w:ind w:left="347"/>
              <w:jc w:val="both"/>
              <w:rPr>
                <w:rFonts w:ascii="Times New Roman" w:hAnsi="Times New Roman"/>
                <w:color w:val="000000"/>
                <w:spacing w:val="-2"/>
              </w:rPr>
            </w:pPr>
            <w:r w:rsidRPr="000B2F97">
              <w:rPr>
                <w:rFonts w:ascii="Times New Roman" w:hAnsi="Times New Roman"/>
                <w:color w:val="000000"/>
                <w:spacing w:val="-2"/>
              </w:rPr>
              <w:t>Izba Architektów RP;</w:t>
            </w:r>
          </w:p>
          <w:p w14:paraId="640E21DD" w14:textId="2ECD6E43" w:rsidR="00895C79" w:rsidRDefault="000B2F97" w:rsidP="000B2F97">
            <w:pPr>
              <w:pStyle w:val="Akapitzlist"/>
              <w:numPr>
                <w:ilvl w:val="0"/>
                <w:numId w:val="10"/>
              </w:numPr>
              <w:spacing w:line="240" w:lineRule="auto"/>
              <w:ind w:left="347"/>
              <w:jc w:val="both"/>
              <w:rPr>
                <w:rFonts w:ascii="Times New Roman" w:hAnsi="Times New Roman"/>
                <w:color w:val="000000"/>
                <w:spacing w:val="-2"/>
              </w:rPr>
            </w:pPr>
            <w:r w:rsidRPr="000B2F97">
              <w:rPr>
                <w:rFonts w:ascii="Times New Roman" w:hAnsi="Times New Roman"/>
                <w:color w:val="000000"/>
                <w:spacing w:val="-2"/>
              </w:rPr>
              <w:t>Stowarzyszenie Architektów RP.</w:t>
            </w:r>
          </w:p>
          <w:p w14:paraId="1A0BC234" w14:textId="77777777" w:rsidR="000B2F97" w:rsidRPr="000B2F97" w:rsidRDefault="000B2F97" w:rsidP="00DB561A">
            <w:pPr>
              <w:pStyle w:val="Akapitzlist"/>
              <w:spacing w:line="240" w:lineRule="auto"/>
              <w:ind w:left="347"/>
              <w:jc w:val="both"/>
              <w:rPr>
                <w:rFonts w:ascii="Times New Roman" w:hAnsi="Times New Roman"/>
                <w:color w:val="000000"/>
                <w:spacing w:val="-2"/>
              </w:rPr>
            </w:pPr>
          </w:p>
          <w:p w14:paraId="0E779616" w14:textId="5FD1D400" w:rsidR="003D090C" w:rsidRPr="003D090C" w:rsidRDefault="003D090C" w:rsidP="003D090C">
            <w:pPr>
              <w:spacing w:line="240" w:lineRule="auto"/>
              <w:jc w:val="both"/>
              <w:rPr>
                <w:rFonts w:ascii="Times New Roman" w:hAnsi="Times New Roman"/>
                <w:color w:val="000000"/>
                <w:spacing w:val="-2"/>
              </w:rPr>
            </w:pPr>
            <w:r w:rsidRPr="003D090C">
              <w:rPr>
                <w:rFonts w:ascii="Times New Roman" w:hAnsi="Times New Roman"/>
                <w:color w:val="000000"/>
                <w:spacing w:val="-2"/>
              </w:rPr>
              <w:t xml:space="preserve">Konsultacje publiczne i opiniowanie rozpoczęły się </w:t>
            </w:r>
            <w:r>
              <w:rPr>
                <w:rFonts w:ascii="Times New Roman" w:hAnsi="Times New Roman"/>
                <w:color w:val="000000"/>
                <w:spacing w:val="-2"/>
              </w:rPr>
              <w:t>6</w:t>
            </w:r>
            <w:r w:rsidRPr="003D090C">
              <w:rPr>
                <w:rFonts w:ascii="Times New Roman" w:hAnsi="Times New Roman"/>
                <w:color w:val="000000"/>
                <w:spacing w:val="-2"/>
              </w:rPr>
              <w:t xml:space="preserve"> kwietnia 2023 r. i trwały 7 dni. </w:t>
            </w:r>
          </w:p>
          <w:p w14:paraId="1CC587F6" w14:textId="77777777" w:rsidR="003D090C" w:rsidRPr="003D090C" w:rsidRDefault="003D090C" w:rsidP="003D090C">
            <w:pPr>
              <w:spacing w:line="240" w:lineRule="auto"/>
              <w:jc w:val="both"/>
              <w:rPr>
                <w:rFonts w:ascii="Times New Roman" w:hAnsi="Times New Roman"/>
                <w:color w:val="000000"/>
                <w:spacing w:val="-2"/>
              </w:rPr>
            </w:pPr>
          </w:p>
          <w:p w14:paraId="60FDA429" w14:textId="286E117C" w:rsidR="003D090C" w:rsidRPr="003D090C" w:rsidRDefault="003D090C" w:rsidP="003D090C">
            <w:pPr>
              <w:spacing w:line="240" w:lineRule="auto"/>
              <w:jc w:val="both"/>
              <w:rPr>
                <w:rFonts w:ascii="Times New Roman" w:hAnsi="Times New Roman"/>
                <w:color w:val="000000"/>
                <w:spacing w:val="-2"/>
              </w:rPr>
            </w:pPr>
            <w:r w:rsidRPr="003D090C">
              <w:rPr>
                <w:rFonts w:ascii="Times New Roman" w:hAnsi="Times New Roman"/>
                <w:color w:val="000000"/>
                <w:spacing w:val="-2"/>
              </w:rPr>
              <w:t xml:space="preserve">Dodatkowo, w ramach opiniowania, projekt rozporządzenia przekazano pismem z </w:t>
            </w:r>
            <w:r>
              <w:rPr>
                <w:rFonts w:ascii="Times New Roman" w:hAnsi="Times New Roman"/>
                <w:color w:val="000000"/>
                <w:spacing w:val="-2"/>
              </w:rPr>
              <w:t>6</w:t>
            </w:r>
            <w:r w:rsidRPr="003D090C">
              <w:rPr>
                <w:rFonts w:ascii="Times New Roman" w:hAnsi="Times New Roman"/>
                <w:color w:val="000000"/>
                <w:spacing w:val="-2"/>
              </w:rPr>
              <w:t xml:space="preserve"> kwietnia 2023 r. na Komisję Wspólną Rządu i Samorządu Terytorialnego. KWRiST 30 maja 2023 r. pozytywnie zaopiniował projekt.</w:t>
            </w:r>
          </w:p>
          <w:p w14:paraId="7D8F90C8" w14:textId="77777777" w:rsidR="003D090C" w:rsidRPr="003D090C" w:rsidRDefault="003D090C" w:rsidP="003D090C">
            <w:pPr>
              <w:spacing w:line="240" w:lineRule="auto"/>
              <w:jc w:val="both"/>
              <w:rPr>
                <w:rFonts w:ascii="Times New Roman" w:hAnsi="Times New Roman"/>
                <w:color w:val="000000"/>
                <w:spacing w:val="-2"/>
              </w:rPr>
            </w:pPr>
          </w:p>
          <w:p w14:paraId="06DA13A7" w14:textId="07B24B56" w:rsidR="00923C48" w:rsidRPr="00D07EDD" w:rsidRDefault="003D090C" w:rsidP="003D090C">
            <w:pPr>
              <w:spacing w:line="240" w:lineRule="auto"/>
              <w:jc w:val="both"/>
              <w:rPr>
                <w:rFonts w:ascii="Times New Roman" w:hAnsi="Times New Roman"/>
                <w:color w:val="000000"/>
                <w:spacing w:val="-2"/>
              </w:rPr>
            </w:pPr>
            <w:r w:rsidRPr="003D090C">
              <w:rPr>
                <w:rFonts w:ascii="Times New Roman" w:hAnsi="Times New Roman"/>
                <w:color w:val="000000"/>
                <w:spacing w:val="-2"/>
              </w:rPr>
              <w:t>Nie odnotowano zainteresowania pracami nad projektem rozporządzenia w trybie przepisów ustawy z dnia 7 lipca 2005 r. o działalności lobbingowej w procesie stanowienia prawa.</w:t>
            </w:r>
          </w:p>
        </w:tc>
      </w:tr>
      <w:tr w:rsidR="00923C48" w:rsidRPr="008B4FE6" w14:paraId="163D6AE6" w14:textId="77777777" w:rsidTr="00B14A36">
        <w:trPr>
          <w:trHeight w:val="363"/>
        </w:trPr>
        <w:tc>
          <w:tcPr>
            <w:tcW w:w="10944" w:type="dxa"/>
            <w:gridSpan w:val="23"/>
            <w:shd w:val="clear" w:color="auto" w:fill="99CCFF"/>
            <w:vAlign w:val="center"/>
          </w:tcPr>
          <w:p w14:paraId="2027142B" w14:textId="77777777" w:rsidR="00923C48" w:rsidRPr="008B4FE6" w:rsidRDefault="00923C48" w:rsidP="002A3F0C">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923C48" w:rsidRPr="008B4FE6" w14:paraId="5A3E55F4" w14:textId="77777777" w:rsidTr="00B14A36">
        <w:trPr>
          <w:trHeight w:val="142"/>
        </w:trPr>
        <w:tc>
          <w:tcPr>
            <w:tcW w:w="3715" w:type="dxa"/>
            <w:gridSpan w:val="6"/>
            <w:vMerge w:val="restart"/>
            <w:shd w:val="clear" w:color="auto" w:fill="FFFFFF" w:themeFill="background1"/>
          </w:tcPr>
          <w:p w14:paraId="4D3AB2A6" w14:textId="77777777" w:rsidR="00923C48" w:rsidRPr="00C53F26" w:rsidRDefault="00923C48" w:rsidP="00923C48">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 r.)</w:t>
            </w:r>
          </w:p>
        </w:tc>
        <w:tc>
          <w:tcPr>
            <w:tcW w:w="7229" w:type="dxa"/>
            <w:gridSpan w:val="17"/>
            <w:shd w:val="clear" w:color="auto" w:fill="FFFFFF" w:themeFill="background1"/>
          </w:tcPr>
          <w:p w14:paraId="5FE473E1" w14:textId="77777777" w:rsidR="00923C48" w:rsidRPr="00C53F26" w:rsidRDefault="00923C48" w:rsidP="00923C48">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A24B33" w:rsidRPr="008B4FE6" w14:paraId="41077A35" w14:textId="77777777" w:rsidTr="00967860">
        <w:trPr>
          <w:trHeight w:val="142"/>
        </w:trPr>
        <w:tc>
          <w:tcPr>
            <w:tcW w:w="3715" w:type="dxa"/>
            <w:gridSpan w:val="6"/>
            <w:vMerge/>
          </w:tcPr>
          <w:p w14:paraId="24745BF7" w14:textId="77777777" w:rsidR="00923C48" w:rsidRPr="00C53F26" w:rsidRDefault="00923C48" w:rsidP="00923C48">
            <w:pPr>
              <w:spacing w:before="40" w:after="40" w:line="240" w:lineRule="auto"/>
              <w:rPr>
                <w:rFonts w:ascii="Times New Roman" w:hAnsi="Times New Roman"/>
                <w:i/>
                <w:color w:val="000000"/>
                <w:sz w:val="21"/>
                <w:szCs w:val="21"/>
              </w:rPr>
            </w:pPr>
          </w:p>
        </w:tc>
        <w:tc>
          <w:tcPr>
            <w:tcW w:w="425" w:type="dxa"/>
            <w:shd w:val="clear" w:color="auto" w:fill="FFFFFF" w:themeFill="background1"/>
          </w:tcPr>
          <w:p w14:paraId="1EF8E2E8"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0</w:t>
            </w:r>
          </w:p>
        </w:tc>
        <w:tc>
          <w:tcPr>
            <w:tcW w:w="567" w:type="dxa"/>
            <w:shd w:val="clear" w:color="auto" w:fill="FFFFFF" w:themeFill="background1"/>
          </w:tcPr>
          <w:p w14:paraId="4D259F65"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1</w:t>
            </w:r>
          </w:p>
        </w:tc>
        <w:tc>
          <w:tcPr>
            <w:tcW w:w="426" w:type="dxa"/>
            <w:shd w:val="clear" w:color="auto" w:fill="FFFFFF" w:themeFill="background1"/>
          </w:tcPr>
          <w:p w14:paraId="3760B99D"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2</w:t>
            </w:r>
          </w:p>
        </w:tc>
        <w:tc>
          <w:tcPr>
            <w:tcW w:w="567" w:type="dxa"/>
            <w:shd w:val="clear" w:color="auto" w:fill="FFFFFF" w:themeFill="background1"/>
          </w:tcPr>
          <w:p w14:paraId="14BD804C"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3</w:t>
            </w:r>
          </w:p>
        </w:tc>
        <w:tc>
          <w:tcPr>
            <w:tcW w:w="567" w:type="dxa"/>
            <w:shd w:val="clear" w:color="auto" w:fill="FFFFFF" w:themeFill="background1"/>
          </w:tcPr>
          <w:p w14:paraId="44EFA94B"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4</w:t>
            </w:r>
          </w:p>
        </w:tc>
        <w:tc>
          <w:tcPr>
            <w:tcW w:w="567" w:type="dxa"/>
            <w:shd w:val="clear" w:color="auto" w:fill="FFFFFF" w:themeFill="background1"/>
          </w:tcPr>
          <w:p w14:paraId="393E793D"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5</w:t>
            </w:r>
          </w:p>
        </w:tc>
        <w:tc>
          <w:tcPr>
            <w:tcW w:w="567" w:type="dxa"/>
            <w:gridSpan w:val="2"/>
            <w:shd w:val="clear" w:color="auto" w:fill="FFFFFF" w:themeFill="background1"/>
          </w:tcPr>
          <w:p w14:paraId="2CBDEE94"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6</w:t>
            </w:r>
          </w:p>
        </w:tc>
        <w:tc>
          <w:tcPr>
            <w:tcW w:w="567" w:type="dxa"/>
            <w:gridSpan w:val="2"/>
            <w:shd w:val="clear" w:color="auto" w:fill="FFFFFF" w:themeFill="background1"/>
          </w:tcPr>
          <w:p w14:paraId="0D76804E"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7</w:t>
            </w:r>
          </w:p>
        </w:tc>
        <w:tc>
          <w:tcPr>
            <w:tcW w:w="567" w:type="dxa"/>
            <w:gridSpan w:val="3"/>
            <w:shd w:val="clear" w:color="auto" w:fill="FFFFFF" w:themeFill="background1"/>
          </w:tcPr>
          <w:p w14:paraId="1624F054"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8</w:t>
            </w:r>
          </w:p>
        </w:tc>
        <w:tc>
          <w:tcPr>
            <w:tcW w:w="567" w:type="dxa"/>
            <w:shd w:val="clear" w:color="auto" w:fill="FFFFFF" w:themeFill="background1"/>
          </w:tcPr>
          <w:p w14:paraId="22247EA4"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9</w:t>
            </w:r>
          </w:p>
        </w:tc>
        <w:tc>
          <w:tcPr>
            <w:tcW w:w="567" w:type="dxa"/>
            <w:gridSpan w:val="2"/>
            <w:shd w:val="clear" w:color="auto" w:fill="FFFFFF" w:themeFill="background1"/>
          </w:tcPr>
          <w:p w14:paraId="6D1B0EED" w14:textId="77777777" w:rsidR="00923C48" w:rsidRPr="004E3286" w:rsidRDefault="00923C48" w:rsidP="00923C48">
            <w:pPr>
              <w:spacing w:line="240" w:lineRule="auto"/>
              <w:jc w:val="center"/>
              <w:rPr>
                <w:rFonts w:ascii="Times New Roman" w:hAnsi="Times New Roman"/>
                <w:color w:val="000000"/>
                <w:sz w:val="20"/>
                <w:szCs w:val="21"/>
              </w:rPr>
            </w:pPr>
            <w:r w:rsidRPr="004E3286">
              <w:rPr>
                <w:rFonts w:ascii="Times New Roman" w:hAnsi="Times New Roman"/>
                <w:color w:val="000000"/>
                <w:sz w:val="20"/>
                <w:szCs w:val="21"/>
              </w:rPr>
              <w:t>10</w:t>
            </w:r>
          </w:p>
        </w:tc>
        <w:tc>
          <w:tcPr>
            <w:tcW w:w="1275" w:type="dxa"/>
            <w:shd w:val="clear" w:color="auto" w:fill="FFFFFF" w:themeFill="background1"/>
          </w:tcPr>
          <w:p w14:paraId="42188086" w14:textId="77777777" w:rsidR="00923C48" w:rsidRPr="004E3286" w:rsidRDefault="00923C48" w:rsidP="00923C48">
            <w:pPr>
              <w:spacing w:before="40" w:after="40" w:line="240" w:lineRule="auto"/>
              <w:jc w:val="center"/>
              <w:rPr>
                <w:rFonts w:ascii="Times New Roman" w:hAnsi="Times New Roman"/>
                <w:i/>
                <w:color w:val="000000"/>
                <w:spacing w:val="-2"/>
                <w:sz w:val="20"/>
                <w:szCs w:val="21"/>
              </w:rPr>
            </w:pPr>
            <w:r w:rsidRPr="004E3286">
              <w:rPr>
                <w:rFonts w:ascii="Times New Roman" w:hAnsi="Times New Roman"/>
                <w:i/>
                <w:color w:val="000000"/>
                <w:spacing w:val="-2"/>
                <w:sz w:val="20"/>
                <w:szCs w:val="21"/>
              </w:rPr>
              <w:t>Łącznie (0-10)</w:t>
            </w:r>
          </w:p>
        </w:tc>
      </w:tr>
      <w:tr w:rsidR="00A24B33" w:rsidRPr="008B4FE6" w14:paraId="49212A95" w14:textId="77777777" w:rsidTr="00967860">
        <w:trPr>
          <w:trHeight w:val="321"/>
        </w:trPr>
        <w:tc>
          <w:tcPr>
            <w:tcW w:w="3715" w:type="dxa"/>
            <w:gridSpan w:val="6"/>
            <w:shd w:val="clear" w:color="auto" w:fill="FFFFFF" w:themeFill="background1"/>
            <w:vAlign w:val="center"/>
          </w:tcPr>
          <w:p w14:paraId="56E821D0"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425" w:type="dxa"/>
            <w:shd w:val="clear" w:color="auto" w:fill="FFFFFF" w:themeFill="background1"/>
          </w:tcPr>
          <w:p w14:paraId="22660B3F" w14:textId="77777777" w:rsidR="001B601A" w:rsidRPr="00B37C80" w:rsidRDefault="001B601A" w:rsidP="001B601A">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67" w:type="dxa"/>
            <w:shd w:val="clear" w:color="auto" w:fill="FFFFFF" w:themeFill="background1"/>
          </w:tcPr>
          <w:p w14:paraId="3FCA2BD4"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426" w:type="dxa"/>
            <w:shd w:val="clear" w:color="auto" w:fill="FFFFFF" w:themeFill="background1"/>
          </w:tcPr>
          <w:p w14:paraId="4A0049D8"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shd w:val="clear" w:color="auto" w:fill="FFFFFF" w:themeFill="background1"/>
          </w:tcPr>
          <w:p w14:paraId="081DB78B"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shd w:val="clear" w:color="auto" w:fill="FFFFFF" w:themeFill="background1"/>
          </w:tcPr>
          <w:p w14:paraId="7716FB53"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shd w:val="clear" w:color="auto" w:fill="FFFFFF" w:themeFill="background1"/>
          </w:tcPr>
          <w:p w14:paraId="47B4A95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gridSpan w:val="2"/>
            <w:shd w:val="clear" w:color="auto" w:fill="FFFFFF" w:themeFill="background1"/>
          </w:tcPr>
          <w:p w14:paraId="78D0868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gridSpan w:val="2"/>
            <w:shd w:val="clear" w:color="auto" w:fill="FFFFFF" w:themeFill="background1"/>
          </w:tcPr>
          <w:p w14:paraId="72C5DDC7"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gridSpan w:val="3"/>
            <w:shd w:val="clear" w:color="auto" w:fill="FFFFFF" w:themeFill="background1"/>
          </w:tcPr>
          <w:p w14:paraId="2BDA1B7F"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shd w:val="clear" w:color="auto" w:fill="FFFFFF" w:themeFill="background1"/>
          </w:tcPr>
          <w:p w14:paraId="695DA8E2"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567" w:type="dxa"/>
            <w:gridSpan w:val="2"/>
            <w:shd w:val="clear" w:color="auto" w:fill="FFFFFF" w:themeFill="background1"/>
          </w:tcPr>
          <w:p w14:paraId="4924C676" w14:textId="77777777" w:rsidR="001B601A" w:rsidRPr="00B37C80" w:rsidRDefault="001B601A" w:rsidP="001B601A">
            <w:pPr>
              <w:spacing w:line="240" w:lineRule="auto"/>
              <w:jc w:val="center"/>
              <w:rPr>
                <w:rFonts w:ascii="Times New Roman" w:hAnsi="Times New Roman"/>
                <w:color w:val="000000"/>
                <w:sz w:val="21"/>
                <w:szCs w:val="21"/>
              </w:rPr>
            </w:pPr>
            <w:r w:rsidRPr="0015797A">
              <w:rPr>
                <w:rFonts w:ascii="Times New Roman" w:hAnsi="Times New Roman"/>
                <w:color w:val="000000"/>
                <w:sz w:val="21"/>
                <w:szCs w:val="21"/>
              </w:rPr>
              <w:t>-</w:t>
            </w:r>
          </w:p>
        </w:tc>
        <w:tc>
          <w:tcPr>
            <w:tcW w:w="1275" w:type="dxa"/>
            <w:shd w:val="clear" w:color="auto" w:fill="FFFFFF" w:themeFill="background1"/>
          </w:tcPr>
          <w:p w14:paraId="22DE66F9" w14:textId="77777777" w:rsidR="001B601A" w:rsidRPr="00B37C80" w:rsidRDefault="001B601A" w:rsidP="001B601A">
            <w:pPr>
              <w:spacing w:line="240" w:lineRule="auto"/>
              <w:jc w:val="center"/>
              <w:rPr>
                <w:rFonts w:ascii="Times New Roman" w:hAnsi="Times New Roman"/>
                <w:color w:val="000000"/>
                <w:spacing w:val="-2"/>
                <w:sz w:val="21"/>
                <w:szCs w:val="21"/>
              </w:rPr>
            </w:pPr>
            <w:r w:rsidRPr="0015797A">
              <w:rPr>
                <w:rFonts w:ascii="Times New Roman" w:hAnsi="Times New Roman"/>
                <w:color w:val="000000"/>
                <w:sz w:val="21"/>
                <w:szCs w:val="21"/>
              </w:rPr>
              <w:t>-</w:t>
            </w:r>
          </w:p>
        </w:tc>
      </w:tr>
      <w:tr w:rsidR="00A24B33" w:rsidRPr="008B4FE6" w14:paraId="31F9B584" w14:textId="77777777" w:rsidTr="00967860">
        <w:trPr>
          <w:trHeight w:val="321"/>
        </w:trPr>
        <w:tc>
          <w:tcPr>
            <w:tcW w:w="3715" w:type="dxa"/>
            <w:gridSpan w:val="6"/>
            <w:shd w:val="clear" w:color="auto" w:fill="FFFFFF" w:themeFill="background1"/>
            <w:vAlign w:val="center"/>
          </w:tcPr>
          <w:p w14:paraId="186B84F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25" w:type="dxa"/>
            <w:shd w:val="clear" w:color="auto" w:fill="FFFFFF" w:themeFill="background1"/>
          </w:tcPr>
          <w:p w14:paraId="6FD82A8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2E55FF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449FE4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505EF5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FBC554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720F2E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5613DE9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534F09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1A33A60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A75A6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1E75C0D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267357BD" w14:textId="77777777" w:rsidR="001B601A" w:rsidRPr="00B37C80" w:rsidRDefault="001B601A" w:rsidP="001B601A">
            <w:pPr>
              <w:spacing w:line="240" w:lineRule="auto"/>
              <w:jc w:val="center"/>
              <w:rPr>
                <w:rFonts w:ascii="Times New Roman" w:hAnsi="Times New Roman"/>
                <w:color w:val="000000"/>
                <w:spacing w:val="-2"/>
                <w:sz w:val="21"/>
                <w:szCs w:val="21"/>
              </w:rPr>
            </w:pPr>
            <w:r w:rsidRPr="00F34767">
              <w:rPr>
                <w:rFonts w:ascii="Times New Roman" w:hAnsi="Times New Roman"/>
                <w:color w:val="000000"/>
                <w:sz w:val="21"/>
                <w:szCs w:val="21"/>
              </w:rPr>
              <w:t>-</w:t>
            </w:r>
          </w:p>
        </w:tc>
      </w:tr>
      <w:tr w:rsidR="00A24B33" w:rsidRPr="008B4FE6" w14:paraId="1A0E4C5B" w14:textId="77777777" w:rsidTr="00967860">
        <w:trPr>
          <w:trHeight w:val="344"/>
        </w:trPr>
        <w:tc>
          <w:tcPr>
            <w:tcW w:w="3715" w:type="dxa"/>
            <w:gridSpan w:val="6"/>
            <w:shd w:val="clear" w:color="auto" w:fill="FFFFFF" w:themeFill="background1"/>
            <w:vAlign w:val="center"/>
          </w:tcPr>
          <w:p w14:paraId="53B56A36"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25" w:type="dxa"/>
            <w:shd w:val="clear" w:color="auto" w:fill="FFFFFF" w:themeFill="background1"/>
          </w:tcPr>
          <w:p w14:paraId="71B86A9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ADEF0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65BAC5A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93CEC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15B5EA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94BED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20DDCC7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77F90C1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28512CD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D32EC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5B28DF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1DFD50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7395DC44" w14:textId="77777777" w:rsidTr="00967860">
        <w:trPr>
          <w:trHeight w:val="344"/>
        </w:trPr>
        <w:tc>
          <w:tcPr>
            <w:tcW w:w="3715" w:type="dxa"/>
            <w:gridSpan w:val="6"/>
            <w:shd w:val="clear" w:color="auto" w:fill="FFFFFF" w:themeFill="background1"/>
            <w:vAlign w:val="center"/>
          </w:tcPr>
          <w:p w14:paraId="31940AAA"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25" w:type="dxa"/>
            <w:shd w:val="clear" w:color="auto" w:fill="FFFFFF" w:themeFill="background1"/>
          </w:tcPr>
          <w:p w14:paraId="1769D9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2D550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5C73E19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4A15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1C2E41B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59BB9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222DAE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7E33EF7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29774AA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077C40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6DA7444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44F484C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24D9466B" w14:textId="77777777" w:rsidTr="00967860">
        <w:trPr>
          <w:trHeight w:val="330"/>
        </w:trPr>
        <w:tc>
          <w:tcPr>
            <w:tcW w:w="3715" w:type="dxa"/>
            <w:gridSpan w:val="6"/>
            <w:shd w:val="clear" w:color="auto" w:fill="FFFFFF" w:themeFill="background1"/>
            <w:vAlign w:val="center"/>
          </w:tcPr>
          <w:p w14:paraId="57301C15"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425" w:type="dxa"/>
            <w:shd w:val="clear" w:color="auto" w:fill="FFFFFF" w:themeFill="background1"/>
          </w:tcPr>
          <w:p w14:paraId="6BB223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C03FA3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2FA39A0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259BEC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7F90B9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83EB99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4963650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052758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5175E90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379E4C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664A45F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4A6BCE6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0309F34A" w14:textId="77777777" w:rsidTr="00967860">
        <w:trPr>
          <w:trHeight w:val="330"/>
        </w:trPr>
        <w:tc>
          <w:tcPr>
            <w:tcW w:w="3715" w:type="dxa"/>
            <w:gridSpan w:val="6"/>
            <w:shd w:val="clear" w:color="auto" w:fill="FFFFFF" w:themeFill="background1"/>
            <w:vAlign w:val="center"/>
          </w:tcPr>
          <w:p w14:paraId="3E6F2EE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25" w:type="dxa"/>
            <w:shd w:val="clear" w:color="auto" w:fill="FFFFFF" w:themeFill="background1"/>
          </w:tcPr>
          <w:p w14:paraId="4A67C21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98EBD1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43F8B3B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71301D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F3B76B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745445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175C522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4BC8FFC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790A66E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1F1AFA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68FA4C4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654E2C6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572CFCFC" w14:textId="77777777" w:rsidTr="00967860">
        <w:trPr>
          <w:trHeight w:val="351"/>
        </w:trPr>
        <w:tc>
          <w:tcPr>
            <w:tcW w:w="3715" w:type="dxa"/>
            <w:gridSpan w:val="6"/>
            <w:shd w:val="clear" w:color="auto" w:fill="FFFFFF" w:themeFill="background1"/>
            <w:vAlign w:val="center"/>
          </w:tcPr>
          <w:p w14:paraId="2FC71422"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25" w:type="dxa"/>
            <w:shd w:val="clear" w:color="auto" w:fill="FFFFFF" w:themeFill="background1"/>
          </w:tcPr>
          <w:p w14:paraId="035C23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0C37F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66EE823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7059BE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D3A7C6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7C4527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19B81A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5C9E43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1D46130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4552B6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726F77F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395A459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152B0ACD" w14:textId="77777777" w:rsidTr="00967860">
        <w:trPr>
          <w:trHeight w:val="351"/>
        </w:trPr>
        <w:tc>
          <w:tcPr>
            <w:tcW w:w="3715" w:type="dxa"/>
            <w:gridSpan w:val="6"/>
            <w:shd w:val="clear" w:color="auto" w:fill="FFFFFF" w:themeFill="background1"/>
            <w:vAlign w:val="center"/>
          </w:tcPr>
          <w:p w14:paraId="73F239CB"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25" w:type="dxa"/>
            <w:shd w:val="clear" w:color="auto" w:fill="FFFFFF" w:themeFill="background1"/>
          </w:tcPr>
          <w:p w14:paraId="2EA0105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D9EB8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5D21DEC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776D953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202865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75E9BC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22E8105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BC77D7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6F264B33"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B1FCA1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7D993AE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7A75D2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2A239D89" w14:textId="77777777" w:rsidTr="00967860">
        <w:trPr>
          <w:trHeight w:val="360"/>
        </w:trPr>
        <w:tc>
          <w:tcPr>
            <w:tcW w:w="3715" w:type="dxa"/>
            <w:gridSpan w:val="6"/>
            <w:shd w:val="clear" w:color="auto" w:fill="FFFFFF" w:themeFill="background1"/>
            <w:vAlign w:val="center"/>
          </w:tcPr>
          <w:p w14:paraId="2F4A0F73"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425" w:type="dxa"/>
            <w:shd w:val="clear" w:color="auto" w:fill="FFFFFF" w:themeFill="background1"/>
          </w:tcPr>
          <w:p w14:paraId="473F725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8132D7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42C49D6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BD74A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D508D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7641D81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570AD1C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551F8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356C65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1A8BA0A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799E0A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3F11D4F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3149898C" w14:textId="77777777" w:rsidTr="00967860">
        <w:trPr>
          <w:trHeight w:val="360"/>
        </w:trPr>
        <w:tc>
          <w:tcPr>
            <w:tcW w:w="3715" w:type="dxa"/>
            <w:gridSpan w:val="6"/>
            <w:shd w:val="clear" w:color="auto" w:fill="FFFFFF" w:themeFill="background1"/>
            <w:vAlign w:val="center"/>
          </w:tcPr>
          <w:p w14:paraId="335F6524"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425" w:type="dxa"/>
            <w:shd w:val="clear" w:color="auto" w:fill="FFFFFF" w:themeFill="background1"/>
          </w:tcPr>
          <w:p w14:paraId="6DB7DDC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1C43B5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202551D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2C1B21F"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BDB2341"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50E4663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6531C0D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40BEE94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7708B42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3F3B76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57CE9FB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2CD2E28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1CCCD47E" w14:textId="77777777" w:rsidTr="00967860">
        <w:trPr>
          <w:trHeight w:val="357"/>
        </w:trPr>
        <w:tc>
          <w:tcPr>
            <w:tcW w:w="3715" w:type="dxa"/>
            <w:gridSpan w:val="6"/>
            <w:shd w:val="clear" w:color="auto" w:fill="FFFFFF" w:themeFill="background1"/>
            <w:vAlign w:val="center"/>
          </w:tcPr>
          <w:p w14:paraId="6D2E8949"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425" w:type="dxa"/>
            <w:shd w:val="clear" w:color="auto" w:fill="FFFFFF" w:themeFill="background1"/>
          </w:tcPr>
          <w:p w14:paraId="2D55B60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4C34CB7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206D579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1DC4FAEB"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28DAC76A"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6C20F04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46AE5AD6"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29DFA09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032029A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3E9D37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3C633FA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468CA61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A24B33" w:rsidRPr="008B4FE6" w14:paraId="3A4D4D27" w14:textId="77777777" w:rsidTr="00967860">
        <w:trPr>
          <w:trHeight w:val="357"/>
        </w:trPr>
        <w:tc>
          <w:tcPr>
            <w:tcW w:w="3715" w:type="dxa"/>
            <w:gridSpan w:val="6"/>
            <w:shd w:val="clear" w:color="auto" w:fill="FFFFFF" w:themeFill="background1"/>
            <w:vAlign w:val="center"/>
          </w:tcPr>
          <w:p w14:paraId="79009D38" w14:textId="77777777" w:rsidR="001B601A" w:rsidRPr="00C53F26" w:rsidRDefault="001B601A" w:rsidP="001B601A">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425" w:type="dxa"/>
            <w:shd w:val="clear" w:color="auto" w:fill="FFFFFF" w:themeFill="background1"/>
          </w:tcPr>
          <w:p w14:paraId="279C5712"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3C50C6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426" w:type="dxa"/>
            <w:shd w:val="clear" w:color="auto" w:fill="FFFFFF" w:themeFill="background1"/>
          </w:tcPr>
          <w:p w14:paraId="2979B478"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D0D2C65"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3D6CFF80"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19929F0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28EC8F7D"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1649791E"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3"/>
            <w:shd w:val="clear" w:color="auto" w:fill="FFFFFF" w:themeFill="background1"/>
          </w:tcPr>
          <w:p w14:paraId="1BB82B0C"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shd w:val="clear" w:color="auto" w:fill="FFFFFF" w:themeFill="background1"/>
          </w:tcPr>
          <w:p w14:paraId="03583937"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567" w:type="dxa"/>
            <w:gridSpan w:val="2"/>
            <w:shd w:val="clear" w:color="auto" w:fill="FFFFFF" w:themeFill="background1"/>
          </w:tcPr>
          <w:p w14:paraId="6A979BE4"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c>
          <w:tcPr>
            <w:tcW w:w="1275" w:type="dxa"/>
            <w:shd w:val="clear" w:color="auto" w:fill="FFFFFF" w:themeFill="background1"/>
          </w:tcPr>
          <w:p w14:paraId="55445A69" w14:textId="77777777" w:rsidR="001B601A" w:rsidRPr="00B37C80" w:rsidRDefault="001B601A" w:rsidP="001B601A">
            <w:pPr>
              <w:spacing w:line="240" w:lineRule="auto"/>
              <w:jc w:val="center"/>
              <w:rPr>
                <w:rFonts w:ascii="Times New Roman" w:hAnsi="Times New Roman"/>
                <w:color w:val="000000"/>
                <w:sz w:val="21"/>
                <w:szCs w:val="21"/>
              </w:rPr>
            </w:pPr>
            <w:r w:rsidRPr="00F34767">
              <w:rPr>
                <w:rFonts w:ascii="Times New Roman" w:hAnsi="Times New Roman"/>
                <w:color w:val="000000"/>
                <w:sz w:val="21"/>
                <w:szCs w:val="21"/>
              </w:rPr>
              <w:t>-</w:t>
            </w:r>
          </w:p>
        </w:tc>
      </w:tr>
      <w:tr w:rsidR="00923C48" w:rsidRPr="008B4FE6" w14:paraId="62322183" w14:textId="77777777" w:rsidTr="00B14A36">
        <w:trPr>
          <w:trHeight w:val="348"/>
        </w:trPr>
        <w:tc>
          <w:tcPr>
            <w:tcW w:w="2439" w:type="dxa"/>
            <w:gridSpan w:val="3"/>
            <w:shd w:val="clear" w:color="auto" w:fill="FFFFFF" w:themeFill="background1"/>
            <w:vAlign w:val="center"/>
          </w:tcPr>
          <w:p w14:paraId="4295B74C" w14:textId="77777777" w:rsidR="00923C48" w:rsidRPr="00C53F26" w:rsidRDefault="00923C48" w:rsidP="00923C48">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505" w:type="dxa"/>
            <w:gridSpan w:val="20"/>
            <w:shd w:val="clear" w:color="auto" w:fill="FFFFFF" w:themeFill="background1"/>
            <w:vAlign w:val="center"/>
          </w:tcPr>
          <w:p w14:paraId="04A5A831" w14:textId="77777777" w:rsidR="00923C48" w:rsidRPr="00B37C80" w:rsidRDefault="00923C48" w:rsidP="00923C48">
            <w:pPr>
              <w:spacing w:line="240" w:lineRule="auto"/>
              <w:jc w:val="both"/>
              <w:rPr>
                <w:rFonts w:ascii="Times New Roman" w:hAnsi="Times New Roman"/>
                <w:color w:val="000000"/>
                <w:sz w:val="21"/>
                <w:szCs w:val="21"/>
              </w:rPr>
            </w:pPr>
            <w:r>
              <w:rPr>
                <w:rFonts w:ascii="Times New Roman" w:hAnsi="Times New Roman"/>
                <w:color w:val="000000"/>
                <w:sz w:val="21"/>
                <w:szCs w:val="21"/>
              </w:rPr>
              <w:t>Nie dotyczy</w:t>
            </w:r>
            <w:r w:rsidR="001B601A">
              <w:rPr>
                <w:rFonts w:ascii="Times New Roman" w:hAnsi="Times New Roman"/>
                <w:color w:val="000000"/>
                <w:sz w:val="21"/>
                <w:szCs w:val="21"/>
              </w:rPr>
              <w:t>.</w:t>
            </w:r>
          </w:p>
        </w:tc>
      </w:tr>
      <w:tr w:rsidR="00923C48" w:rsidRPr="008B4FE6" w14:paraId="0A5F9A84" w14:textId="77777777" w:rsidTr="00B14A36">
        <w:trPr>
          <w:trHeight w:val="1192"/>
        </w:trPr>
        <w:tc>
          <w:tcPr>
            <w:tcW w:w="2439" w:type="dxa"/>
            <w:gridSpan w:val="3"/>
            <w:shd w:val="clear" w:color="auto" w:fill="FFFFFF" w:themeFill="background1"/>
          </w:tcPr>
          <w:p w14:paraId="383C83E5" w14:textId="77777777" w:rsidR="00923C48" w:rsidRPr="00C53F26"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Dodatkowe informacje, w tym wskazanie źródeł danych i przyjętych do obliczeń założeń</w:t>
            </w:r>
          </w:p>
        </w:tc>
        <w:tc>
          <w:tcPr>
            <w:tcW w:w="8505" w:type="dxa"/>
            <w:gridSpan w:val="20"/>
            <w:shd w:val="clear" w:color="auto" w:fill="FFFFFF" w:themeFill="background1"/>
          </w:tcPr>
          <w:p w14:paraId="049CB1DA" w14:textId="54D61DEE" w:rsidR="00923C48" w:rsidRPr="00C53F26" w:rsidRDefault="00923C48" w:rsidP="001B601A">
            <w:pPr>
              <w:spacing w:line="240" w:lineRule="auto"/>
              <w:jc w:val="both"/>
              <w:rPr>
                <w:rFonts w:ascii="Times New Roman" w:hAnsi="Times New Roman"/>
                <w:color w:val="000000"/>
                <w:sz w:val="21"/>
                <w:szCs w:val="21"/>
              </w:rPr>
            </w:pPr>
            <w:r>
              <w:rPr>
                <w:rFonts w:ascii="Times New Roman" w:hAnsi="Times New Roman"/>
                <w:color w:val="000000"/>
              </w:rPr>
              <w:t xml:space="preserve">Wejście w życie projektowanego rozporządzenia nie spowoduje dodatkowych skutków finansowych dla sektora finansów publicznych, w tym budżetu państwa i budżetów jednostek samorządu terytorialnego. </w:t>
            </w:r>
          </w:p>
        </w:tc>
      </w:tr>
      <w:tr w:rsidR="00923C48" w:rsidRPr="008B4FE6" w14:paraId="690799F5" w14:textId="77777777" w:rsidTr="00B14A36">
        <w:trPr>
          <w:trHeight w:val="345"/>
        </w:trPr>
        <w:tc>
          <w:tcPr>
            <w:tcW w:w="10944" w:type="dxa"/>
            <w:gridSpan w:val="23"/>
            <w:shd w:val="clear" w:color="auto" w:fill="99CCFF"/>
          </w:tcPr>
          <w:p w14:paraId="10B774C6" w14:textId="77777777" w:rsidR="00923C48" w:rsidRPr="008B4FE6" w:rsidRDefault="00923C48" w:rsidP="002A3F0C">
            <w:pPr>
              <w:numPr>
                <w:ilvl w:val="0"/>
                <w:numId w:val="1"/>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923C48" w:rsidRPr="008B4FE6" w14:paraId="1421029F" w14:textId="77777777" w:rsidTr="00B14A36">
        <w:trPr>
          <w:trHeight w:val="142"/>
        </w:trPr>
        <w:tc>
          <w:tcPr>
            <w:tcW w:w="10944" w:type="dxa"/>
            <w:gridSpan w:val="23"/>
            <w:shd w:val="clear" w:color="auto" w:fill="FFFFFF" w:themeFill="background1"/>
          </w:tcPr>
          <w:p w14:paraId="63AA3786" w14:textId="77777777" w:rsidR="00923C48" w:rsidRPr="00301959" w:rsidRDefault="00923C48" w:rsidP="00923C48">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A24B33" w:rsidRPr="008B4FE6" w14:paraId="5030949E" w14:textId="77777777" w:rsidTr="00967860">
        <w:trPr>
          <w:trHeight w:val="142"/>
        </w:trPr>
        <w:tc>
          <w:tcPr>
            <w:tcW w:w="3432" w:type="dxa"/>
            <w:gridSpan w:val="5"/>
            <w:shd w:val="clear" w:color="auto" w:fill="FFFFFF" w:themeFill="background1"/>
          </w:tcPr>
          <w:p w14:paraId="516E59AA"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708" w:type="dxa"/>
            <w:gridSpan w:val="2"/>
            <w:shd w:val="clear" w:color="auto" w:fill="FFFFFF" w:themeFill="background1"/>
          </w:tcPr>
          <w:p w14:paraId="1172A8AD"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567" w:type="dxa"/>
            <w:shd w:val="clear" w:color="auto" w:fill="FFFFFF" w:themeFill="background1"/>
          </w:tcPr>
          <w:p w14:paraId="76BDA71F"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1560" w:type="dxa"/>
            <w:gridSpan w:val="3"/>
            <w:shd w:val="clear" w:color="auto" w:fill="FFFFFF" w:themeFill="background1"/>
          </w:tcPr>
          <w:p w14:paraId="64C14BE4"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1134" w:type="dxa"/>
            <w:gridSpan w:val="3"/>
            <w:shd w:val="clear" w:color="auto" w:fill="FFFFFF" w:themeFill="background1"/>
          </w:tcPr>
          <w:p w14:paraId="66895EF0"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850" w:type="dxa"/>
            <w:gridSpan w:val="4"/>
            <w:shd w:val="clear" w:color="auto" w:fill="FFFFFF" w:themeFill="background1"/>
          </w:tcPr>
          <w:p w14:paraId="3F0C19B8"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1134" w:type="dxa"/>
            <w:gridSpan w:val="3"/>
            <w:shd w:val="clear" w:color="auto" w:fill="FFFFFF" w:themeFill="background1"/>
          </w:tcPr>
          <w:p w14:paraId="4E437D56" w14:textId="77777777" w:rsidR="00923C48" w:rsidRPr="00301959" w:rsidRDefault="00923C48" w:rsidP="00923C48">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559" w:type="dxa"/>
            <w:gridSpan w:val="2"/>
            <w:shd w:val="clear" w:color="auto" w:fill="FFFFFF" w:themeFill="background1"/>
          </w:tcPr>
          <w:p w14:paraId="0E2C2FC0" w14:textId="77777777" w:rsidR="00923C48" w:rsidRPr="001B3460" w:rsidRDefault="00923C48" w:rsidP="00923C48">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A24B33" w:rsidRPr="008B4FE6" w14:paraId="6CB9FEB7" w14:textId="77777777" w:rsidTr="00967860">
        <w:trPr>
          <w:trHeight w:val="142"/>
        </w:trPr>
        <w:tc>
          <w:tcPr>
            <w:tcW w:w="1589" w:type="dxa"/>
            <w:gridSpan w:val="2"/>
            <w:vMerge w:val="restart"/>
            <w:shd w:val="clear" w:color="auto" w:fill="FFFFFF" w:themeFill="background1"/>
          </w:tcPr>
          <w:p w14:paraId="72C25041" w14:textId="77777777" w:rsidR="00923C48" w:rsidRDefault="00923C48" w:rsidP="00923C48">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238DCC2B" w14:textId="77777777" w:rsidR="00923C48" w:rsidRDefault="00923C48" w:rsidP="00923C48">
            <w:pPr>
              <w:rPr>
                <w:rFonts w:ascii="Times New Roman" w:hAnsi="Times New Roman"/>
                <w:spacing w:val="-2"/>
                <w:sz w:val="21"/>
                <w:szCs w:val="21"/>
              </w:rPr>
            </w:pPr>
            <w:r>
              <w:rPr>
                <w:rFonts w:ascii="Times New Roman" w:hAnsi="Times New Roman"/>
                <w:spacing w:val="-2"/>
                <w:sz w:val="21"/>
                <w:szCs w:val="21"/>
              </w:rPr>
              <w:t xml:space="preserve">(w mln zł, </w:t>
            </w:r>
          </w:p>
          <w:p w14:paraId="11DE5F85" w14:textId="77777777" w:rsidR="00923C48" w:rsidRPr="00301959" w:rsidRDefault="00923C48" w:rsidP="00923C48">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1843" w:type="dxa"/>
            <w:gridSpan w:val="3"/>
            <w:shd w:val="clear" w:color="auto" w:fill="FFFFFF" w:themeFill="background1"/>
          </w:tcPr>
          <w:p w14:paraId="1B033940"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8" w:type="dxa"/>
            <w:gridSpan w:val="2"/>
            <w:shd w:val="clear" w:color="auto" w:fill="FFFFFF" w:themeFill="background1"/>
          </w:tcPr>
          <w:p w14:paraId="65B80E1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67" w:type="dxa"/>
            <w:shd w:val="clear" w:color="auto" w:fill="FFFFFF" w:themeFill="background1"/>
          </w:tcPr>
          <w:p w14:paraId="61023B69"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60" w:type="dxa"/>
            <w:gridSpan w:val="3"/>
            <w:shd w:val="clear" w:color="auto" w:fill="FFFFFF" w:themeFill="background1"/>
          </w:tcPr>
          <w:p w14:paraId="2DAE12E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shd w:val="clear" w:color="auto" w:fill="FFFFFF" w:themeFill="background1"/>
          </w:tcPr>
          <w:p w14:paraId="0A18B12B"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50" w:type="dxa"/>
            <w:gridSpan w:val="4"/>
            <w:shd w:val="clear" w:color="auto" w:fill="FFFFFF" w:themeFill="background1"/>
          </w:tcPr>
          <w:p w14:paraId="7051726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shd w:val="clear" w:color="auto" w:fill="FFFFFF" w:themeFill="background1"/>
          </w:tcPr>
          <w:p w14:paraId="7F9E7A3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59" w:type="dxa"/>
            <w:gridSpan w:val="2"/>
            <w:shd w:val="clear" w:color="auto" w:fill="FFFFFF" w:themeFill="background1"/>
          </w:tcPr>
          <w:p w14:paraId="7DC43F36"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A24B33" w:rsidRPr="008B4FE6" w14:paraId="0A5E61D7" w14:textId="77777777" w:rsidTr="00967860">
        <w:trPr>
          <w:trHeight w:val="142"/>
        </w:trPr>
        <w:tc>
          <w:tcPr>
            <w:tcW w:w="1589" w:type="dxa"/>
            <w:gridSpan w:val="2"/>
            <w:vMerge/>
          </w:tcPr>
          <w:p w14:paraId="366D9550" w14:textId="77777777" w:rsidR="00923C48" w:rsidRPr="00301959" w:rsidRDefault="00923C48" w:rsidP="00923C48">
            <w:pPr>
              <w:spacing w:line="240" w:lineRule="auto"/>
              <w:rPr>
                <w:rFonts w:ascii="Times New Roman" w:hAnsi="Times New Roman"/>
                <w:color w:val="000000"/>
                <w:sz w:val="21"/>
                <w:szCs w:val="21"/>
              </w:rPr>
            </w:pPr>
          </w:p>
        </w:tc>
        <w:tc>
          <w:tcPr>
            <w:tcW w:w="1843" w:type="dxa"/>
            <w:gridSpan w:val="3"/>
            <w:shd w:val="clear" w:color="auto" w:fill="FFFFFF" w:themeFill="background1"/>
          </w:tcPr>
          <w:p w14:paraId="2505E805"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8" w:type="dxa"/>
            <w:gridSpan w:val="2"/>
            <w:shd w:val="clear" w:color="auto" w:fill="FFFFFF" w:themeFill="background1"/>
          </w:tcPr>
          <w:p w14:paraId="6EA2C6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67" w:type="dxa"/>
            <w:shd w:val="clear" w:color="auto" w:fill="FFFFFF" w:themeFill="background1"/>
          </w:tcPr>
          <w:p w14:paraId="75930B6C"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60" w:type="dxa"/>
            <w:gridSpan w:val="3"/>
            <w:shd w:val="clear" w:color="auto" w:fill="FFFFFF" w:themeFill="background1"/>
          </w:tcPr>
          <w:p w14:paraId="252A203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shd w:val="clear" w:color="auto" w:fill="FFFFFF" w:themeFill="background1"/>
          </w:tcPr>
          <w:p w14:paraId="5C222901"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50" w:type="dxa"/>
            <w:gridSpan w:val="4"/>
            <w:shd w:val="clear" w:color="auto" w:fill="FFFFFF" w:themeFill="background1"/>
          </w:tcPr>
          <w:p w14:paraId="258BFB7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shd w:val="clear" w:color="auto" w:fill="FFFFFF" w:themeFill="background1"/>
          </w:tcPr>
          <w:p w14:paraId="063A872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59" w:type="dxa"/>
            <w:gridSpan w:val="2"/>
            <w:shd w:val="clear" w:color="auto" w:fill="FFFFFF" w:themeFill="background1"/>
          </w:tcPr>
          <w:p w14:paraId="0E5FC03B"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A24B33" w:rsidRPr="008B4FE6" w14:paraId="06960B95" w14:textId="77777777" w:rsidTr="00967860">
        <w:trPr>
          <w:trHeight w:val="142"/>
        </w:trPr>
        <w:tc>
          <w:tcPr>
            <w:tcW w:w="1589" w:type="dxa"/>
            <w:gridSpan w:val="2"/>
            <w:vMerge/>
          </w:tcPr>
          <w:p w14:paraId="61DC36BE" w14:textId="77777777" w:rsidR="00923C48" w:rsidRPr="00301959" w:rsidRDefault="00923C48" w:rsidP="00923C48">
            <w:pPr>
              <w:spacing w:line="240" w:lineRule="auto"/>
              <w:rPr>
                <w:rFonts w:ascii="Times New Roman" w:hAnsi="Times New Roman"/>
                <w:color w:val="000000"/>
                <w:sz w:val="21"/>
                <w:szCs w:val="21"/>
              </w:rPr>
            </w:pPr>
          </w:p>
        </w:tc>
        <w:tc>
          <w:tcPr>
            <w:tcW w:w="1843" w:type="dxa"/>
            <w:gridSpan w:val="3"/>
            <w:shd w:val="clear" w:color="auto" w:fill="FFFFFF" w:themeFill="background1"/>
          </w:tcPr>
          <w:p w14:paraId="582CF55B" w14:textId="63508E8F" w:rsidR="00923C48" w:rsidRPr="00301959" w:rsidRDefault="00923C48"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1487">
              <w:rPr>
                <w:rFonts w:ascii="Times New Roman" w:hAnsi="Times New Roman"/>
                <w:sz w:val="21"/>
                <w:szCs w:val="21"/>
              </w:rPr>
              <w:t>, w tym osoby starsze i niepełnosprawne</w:t>
            </w:r>
          </w:p>
        </w:tc>
        <w:tc>
          <w:tcPr>
            <w:tcW w:w="708" w:type="dxa"/>
            <w:gridSpan w:val="2"/>
            <w:tcBorders>
              <w:bottom w:val="single" w:sz="4" w:space="0" w:color="auto"/>
            </w:tcBorders>
            <w:shd w:val="clear" w:color="auto" w:fill="FFFFFF" w:themeFill="background1"/>
          </w:tcPr>
          <w:p w14:paraId="4FCD9832"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567" w:type="dxa"/>
            <w:tcBorders>
              <w:bottom w:val="single" w:sz="4" w:space="0" w:color="auto"/>
            </w:tcBorders>
            <w:shd w:val="clear" w:color="auto" w:fill="FFFFFF" w:themeFill="background1"/>
          </w:tcPr>
          <w:p w14:paraId="1D54A4D6"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60" w:type="dxa"/>
            <w:gridSpan w:val="3"/>
            <w:tcBorders>
              <w:bottom w:val="single" w:sz="4" w:space="0" w:color="auto"/>
            </w:tcBorders>
            <w:shd w:val="clear" w:color="auto" w:fill="FFFFFF" w:themeFill="background1"/>
          </w:tcPr>
          <w:p w14:paraId="53446415"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tcBorders>
              <w:bottom w:val="single" w:sz="4" w:space="0" w:color="auto"/>
            </w:tcBorders>
            <w:shd w:val="clear" w:color="auto" w:fill="FFFFFF" w:themeFill="background1"/>
          </w:tcPr>
          <w:p w14:paraId="01C05844"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850" w:type="dxa"/>
            <w:gridSpan w:val="4"/>
            <w:tcBorders>
              <w:bottom w:val="single" w:sz="4" w:space="0" w:color="auto"/>
            </w:tcBorders>
            <w:shd w:val="clear" w:color="auto" w:fill="FFFFFF" w:themeFill="background1"/>
          </w:tcPr>
          <w:p w14:paraId="4B06EBFD"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134" w:type="dxa"/>
            <w:gridSpan w:val="3"/>
            <w:tcBorders>
              <w:bottom w:val="single" w:sz="4" w:space="0" w:color="auto"/>
            </w:tcBorders>
            <w:shd w:val="clear" w:color="auto" w:fill="FFFFFF" w:themeFill="background1"/>
          </w:tcPr>
          <w:p w14:paraId="63982718" w14:textId="77777777" w:rsidR="00923C48" w:rsidRPr="00B37C80" w:rsidRDefault="00923C48" w:rsidP="00B8007E">
            <w:pPr>
              <w:spacing w:line="240" w:lineRule="auto"/>
              <w:jc w:val="center"/>
              <w:rPr>
                <w:rFonts w:ascii="Times New Roman" w:hAnsi="Times New Roman"/>
                <w:color w:val="000000"/>
                <w:sz w:val="21"/>
                <w:szCs w:val="21"/>
              </w:rPr>
            </w:pPr>
            <w:r>
              <w:rPr>
                <w:rFonts w:ascii="Times New Roman" w:hAnsi="Times New Roman"/>
                <w:color w:val="000000"/>
                <w:sz w:val="21"/>
                <w:szCs w:val="21"/>
              </w:rPr>
              <w:t>-</w:t>
            </w:r>
          </w:p>
        </w:tc>
        <w:tc>
          <w:tcPr>
            <w:tcW w:w="1559" w:type="dxa"/>
            <w:gridSpan w:val="2"/>
            <w:tcBorders>
              <w:bottom w:val="single" w:sz="4" w:space="0" w:color="auto"/>
            </w:tcBorders>
            <w:shd w:val="clear" w:color="auto" w:fill="FFFFFF" w:themeFill="background1"/>
          </w:tcPr>
          <w:p w14:paraId="5F20C0EC" w14:textId="77777777" w:rsidR="00923C48" w:rsidRPr="00B8007E" w:rsidRDefault="00923C48" w:rsidP="00923C48">
            <w:pPr>
              <w:spacing w:line="240" w:lineRule="auto"/>
              <w:rPr>
                <w:rFonts w:ascii="Times New Roman" w:hAnsi="Times New Roman"/>
                <w:color w:val="000000"/>
                <w:spacing w:val="-2"/>
                <w:sz w:val="20"/>
                <w:szCs w:val="21"/>
              </w:rPr>
            </w:pPr>
            <w:r w:rsidRPr="00B8007E">
              <w:rPr>
                <w:rFonts w:ascii="Times New Roman" w:hAnsi="Times New Roman"/>
                <w:color w:val="000000"/>
                <w:spacing w:val="-2"/>
                <w:sz w:val="20"/>
              </w:rPr>
              <w:t>Brak możliwości oszacowania</w:t>
            </w:r>
          </w:p>
        </w:tc>
      </w:tr>
      <w:tr w:rsidR="0041454F" w:rsidRPr="008B4FE6" w14:paraId="5CBBC9E3" w14:textId="77777777" w:rsidTr="00B14A36">
        <w:trPr>
          <w:trHeight w:val="142"/>
        </w:trPr>
        <w:tc>
          <w:tcPr>
            <w:tcW w:w="1589" w:type="dxa"/>
            <w:gridSpan w:val="2"/>
            <w:vMerge w:val="restart"/>
            <w:shd w:val="clear" w:color="auto" w:fill="FFFFFF" w:themeFill="background1"/>
          </w:tcPr>
          <w:p w14:paraId="18FD2096"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843" w:type="dxa"/>
            <w:gridSpan w:val="3"/>
            <w:tcBorders>
              <w:bottom w:val="single" w:sz="4" w:space="0" w:color="auto"/>
              <w:right w:val="single" w:sz="4" w:space="0" w:color="auto"/>
            </w:tcBorders>
            <w:shd w:val="clear" w:color="auto" w:fill="FFFFFF" w:themeFill="background1"/>
          </w:tcPr>
          <w:p w14:paraId="41D7E87E"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512" w:type="dxa"/>
            <w:gridSpan w:val="18"/>
            <w:tcBorders>
              <w:top w:val="single" w:sz="4" w:space="0" w:color="auto"/>
              <w:left w:val="single" w:sz="4" w:space="0" w:color="auto"/>
              <w:right w:val="nil"/>
            </w:tcBorders>
            <w:shd w:val="clear" w:color="auto" w:fill="FFFFFF" w:themeFill="background1"/>
          </w:tcPr>
          <w:p w14:paraId="12FF06FD" w14:textId="0CD53E60" w:rsidR="0041454F" w:rsidRPr="00B37C80" w:rsidRDefault="0041454F" w:rsidP="00923C48">
            <w:pPr>
              <w:spacing w:line="240" w:lineRule="auto"/>
              <w:rPr>
                <w:rFonts w:ascii="Times New Roman" w:hAnsi="Times New Roman"/>
                <w:color w:val="000000"/>
                <w:spacing w:val="-2"/>
                <w:sz w:val="21"/>
                <w:szCs w:val="21"/>
              </w:rPr>
            </w:pPr>
            <w:r w:rsidRPr="0041454F">
              <w:rPr>
                <w:rFonts w:ascii="Times New Roman" w:hAnsi="Times New Roman"/>
                <w:color w:val="000000"/>
                <w:spacing w:val="-2"/>
                <w:sz w:val="21"/>
                <w:szCs w:val="21"/>
              </w:rPr>
              <w:t xml:space="preserve">Brak wpływu.  </w:t>
            </w:r>
          </w:p>
        </w:tc>
      </w:tr>
      <w:tr w:rsidR="0041454F" w:rsidRPr="008B4FE6" w14:paraId="58E0B987" w14:textId="77777777" w:rsidTr="00B14A36">
        <w:trPr>
          <w:trHeight w:val="142"/>
        </w:trPr>
        <w:tc>
          <w:tcPr>
            <w:tcW w:w="1589" w:type="dxa"/>
            <w:gridSpan w:val="2"/>
            <w:vMerge/>
          </w:tcPr>
          <w:p w14:paraId="2B3CE93A" w14:textId="77777777" w:rsidR="0041454F" w:rsidRPr="00301959" w:rsidRDefault="0041454F" w:rsidP="00923C48">
            <w:pPr>
              <w:spacing w:line="240" w:lineRule="auto"/>
              <w:rPr>
                <w:rFonts w:ascii="Times New Roman" w:hAnsi="Times New Roman"/>
                <w:color w:val="000000"/>
                <w:sz w:val="21"/>
                <w:szCs w:val="21"/>
              </w:rPr>
            </w:pPr>
          </w:p>
        </w:tc>
        <w:tc>
          <w:tcPr>
            <w:tcW w:w="1843" w:type="dxa"/>
            <w:gridSpan w:val="3"/>
            <w:tcBorders>
              <w:right w:val="single" w:sz="4" w:space="0" w:color="auto"/>
            </w:tcBorders>
            <w:shd w:val="clear" w:color="auto" w:fill="FFFFFF" w:themeFill="background1"/>
          </w:tcPr>
          <w:p w14:paraId="5ACC0ECA" w14:textId="77777777" w:rsidR="0041454F" w:rsidRPr="00301959" w:rsidRDefault="0041454F"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512" w:type="dxa"/>
            <w:gridSpan w:val="18"/>
            <w:tcBorders>
              <w:left w:val="single" w:sz="4" w:space="0" w:color="auto"/>
              <w:right w:val="single" w:sz="4" w:space="0" w:color="auto"/>
            </w:tcBorders>
            <w:shd w:val="clear" w:color="auto" w:fill="FFFFFF" w:themeFill="background1"/>
          </w:tcPr>
          <w:p w14:paraId="45C95C24" w14:textId="0841B366" w:rsidR="0041454F" w:rsidRPr="00B37C80" w:rsidRDefault="00553E19" w:rsidP="0041454F">
            <w:pPr>
              <w:spacing w:line="240" w:lineRule="auto"/>
              <w:jc w:val="both"/>
              <w:rPr>
                <w:rFonts w:ascii="Times New Roman" w:hAnsi="Times New Roman"/>
                <w:color w:val="000000"/>
                <w:spacing w:val="-2"/>
                <w:sz w:val="21"/>
                <w:szCs w:val="21"/>
              </w:rPr>
            </w:pPr>
            <w:r w:rsidRPr="00553E19">
              <w:rPr>
                <w:rFonts w:ascii="Times New Roman" w:hAnsi="Times New Roman"/>
                <w:color w:val="000000"/>
                <w:spacing w:val="-2"/>
                <w:sz w:val="21"/>
                <w:szCs w:val="21"/>
              </w:rPr>
              <w:t xml:space="preserve">Projektowane rozwiązania angażują w proces inwentaryzacji budynków m.in. przedsiębiorców w postaci osób z uprawnieniami kominiarskimi </w:t>
            </w:r>
            <w:r w:rsidR="00C0712A">
              <w:rPr>
                <w:rFonts w:ascii="Times New Roman" w:hAnsi="Times New Roman"/>
                <w:color w:val="000000"/>
                <w:spacing w:val="-2"/>
                <w:sz w:val="21"/>
                <w:szCs w:val="21"/>
              </w:rPr>
              <w:t>–</w:t>
            </w:r>
            <w:r w:rsidRPr="00553E19">
              <w:rPr>
                <w:rFonts w:ascii="Times New Roman" w:hAnsi="Times New Roman"/>
                <w:color w:val="000000"/>
                <w:spacing w:val="-2"/>
                <w:sz w:val="21"/>
                <w:szCs w:val="21"/>
              </w:rPr>
              <w:t xml:space="preserve"> mistrzów kominiarskich, czeladników kominiarskich, osób z uprawnieniami budowlanymi odpowiedniej specjalności instalacyjnej, osób sporządzających świadectwa charakterystyki energetycznej budynku, osób przeprowadzających kontrolę stanu technicznego systemu ogrzewania. System CEEB określa poszczególne „role” osób wprowadzających dane do CEEB i przekazujących odpowiedni zestaw danych podczas inwentaryzacji budynków, szczegółowo określony dla każdej roli za pośrednictwem elektronicznego formularza inwentaryzacyjnego.</w:t>
            </w:r>
          </w:p>
        </w:tc>
      </w:tr>
      <w:tr w:rsidR="0041454F" w:rsidRPr="008B4FE6" w14:paraId="7BE87281" w14:textId="77777777" w:rsidTr="00B14A36">
        <w:trPr>
          <w:trHeight w:val="596"/>
        </w:trPr>
        <w:tc>
          <w:tcPr>
            <w:tcW w:w="1589" w:type="dxa"/>
            <w:gridSpan w:val="2"/>
            <w:vMerge/>
          </w:tcPr>
          <w:p w14:paraId="403A51D3" w14:textId="77777777" w:rsidR="0041454F" w:rsidRPr="00301959" w:rsidRDefault="0041454F" w:rsidP="00923C48">
            <w:pPr>
              <w:spacing w:line="240" w:lineRule="auto"/>
              <w:rPr>
                <w:rFonts w:ascii="Times New Roman" w:hAnsi="Times New Roman"/>
                <w:color w:val="000000"/>
                <w:sz w:val="21"/>
                <w:szCs w:val="21"/>
              </w:rPr>
            </w:pPr>
          </w:p>
        </w:tc>
        <w:tc>
          <w:tcPr>
            <w:tcW w:w="1843" w:type="dxa"/>
            <w:gridSpan w:val="3"/>
            <w:tcBorders>
              <w:right w:val="single" w:sz="4" w:space="0" w:color="auto"/>
            </w:tcBorders>
            <w:shd w:val="clear" w:color="auto" w:fill="FFFFFF" w:themeFill="background1"/>
          </w:tcPr>
          <w:p w14:paraId="1861E711" w14:textId="3323D8DC" w:rsidR="0041454F" w:rsidRPr="00301959" w:rsidRDefault="0041454F" w:rsidP="00923C48">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1487">
              <w:rPr>
                <w:rFonts w:ascii="Times New Roman" w:hAnsi="Times New Roman"/>
                <w:color w:val="000000"/>
                <w:sz w:val="21"/>
                <w:szCs w:val="21"/>
              </w:rPr>
              <w:t xml:space="preserve">, </w:t>
            </w:r>
            <w:r w:rsidR="00E41487">
              <w:rPr>
                <w:rFonts w:ascii="Times New Roman" w:hAnsi="Times New Roman"/>
                <w:sz w:val="21"/>
                <w:szCs w:val="21"/>
              </w:rPr>
              <w:t>w tym osoby starsze i niepełnosprawne</w:t>
            </w:r>
          </w:p>
        </w:tc>
        <w:tc>
          <w:tcPr>
            <w:tcW w:w="7512" w:type="dxa"/>
            <w:gridSpan w:val="18"/>
            <w:tcBorders>
              <w:left w:val="single" w:sz="4" w:space="0" w:color="auto"/>
              <w:bottom w:val="nil"/>
              <w:right w:val="single" w:sz="4" w:space="0" w:color="auto"/>
            </w:tcBorders>
            <w:shd w:val="clear" w:color="auto" w:fill="FFFFFF" w:themeFill="background1"/>
          </w:tcPr>
          <w:p w14:paraId="7EEA41BA" w14:textId="7F52B5F6" w:rsidR="0041454F" w:rsidRPr="00B37C80" w:rsidRDefault="0041454F" w:rsidP="00923C48">
            <w:pPr>
              <w:spacing w:line="240" w:lineRule="auto"/>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41454F" w:rsidRPr="008B4FE6" w14:paraId="2C06C6BD" w14:textId="77777777" w:rsidTr="00B14A36">
        <w:trPr>
          <w:trHeight w:val="596"/>
        </w:trPr>
        <w:tc>
          <w:tcPr>
            <w:tcW w:w="1589" w:type="dxa"/>
            <w:gridSpan w:val="2"/>
            <w:vMerge/>
          </w:tcPr>
          <w:p w14:paraId="33384EBE" w14:textId="77777777" w:rsidR="0041454F" w:rsidRPr="00301959" w:rsidRDefault="0041454F" w:rsidP="00923C48">
            <w:pPr>
              <w:spacing w:line="240" w:lineRule="auto"/>
              <w:rPr>
                <w:rFonts w:ascii="Times New Roman" w:hAnsi="Times New Roman"/>
                <w:color w:val="000000"/>
                <w:sz w:val="21"/>
                <w:szCs w:val="21"/>
              </w:rPr>
            </w:pPr>
          </w:p>
        </w:tc>
        <w:tc>
          <w:tcPr>
            <w:tcW w:w="1843" w:type="dxa"/>
            <w:gridSpan w:val="3"/>
            <w:tcBorders>
              <w:right w:val="single" w:sz="4" w:space="0" w:color="auto"/>
            </w:tcBorders>
            <w:shd w:val="clear" w:color="auto" w:fill="FFFFFF" w:themeFill="background1"/>
          </w:tcPr>
          <w:p w14:paraId="1231A951" w14:textId="3CE33D96" w:rsidR="0041454F" w:rsidRDefault="0041454F" w:rsidP="00923C48">
            <w:pPr>
              <w:tabs>
                <w:tab w:val="right" w:pos="1936"/>
              </w:tabs>
              <w:spacing w:line="240" w:lineRule="auto"/>
              <w:rPr>
                <w:rFonts w:ascii="Times New Roman" w:hAnsi="Times New Roman"/>
                <w:sz w:val="21"/>
                <w:szCs w:val="21"/>
              </w:rPr>
            </w:pPr>
            <w:r>
              <w:rPr>
                <w:rFonts w:ascii="Times New Roman" w:hAnsi="Times New Roman"/>
                <w:sz w:val="21"/>
                <w:szCs w:val="21"/>
              </w:rPr>
              <w:t>Władze publiczne</w:t>
            </w:r>
          </w:p>
        </w:tc>
        <w:tc>
          <w:tcPr>
            <w:tcW w:w="7512" w:type="dxa"/>
            <w:gridSpan w:val="18"/>
            <w:tcBorders>
              <w:left w:val="single" w:sz="4" w:space="0" w:color="auto"/>
              <w:bottom w:val="nil"/>
              <w:right w:val="single" w:sz="4" w:space="0" w:color="auto"/>
            </w:tcBorders>
            <w:shd w:val="clear" w:color="auto" w:fill="FFFFFF" w:themeFill="background1"/>
          </w:tcPr>
          <w:p w14:paraId="1639372F" w14:textId="7B753935" w:rsidR="0041454F" w:rsidRPr="00B37C80" w:rsidRDefault="00553E19" w:rsidP="00553E19">
            <w:pPr>
              <w:spacing w:line="240" w:lineRule="auto"/>
              <w:jc w:val="both"/>
              <w:rPr>
                <w:rFonts w:ascii="Times New Roman" w:hAnsi="Times New Roman"/>
                <w:color w:val="000000"/>
                <w:spacing w:val="-2"/>
                <w:sz w:val="21"/>
                <w:szCs w:val="21"/>
              </w:rPr>
            </w:pPr>
            <w:r w:rsidRPr="00553E19">
              <w:rPr>
                <w:rFonts w:ascii="Times New Roman" w:hAnsi="Times New Roman"/>
                <w:color w:val="000000"/>
                <w:spacing w:val="-2"/>
                <w:sz w:val="21"/>
                <w:szCs w:val="21"/>
              </w:rPr>
              <w:t xml:space="preserve">Projektowane rozwiązania angażują w proces inwentaryzacji budynków m.in. </w:t>
            </w:r>
            <w:r w:rsidR="000B2F97" w:rsidRPr="00553E19">
              <w:rPr>
                <w:rFonts w:ascii="Times New Roman" w:hAnsi="Times New Roman"/>
                <w:color w:val="000000"/>
                <w:spacing w:val="-2"/>
                <w:sz w:val="21"/>
                <w:szCs w:val="21"/>
              </w:rPr>
              <w:t>pracowników gmin, urzędów marszałkowskich, funkcjonariuszy G</w:t>
            </w:r>
            <w:r w:rsidR="000B2F97">
              <w:rPr>
                <w:rFonts w:ascii="Times New Roman" w:hAnsi="Times New Roman"/>
                <w:color w:val="000000"/>
                <w:spacing w:val="-2"/>
                <w:sz w:val="21"/>
                <w:szCs w:val="21"/>
              </w:rPr>
              <w:t>łównego Inspektoratu Ochrony Środowiska</w:t>
            </w:r>
            <w:r w:rsidR="000B2F97" w:rsidRPr="00553E19">
              <w:rPr>
                <w:rFonts w:ascii="Times New Roman" w:hAnsi="Times New Roman"/>
                <w:color w:val="000000"/>
                <w:spacing w:val="-2"/>
                <w:sz w:val="21"/>
                <w:szCs w:val="21"/>
              </w:rPr>
              <w:t>/W</w:t>
            </w:r>
            <w:r w:rsidR="000B2F97">
              <w:rPr>
                <w:rFonts w:ascii="Times New Roman" w:hAnsi="Times New Roman"/>
                <w:color w:val="000000"/>
                <w:spacing w:val="-2"/>
                <w:sz w:val="21"/>
                <w:szCs w:val="21"/>
              </w:rPr>
              <w:t>ojewódzkiego Inspektoratu Ochrony Środowiska</w:t>
            </w:r>
            <w:r w:rsidR="000B2F97" w:rsidRPr="00553E19">
              <w:rPr>
                <w:rFonts w:ascii="Times New Roman" w:hAnsi="Times New Roman"/>
                <w:color w:val="000000"/>
                <w:spacing w:val="-2"/>
                <w:sz w:val="21"/>
                <w:szCs w:val="21"/>
              </w:rPr>
              <w:t xml:space="preserve">, pracowników </w:t>
            </w:r>
            <w:r w:rsidR="000B2F97" w:rsidRPr="00E935FA">
              <w:rPr>
                <w:rFonts w:ascii="Times New Roman" w:hAnsi="Times New Roman"/>
                <w:color w:val="000000"/>
                <w:spacing w:val="-2"/>
              </w:rPr>
              <w:t>Narodow</w:t>
            </w:r>
            <w:r w:rsidR="000B2F97">
              <w:rPr>
                <w:rFonts w:ascii="Times New Roman" w:hAnsi="Times New Roman"/>
                <w:color w:val="000000"/>
                <w:spacing w:val="-2"/>
              </w:rPr>
              <w:t>ego</w:t>
            </w:r>
            <w:r w:rsidR="000B2F97" w:rsidRPr="00E935FA">
              <w:rPr>
                <w:rFonts w:ascii="Times New Roman" w:hAnsi="Times New Roman"/>
                <w:color w:val="000000"/>
                <w:spacing w:val="-2"/>
              </w:rPr>
              <w:t xml:space="preserve"> Fundusz</w:t>
            </w:r>
            <w:r w:rsidR="000B2F97">
              <w:rPr>
                <w:rFonts w:ascii="Times New Roman" w:hAnsi="Times New Roman"/>
                <w:color w:val="000000"/>
                <w:spacing w:val="-2"/>
              </w:rPr>
              <w:t>u</w:t>
            </w:r>
            <w:r w:rsidR="000B2F97" w:rsidRPr="00E935FA">
              <w:rPr>
                <w:rFonts w:ascii="Times New Roman" w:hAnsi="Times New Roman"/>
                <w:color w:val="000000"/>
                <w:spacing w:val="-2"/>
              </w:rPr>
              <w:t xml:space="preserve"> Ochrony Środowiska i Gospodarki Wodnej</w:t>
            </w:r>
            <w:r w:rsidR="000B2F97">
              <w:rPr>
                <w:rFonts w:ascii="Times New Roman" w:hAnsi="Times New Roman"/>
                <w:color w:val="000000"/>
                <w:spacing w:val="-2"/>
              </w:rPr>
              <w:t>/Wojewódzkiego</w:t>
            </w:r>
            <w:r w:rsidR="000B2F97" w:rsidRPr="00E935FA">
              <w:rPr>
                <w:rFonts w:ascii="Times New Roman" w:hAnsi="Times New Roman"/>
                <w:color w:val="000000"/>
                <w:spacing w:val="-2"/>
              </w:rPr>
              <w:t xml:space="preserve"> Fundusz</w:t>
            </w:r>
            <w:r w:rsidR="000B2F97">
              <w:rPr>
                <w:rFonts w:ascii="Times New Roman" w:hAnsi="Times New Roman"/>
                <w:color w:val="000000"/>
                <w:spacing w:val="-2"/>
              </w:rPr>
              <w:t>u</w:t>
            </w:r>
            <w:r w:rsidR="000B2F97" w:rsidRPr="00E935FA">
              <w:rPr>
                <w:rFonts w:ascii="Times New Roman" w:hAnsi="Times New Roman"/>
                <w:color w:val="000000"/>
                <w:spacing w:val="-2"/>
              </w:rPr>
              <w:t xml:space="preserve"> Ochrony Środowiska i Gospodarki Wodnej</w:t>
            </w:r>
            <w:r w:rsidR="000B2F97">
              <w:rPr>
                <w:rFonts w:ascii="Times New Roman" w:hAnsi="Times New Roman"/>
                <w:color w:val="000000"/>
                <w:spacing w:val="-2"/>
              </w:rPr>
              <w:t xml:space="preserve">, organów Krajowej Administracji Skarbowej, </w:t>
            </w:r>
            <w:r w:rsidR="000B2F97" w:rsidRPr="00553E19">
              <w:rPr>
                <w:rFonts w:ascii="Times New Roman" w:hAnsi="Times New Roman"/>
                <w:color w:val="000000"/>
                <w:spacing w:val="-2"/>
                <w:sz w:val="21"/>
                <w:szCs w:val="21"/>
              </w:rPr>
              <w:t xml:space="preserve">itd. </w:t>
            </w:r>
            <w:r w:rsidRPr="00553E19">
              <w:rPr>
                <w:rFonts w:ascii="Times New Roman" w:hAnsi="Times New Roman"/>
                <w:color w:val="000000"/>
                <w:spacing w:val="-2"/>
                <w:sz w:val="21"/>
                <w:szCs w:val="21"/>
              </w:rPr>
              <w:t xml:space="preserve">System CEEB określa poszczególne „role” osób </w:t>
            </w:r>
            <w:r w:rsidRPr="00553E19">
              <w:rPr>
                <w:rFonts w:ascii="Times New Roman" w:hAnsi="Times New Roman"/>
                <w:color w:val="000000"/>
                <w:spacing w:val="-2"/>
                <w:sz w:val="21"/>
                <w:szCs w:val="21"/>
              </w:rPr>
              <w:lastRenderedPageBreak/>
              <w:t>wprowadzających dane do CEEB i przekazujących odpowiedni zestaw danych podczas inwentaryzacji budynków, szczegółowo określony dla każdej roli za pośrednictwem elektronicznego formularza inwentaryzacyjnego.</w:t>
            </w:r>
          </w:p>
        </w:tc>
      </w:tr>
      <w:tr w:rsidR="00CE002B" w:rsidRPr="008B4FE6" w14:paraId="47E19F17" w14:textId="77777777" w:rsidTr="00B14A36">
        <w:trPr>
          <w:trHeight w:val="142"/>
        </w:trPr>
        <w:tc>
          <w:tcPr>
            <w:tcW w:w="1589" w:type="dxa"/>
            <w:gridSpan w:val="2"/>
            <w:vMerge w:val="restart"/>
            <w:tcBorders>
              <w:top w:val="single" w:sz="4" w:space="0" w:color="auto"/>
              <w:left w:val="single" w:sz="4" w:space="0" w:color="auto"/>
              <w:bottom w:val="nil"/>
              <w:right w:val="single" w:sz="4" w:space="0" w:color="auto"/>
            </w:tcBorders>
            <w:shd w:val="clear" w:color="auto" w:fill="FFFFFF" w:themeFill="background1"/>
          </w:tcPr>
          <w:p w14:paraId="1F7DBB7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Niemierzalne</w:t>
            </w:r>
          </w:p>
        </w:tc>
        <w:tc>
          <w:tcPr>
            <w:tcW w:w="1843" w:type="dxa"/>
            <w:gridSpan w:val="3"/>
            <w:tcBorders>
              <w:left w:val="single" w:sz="4" w:space="0" w:color="auto"/>
            </w:tcBorders>
            <w:shd w:val="clear" w:color="auto" w:fill="FFFFFF" w:themeFill="background1"/>
          </w:tcPr>
          <w:p w14:paraId="358DC722"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512" w:type="dxa"/>
            <w:gridSpan w:val="18"/>
            <w:vMerge w:val="restart"/>
            <w:shd w:val="clear" w:color="auto" w:fill="FFFFFF" w:themeFill="background1"/>
          </w:tcPr>
          <w:p w14:paraId="1B1D2358" w14:textId="502D3675" w:rsidR="00CE002B" w:rsidRPr="00B37C80" w:rsidRDefault="00CE002B" w:rsidP="00CE002B">
            <w:pPr>
              <w:spacing w:line="240" w:lineRule="auto"/>
              <w:jc w:val="both"/>
              <w:rPr>
                <w:rFonts w:ascii="Times New Roman" w:hAnsi="Times New Roman"/>
                <w:color w:val="000000"/>
                <w:spacing w:val="-2"/>
                <w:sz w:val="21"/>
                <w:szCs w:val="21"/>
              </w:rPr>
            </w:pPr>
            <w:r>
              <w:rPr>
                <w:rFonts w:ascii="Times New Roman" w:hAnsi="Times New Roman"/>
                <w:color w:val="000000"/>
                <w:spacing w:val="-2"/>
                <w:sz w:val="21"/>
                <w:szCs w:val="21"/>
              </w:rPr>
              <w:t>Brak wpływu</w:t>
            </w:r>
          </w:p>
        </w:tc>
      </w:tr>
      <w:tr w:rsidR="00CE002B" w:rsidRPr="008B4FE6" w14:paraId="0AE99C90" w14:textId="77777777" w:rsidTr="00B14A36">
        <w:trPr>
          <w:trHeight w:val="70"/>
        </w:trPr>
        <w:tc>
          <w:tcPr>
            <w:tcW w:w="1589" w:type="dxa"/>
            <w:gridSpan w:val="2"/>
            <w:vMerge/>
          </w:tcPr>
          <w:p w14:paraId="35A11112" w14:textId="77777777" w:rsidR="00CE002B" w:rsidRPr="00301959" w:rsidRDefault="00CE002B" w:rsidP="00923C48">
            <w:pPr>
              <w:spacing w:line="240" w:lineRule="auto"/>
              <w:rPr>
                <w:rFonts w:ascii="Times New Roman" w:hAnsi="Times New Roman"/>
                <w:color w:val="000000"/>
                <w:sz w:val="21"/>
                <w:szCs w:val="21"/>
              </w:rPr>
            </w:pPr>
          </w:p>
        </w:tc>
        <w:tc>
          <w:tcPr>
            <w:tcW w:w="1843" w:type="dxa"/>
            <w:gridSpan w:val="3"/>
            <w:tcBorders>
              <w:left w:val="single" w:sz="4" w:space="0" w:color="auto"/>
            </w:tcBorders>
            <w:shd w:val="clear" w:color="auto" w:fill="FFFFFF" w:themeFill="background1"/>
          </w:tcPr>
          <w:p w14:paraId="7F189F99" w14:textId="77777777" w:rsidR="00CE002B" w:rsidRPr="00301959" w:rsidRDefault="00CE002B"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512" w:type="dxa"/>
            <w:gridSpan w:val="18"/>
            <w:vMerge/>
          </w:tcPr>
          <w:p w14:paraId="66DB6CCB" w14:textId="77777777" w:rsidR="00CE002B" w:rsidRPr="00B37C80" w:rsidRDefault="00CE002B" w:rsidP="00923C48">
            <w:pPr>
              <w:spacing w:line="240" w:lineRule="auto"/>
              <w:rPr>
                <w:rFonts w:ascii="Times New Roman" w:hAnsi="Times New Roman"/>
                <w:color w:val="000000"/>
                <w:spacing w:val="-2"/>
                <w:sz w:val="21"/>
                <w:szCs w:val="21"/>
              </w:rPr>
            </w:pPr>
          </w:p>
        </w:tc>
      </w:tr>
      <w:tr w:rsidR="00CE002B" w:rsidRPr="008B4FE6" w14:paraId="5C0950FF" w14:textId="77777777" w:rsidTr="00B14A36">
        <w:trPr>
          <w:trHeight w:val="142"/>
        </w:trPr>
        <w:tc>
          <w:tcPr>
            <w:tcW w:w="1589" w:type="dxa"/>
            <w:gridSpan w:val="2"/>
            <w:tcBorders>
              <w:top w:val="nil"/>
              <w:left w:val="single" w:sz="4" w:space="0" w:color="auto"/>
              <w:bottom w:val="single" w:sz="4" w:space="0" w:color="auto"/>
              <w:right w:val="single" w:sz="4" w:space="0" w:color="auto"/>
            </w:tcBorders>
            <w:shd w:val="clear" w:color="auto" w:fill="FFFFFF" w:themeFill="background1"/>
          </w:tcPr>
          <w:p w14:paraId="3F27FA9B" w14:textId="77777777" w:rsidR="00CE002B" w:rsidRPr="00301959" w:rsidRDefault="00CE002B" w:rsidP="00923C48">
            <w:pPr>
              <w:spacing w:line="240" w:lineRule="auto"/>
              <w:rPr>
                <w:rFonts w:ascii="Times New Roman" w:hAnsi="Times New Roman"/>
                <w:color w:val="000000"/>
                <w:sz w:val="21"/>
                <w:szCs w:val="21"/>
              </w:rPr>
            </w:pPr>
          </w:p>
        </w:tc>
        <w:tc>
          <w:tcPr>
            <w:tcW w:w="1843" w:type="dxa"/>
            <w:gridSpan w:val="3"/>
            <w:tcBorders>
              <w:left w:val="single" w:sz="4" w:space="0" w:color="auto"/>
            </w:tcBorders>
            <w:shd w:val="clear" w:color="auto" w:fill="FFFFFF" w:themeFill="background1"/>
          </w:tcPr>
          <w:p w14:paraId="7BC5F248" w14:textId="39E1880E" w:rsidR="00CE002B" w:rsidRPr="00301959" w:rsidRDefault="00CE002B" w:rsidP="00923C48">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00E41487">
              <w:rPr>
                <w:rFonts w:ascii="Times New Roman" w:hAnsi="Times New Roman"/>
                <w:color w:val="000000"/>
                <w:sz w:val="21"/>
                <w:szCs w:val="21"/>
              </w:rPr>
              <w:t xml:space="preserve">, </w:t>
            </w:r>
            <w:r w:rsidR="00E41487">
              <w:rPr>
                <w:rFonts w:ascii="Times New Roman" w:hAnsi="Times New Roman"/>
                <w:sz w:val="21"/>
                <w:szCs w:val="21"/>
              </w:rPr>
              <w:t>w tym osoby starsze i niepełnosprawne</w:t>
            </w:r>
          </w:p>
        </w:tc>
        <w:tc>
          <w:tcPr>
            <w:tcW w:w="7512" w:type="dxa"/>
            <w:gridSpan w:val="18"/>
            <w:vMerge/>
          </w:tcPr>
          <w:p w14:paraId="73ECBC86" w14:textId="77777777" w:rsidR="00CE002B" w:rsidRPr="00B37C80" w:rsidRDefault="00CE002B" w:rsidP="00923C48">
            <w:pPr>
              <w:spacing w:line="240" w:lineRule="auto"/>
              <w:rPr>
                <w:rFonts w:ascii="Times New Roman" w:hAnsi="Times New Roman"/>
                <w:color w:val="000000"/>
                <w:spacing w:val="-2"/>
                <w:sz w:val="21"/>
                <w:szCs w:val="21"/>
              </w:rPr>
            </w:pPr>
          </w:p>
        </w:tc>
      </w:tr>
      <w:tr w:rsidR="00923C48" w:rsidRPr="008B4FE6" w14:paraId="4D570AEC" w14:textId="77777777" w:rsidTr="000B2F97">
        <w:trPr>
          <w:trHeight w:val="951"/>
        </w:trPr>
        <w:tc>
          <w:tcPr>
            <w:tcW w:w="2439" w:type="dxa"/>
            <w:gridSpan w:val="3"/>
            <w:shd w:val="clear" w:color="auto" w:fill="FFFFFF" w:themeFill="background1"/>
          </w:tcPr>
          <w:p w14:paraId="6C752B43" w14:textId="77777777" w:rsidR="00923C48" w:rsidRPr="00301959" w:rsidRDefault="00923C48" w:rsidP="00923C48">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505" w:type="dxa"/>
            <w:gridSpan w:val="20"/>
            <w:shd w:val="clear" w:color="auto" w:fill="FFFFFF" w:themeFill="background1"/>
            <w:vAlign w:val="center"/>
          </w:tcPr>
          <w:p w14:paraId="1B66AF12" w14:textId="181DE9D9" w:rsidR="00923C48" w:rsidRPr="00301959" w:rsidRDefault="00CE002B" w:rsidP="00B8007E">
            <w:pPr>
              <w:spacing w:line="240" w:lineRule="auto"/>
              <w:jc w:val="both"/>
              <w:rPr>
                <w:rFonts w:ascii="Times New Roman" w:hAnsi="Times New Roman"/>
                <w:color w:val="000000"/>
                <w:sz w:val="21"/>
                <w:szCs w:val="21"/>
              </w:rPr>
            </w:pPr>
            <w:r>
              <w:rPr>
                <w:rFonts w:ascii="Times New Roman" w:hAnsi="Times New Roman"/>
                <w:color w:val="000000"/>
                <w:spacing w:val="-2"/>
                <w:sz w:val="21"/>
                <w:szCs w:val="21"/>
              </w:rPr>
              <w:t>Brak wpływu</w:t>
            </w:r>
          </w:p>
        </w:tc>
      </w:tr>
      <w:tr w:rsidR="00923C48" w:rsidRPr="008B4FE6" w14:paraId="16AEE0E3" w14:textId="77777777" w:rsidTr="00B14A36">
        <w:trPr>
          <w:trHeight w:val="342"/>
        </w:trPr>
        <w:tc>
          <w:tcPr>
            <w:tcW w:w="10944" w:type="dxa"/>
            <w:gridSpan w:val="23"/>
            <w:shd w:val="clear" w:color="auto" w:fill="99CCFF"/>
            <w:vAlign w:val="center"/>
          </w:tcPr>
          <w:p w14:paraId="1F4AE138" w14:textId="77777777" w:rsidR="00923C48" w:rsidRPr="008B4FE6" w:rsidRDefault="00923C48" w:rsidP="002A3F0C">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923C48" w:rsidRPr="008B4FE6" w14:paraId="752F4827" w14:textId="77777777" w:rsidTr="00B14A36">
        <w:trPr>
          <w:trHeight w:val="151"/>
        </w:trPr>
        <w:tc>
          <w:tcPr>
            <w:tcW w:w="10944" w:type="dxa"/>
            <w:gridSpan w:val="23"/>
            <w:shd w:val="clear" w:color="auto" w:fill="FFFFFF" w:themeFill="background1"/>
          </w:tcPr>
          <w:p w14:paraId="4DF61924" w14:textId="7B81073F" w:rsidR="00923C48" w:rsidRPr="008B4FE6" w:rsidRDefault="00BF12D6" w:rsidP="00923C48">
            <w:pPr>
              <w:spacing w:line="240" w:lineRule="auto"/>
              <w:rPr>
                <w:rFonts w:ascii="Times New Roman" w:hAnsi="Times New Roman"/>
                <w:color w:val="000000"/>
              </w:rPr>
            </w:pPr>
            <w:sdt>
              <w:sdtPr>
                <w:rPr>
                  <w:rFonts w:ascii="Times New Roman" w:hAnsi="Times New Roman"/>
                  <w:color w:val="000000"/>
                </w:rPr>
                <w:id w:val="213976680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1A5FDA">
              <w:rPr>
                <w:rFonts w:ascii="Times New Roman" w:hAnsi="Times New Roman"/>
                <w:color w:val="000000"/>
              </w:rPr>
              <w:t xml:space="preserve"> </w:t>
            </w:r>
            <w:r w:rsidR="00923C48" w:rsidRPr="001A5FDA">
              <w:rPr>
                <w:rFonts w:ascii="Times New Roman" w:hAnsi="Times New Roman"/>
                <w:color w:val="000000"/>
                <w:spacing w:val="-2"/>
              </w:rPr>
              <w:t>nie dotyczy</w:t>
            </w:r>
          </w:p>
        </w:tc>
      </w:tr>
      <w:tr w:rsidR="00923C48" w:rsidRPr="008B4FE6" w14:paraId="6D1C8174" w14:textId="77777777" w:rsidTr="00B14A36">
        <w:trPr>
          <w:trHeight w:val="946"/>
        </w:trPr>
        <w:tc>
          <w:tcPr>
            <w:tcW w:w="2481" w:type="dxa"/>
            <w:gridSpan w:val="4"/>
            <w:shd w:val="clear" w:color="auto" w:fill="FFFFFF" w:themeFill="background1"/>
          </w:tcPr>
          <w:p w14:paraId="31EFE459" w14:textId="77777777" w:rsidR="00923C48" w:rsidRDefault="00923C48" w:rsidP="00923C48">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8463" w:type="dxa"/>
            <w:gridSpan w:val="19"/>
            <w:shd w:val="clear" w:color="auto" w:fill="FFFFFF" w:themeFill="background1"/>
          </w:tcPr>
          <w:p w14:paraId="5B17FEA0" w14:textId="09CB9DC8" w:rsidR="00923C48" w:rsidRDefault="00BF12D6" w:rsidP="00923C48">
            <w:pPr>
              <w:spacing w:line="240" w:lineRule="auto"/>
              <w:rPr>
                <w:rFonts w:ascii="Times New Roman" w:hAnsi="Times New Roman"/>
                <w:color w:val="000000"/>
              </w:rPr>
            </w:pPr>
            <w:sdt>
              <w:sdtPr>
                <w:rPr>
                  <w:rFonts w:ascii="Times New Roman" w:hAnsi="Times New Roman"/>
                  <w:color w:val="000000"/>
                </w:rPr>
                <w:id w:val="10413294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tak</w:t>
            </w:r>
          </w:p>
          <w:p w14:paraId="4290273A" w14:textId="7D0095E6" w:rsidR="00923C48" w:rsidRDefault="00BF12D6" w:rsidP="00923C48">
            <w:pPr>
              <w:spacing w:line="240" w:lineRule="auto"/>
              <w:rPr>
                <w:rFonts w:ascii="Times New Roman" w:hAnsi="Times New Roman"/>
                <w:color w:val="000000"/>
              </w:rPr>
            </w:pPr>
            <w:sdt>
              <w:sdtPr>
                <w:rPr>
                  <w:rFonts w:ascii="Times New Roman" w:hAnsi="Times New Roman"/>
                  <w:color w:val="000000"/>
                </w:rPr>
                <w:id w:val="-525951560"/>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w:t>
            </w:r>
          </w:p>
          <w:p w14:paraId="2F3DB383" w14:textId="1A839EC1" w:rsidR="00923C48" w:rsidRDefault="00BF12D6" w:rsidP="00923C48">
            <w:pPr>
              <w:rPr>
                <w:rFonts w:ascii="Times New Roman" w:hAnsi="Times New Roman"/>
                <w:color w:val="000000"/>
              </w:rPr>
            </w:pPr>
            <w:sdt>
              <w:sdtPr>
                <w:rPr>
                  <w:rFonts w:ascii="Times New Roman" w:hAnsi="Times New Roman"/>
                  <w:color w:val="000000"/>
                </w:rPr>
                <w:id w:val="491759591"/>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4A5AA3">
              <w:rPr>
                <w:rFonts w:ascii="Times New Roman" w:hAnsi="Times New Roman"/>
                <w:color w:val="000000"/>
              </w:rPr>
              <w:t xml:space="preserve"> </w:t>
            </w:r>
            <w:r w:rsidR="00923C48">
              <w:rPr>
                <w:rFonts w:ascii="Times New Roman" w:hAnsi="Times New Roman"/>
                <w:color w:val="000000"/>
              </w:rPr>
              <w:t>nie dotyczy</w:t>
            </w:r>
          </w:p>
        </w:tc>
      </w:tr>
      <w:tr w:rsidR="00923C48" w:rsidRPr="008B4FE6" w14:paraId="26444199" w14:textId="77777777" w:rsidTr="00B14A36">
        <w:trPr>
          <w:trHeight w:val="1245"/>
        </w:trPr>
        <w:tc>
          <w:tcPr>
            <w:tcW w:w="2481" w:type="dxa"/>
            <w:gridSpan w:val="4"/>
            <w:shd w:val="clear" w:color="auto" w:fill="FFFFFF" w:themeFill="background1"/>
          </w:tcPr>
          <w:p w14:paraId="799F2950" w14:textId="16CB9C31"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rPr>
                <w:id w:val="969483403"/>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dokumentów</w:t>
            </w:r>
            <w:r w:rsidR="00923C48">
              <w:rPr>
                <w:rFonts w:ascii="Times New Roman" w:hAnsi="Times New Roman"/>
                <w:color w:val="000000"/>
                <w:spacing w:val="-2"/>
              </w:rPr>
              <w:t xml:space="preserve"> </w:t>
            </w:r>
          </w:p>
          <w:p w14:paraId="6A00CABC" w14:textId="43EBBC91"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rPr>
                <w:id w:val="-670331994"/>
                <w14:checkbox>
                  <w14:checked w14:val="1"/>
                  <w14:checkedState w14:val="2612" w14:font="MS Gothic"/>
                  <w14:uncheckedState w14:val="2610" w14:font="MS Gothic"/>
                </w14:checkbox>
              </w:sdtPr>
              <w:sdtEndPr/>
              <w:sdtContent>
                <w:r w:rsidR="00C316FD">
                  <w:rPr>
                    <w:rFonts w:ascii="MS Gothic" w:eastAsia="MS Gothic" w:hAnsi="MS Gothic" w:hint="eastAsia"/>
                    <w:color w:val="000000"/>
                  </w:rPr>
                  <w:t>☒</w:t>
                </w:r>
              </w:sdtContent>
            </w:sdt>
            <w:r w:rsidR="004A5AA3">
              <w:rPr>
                <w:rFonts w:ascii="Times New Roman" w:hAnsi="Times New Roman"/>
                <w:color w:val="000000"/>
              </w:rPr>
              <w:t xml:space="preserve"> </w:t>
            </w:r>
            <w:r w:rsidR="00923C48" w:rsidRPr="008B4FE6">
              <w:rPr>
                <w:rFonts w:ascii="Times New Roman" w:hAnsi="Times New Roman"/>
                <w:color w:val="000000"/>
                <w:spacing w:val="-2"/>
              </w:rPr>
              <w:t>zmniejszenie liczby procedur</w:t>
            </w:r>
          </w:p>
          <w:p w14:paraId="3B6E850F" w14:textId="3C6F598F" w:rsidR="00923C48" w:rsidRDefault="00BF12D6" w:rsidP="00923C48">
            <w:pPr>
              <w:spacing w:line="240" w:lineRule="auto"/>
              <w:rPr>
                <w:rFonts w:ascii="Times New Roman" w:hAnsi="Times New Roman"/>
                <w:color w:val="000000"/>
                <w:spacing w:val="-2"/>
              </w:rPr>
            </w:pPr>
            <w:sdt>
              <w:sdtPr>
                <w:rPr>
                  <w:rFonts w:ascii="Times New Roman" w:hAnsi="Times New Roman"/>
                  <w:color w:val="000000"/>
                </w:rPr>
                <w:id w:val="-1138110808"/>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skrócenie czasu</w:t>
            </w:r>
            <w:r w:rsidR="00923C48">
              <w:rPr>
                <w:rFonts w:ascii="Times New Roman" w:hAnsi="Times New Roman"/>
                <w:color w:val="000000"/>
                <w:spacing w:val="-2"/>
              </w:rPr>
              <w:t xml:space="preserve"> na załatwienie sprawy</w:t>
            </w:r>
          </w:p>
          <w:p w14:paraId="19F36678" w14:textId="29E516B6" w:rsidR="00923C48" w:rsidRPr="008B4FE6" w:rsidRDefault="00BF12D6" w:rsidP="00923C48">
            <w:pPr>
              <w:rPr>
                <w:rFonts w:ascii="Times New Roman" w:hAnsi="Times New Roman"/>
                <w:b/>
                <w:color w:val="000000"/>
                <w:spacing w:val="-2"/>
              </w:rPr>
            </w:pPr>
            <w:sdt>
              <w:sdtPr>
                <w:rPr>
                  <w:rFonts w:ascii="Times New Roman" w:hAnsi="Times New Roman"/>
                  <w:color w:val="000000"/>
                </w:rPr>
                <w:id w:val="99437168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8463" w:type="dxa"/>
            <w:gridSpan w:val="19"/>
            <w:shd w:val="clear" w:color="auto" w:fill="FFFFFF" w:themeFill="background1"/>
          </w:tcPr>
          <w:p w14:paraId="29AED127" w14:textId="011BA565"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rPr>
                <w:id w:val="-798605555"/>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zwiększenie liczby dokumentów</w:t>
            </w:r>
          </w:p>
          <w:p w14:paraId="329A8A8D" w14:textId="00974885"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rPr>
                <w:id w:val="-1257447478"/>
                <w14:checkbox>
                  <w14:checked w14:val="0"/>
                  <w14:checkedState w14:val="2612" w14:font="MS Gothic"/>
                  <w14:uncheckedState w14:val="2610" w14:font="MS Gothic"/>
                </w14:checkbox>
              </w:sdtPr>
              <w:sdtEndPr/>
              <w:sdtContent>
                <w:r w:rsidR="00C316FD">
                  <w:rPr>
                    <w:rFonts w:ascii="MS Gothic" w:eastAsia="MS Gothic" w:hAnsi="MS Gothic" w:hint="eastAsia"/>
                    <w:color w:val="000000"/>
                  </w:rPr>
                  <w:t>☐</w:t>
                </w:r>
              </w:sdtContent>
            </w:sdt>
            <w:r w:rsidR="00CE3FA7">
              <w:rPr>
                <w:rFonts w:ascii="Times New Roman" w:hAnsi="Times New Roman"/>
                <w:color w:val="000000"/>
              </w:rPr>
              <w:t xml:space="preserve"> </w:t>
            </w:r>
            <w:r w:rsidR="00923C48" w:rsidRPr="008B4FE6">
              <w:rPr>
                <w:rFonts w:ascii="Times New Roman" w:hAnsi="Times New Roman"/>
                <w:color w:val="000000"/>
                <w:spacing w:val="-2"/>
              </w:rPr>
              <w:t>zwiększenie liczby procedur</w:t>
            </w:r>
          </w:p>
          <w:p w14:paraId="6DC224B4" w14:textId="4B1132ED"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rPr>
                <w:id w:val="1625880937"/>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wydłużenie czasu</w:t>
            </w:r>
            <w:r w:rsidR="00923C48">
              <w:rPr>
                <w:rFonts w:ascii="Times New Roman" w:hAnsi="Times New Roman"/>
                <w:color w:val="000000"/>
                <w:spacing w:val="-2"/>
              </w:rPr>
              <w:t xml:space="preserve"> na załatwienie sprawy</w:t>
            </w:r>
          </w:p>
          <w:p w14:paraId="41B05F49" w14:textId="747562A3" w:rsidR="00923C48" w:rsidRPr="008B4FE6" w:rsidRDefault="00BF12D6" w:rsidP="00923C48">
            <w:pPr>
              <w:spacing w:line="240" w:lineRule="auto"/>
              <w:rPr>
                <w:rFonts w:ascii="Times New Roman" w:hAnsi="Times New Roman"/>
                <w:color w:val="000000"/>
              </w:rPr>
            </w:pPr>
            <w:sdt>
              <w:sdtPr>
                <w:rPr>
                  <w:rFonts w:ascii="Times New Roman" w:hAnsi="Times New Roman"/>
                  <w:color w:val="000000"/>
                </w:rPr>
                <w:id w:val="-2102560550"/>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sidRPr="008B4FE6">
              <w:rPr>
                <w:rFonts w:ascii="Times New Roman" w:hAnsi="Times New Roman"/>
                <w:color w:val="000000"/>
                <w:sz w:val="20"/>
                <w:szCs w:val="20"/>
              </w:rPr>
              <w:t xml:space="preserve"> </w:t>
            </w:r>
            <w:r w:rsidR="00923C48" w:rsidRPr="008B4FE6">
              <w:rPr>
                <w:rFonts w:ascii="Times New Roman" w:hAnsi="Times New Roman"/>
                <w:color w:val="000000"/>
                <w:spacing w:val="-2"/>
              </w:rPr>
              <w:t>inne:</w:t>
            </w:r>
            <w:r w:rsidR="00923C48" w:rsidRPr="008B4FE6">
              <w:rPr>
                <w:rFonts w:ascii="Times New Roman" w:hAnsi="Times New Roman"/>
                <w:color w:val="000000"/>
              </w:rPr>
              <w:t xml:space="preserv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r>
      <w:tr w:rsidR="00923C48" w:rsidRPr="008B4FE6" w14:paraId="6C713DB8" w14:textId="77777777" w:rsidTr="00B14A36">
        <w:trPr>
          <w:trHeight w:val="870"/>
        </w:trPr>
        <w:tc>
          <w:tcPr>
            <w:tcW w:w="2481" w:type="dxa"/>
            <w:gridSpan w:val="4"/>
            <w:shd w:val="clear" w:color="auto" w:fill="FFFFFF" w:themeFill="background1"/>
          </w:tcPr>
          <w:p w14:paraId="23954866" w14:textId="77777777" w:rsidR="00923C48" w:rsidRPr="008B4FE6" w:rsidRDefault="00923C48" w:rsidP="00923C48">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8463" w:type="dxa"/>
            <w:gridSpan w:val="19"/>
            <w:shd w:val="clear" w:color="auto" w:fill="FFFFFF" w:themeFill="background1"/>
          </w:tcPr>
          <w:p w14:paraId="31074546" w14:textId="1E3F10D4" w:rsidR="00923C48" w:rsidRDefault="00BF12D6" w:rsidP="00923C48">
            <w:pPr>
              <w:spacing w:line="240" w:lineRule="auto"/>
              <w:rPr>
                <w:rFonts w:ascii="Times New Roman" w:hAnsi="Times New Roman"/>
                <w:color w:val="000000"/>
              </w:rPr>
            </w:pPr>
            <w:sdt>
              <w:sdtPr>
                <w:rPr>
                  <w:rFonts w:ascii="Times New Roman" w:hAnsi="Times New Roman"/>
                  <w:color w:val="000000"/>
                </w:rPr>
                <w:id w:val="1077639356"/>
                <w14:checkbox>
                  <w14:checked w14:val="1"/>
                  <w14:checkedState w14:val="2612" w14:font="MS Gothic"/>
                  <w14:uncheckedState w14:val="2610" w14:font="MS Gothic"/>
                </w14:checkbox>
              </w:sdtPr>
              <w:sdtEndPr/>
              <w:sdtContent>
                <w:r w:rsidR="004A5AA3">
                  <w:rPr>
                    <w:rFonts w:ascii="MS Gothic" w:eastAsia="MS Gothic" w:hAnsi="MS Gothic" w:hint="eastAsia"/>
                    <w:color w:val="000000"/>
                  </w:rPr>
                  <w:t>☒</w:t>
                </w:r>
              </w:sdtContent>
            </w:sdt>
            <w:r w:rsidR="00923C48">
              <w:rPr>
                <w:rFonts w:ascii="Times New Roman" w:hAnsi="Times New Roman"/>
                <w:color w:val="000000"/>
              </w:rPr>
              <w:t xml:space="preserve"> tak</w:t>
            </w:r>
          </w:p>
          <w:p w14:paraId="7EF96E8F" w14:textId="70706EA6" w:rsidR="00923C48" w:rsidRDefault="00BF12D6" w:rsidP="00923C48">
            <w:pPr>
              <w:spacing w:line="240" w:lineRule="auto"/>
              <w:rPr>
                <w:rFonts w:ascii="Times New Roman" w:hAnsi="Times New Roman"/>
                <w:color w:val="000000"/>
              </w:rPr>
            </w:pPr>
            <w:sdt>
              <w:sdtPr>
                <w:rPr>
                  <w:rFonts w:ascii="Times New Roman" w:hAnsi="Times New Roman"/>
                  <w:color w:val="000000"/>
                </w:rPr>
                <w:id w:val="1382904409"/>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w:t>
            </w:r>
          </w:p>
          <w:p w14:paraId="7D381B03" w14:textId="56560E4F" w:rsidR="00923C48" w:rsidRPr="008B4FE6" w:rsidRDefault="00BF12D6" w:rsidP="00923C48">
            <w:pPr>
              <w:spacing w:line="240" w:lineRule="auto"/>
              <w:rPr>
                <w:rFonts w:ascii="Times New Roman" w:hAnsi="Times New Roman"/>
                <w:color w:val="000000"/>
              </w:rPr>
            </w:pPr>
            <w:sdt>
              <w:sdtPr>
                <w:rPr>
                  <w:rFonts w:ascii="Times New Roman" w:hAnsi="Times New Roman"/>
                  <w:color w:val="000000"/>
                </w:rPr>
                <w:id w:val="-1000119854"/>
                <w14:checkbox>
                  <w14:checked w14:val="0"/>
                  <w14:checkedState w14:val="2612" w14:font="MS Gothic"/>
                  <w14:uncheckedState w14:val="2610" w14:font="MS Gothic"/>
                </w14:checkbox>
              </w:sdtPr>
              <w:sdtEndPr/>
              <w:sdtContent>
                <w:r w:rsidR="00CE3FA7">
                  <w:rPr>
                    <w:rFonts w:ascii="MS Gothic" w:eastAsia="MS Gothic" w:hAnsi="MS Gothic" w:hint="eastAsia"/>
                    <w:color w:val="000000"/>
                  </w:rPr>
                  <w:t>☐</w:t>
                </w:r>
              </w:sdtContent>
            </w:sdt>
            <w:r w:rsidR="00923C48">
              <w:rPr>
                <w:rFonts w:ascii="Times New Roman" w:hAnsi="Times New Roman"/>
                <w:color w:val="000000"/>
              </w:rPr>
              <w:t xml:space="preserve"> nie dotyczy</w:t>
            </w:r>
          </w:p>
        </w:tc>
      </w:tr>
      <w:tr w:rsidR="00923C48" w:rsidRPr="008B4FE6" w14:paraId="41320554" w14:textId="77777777" w:rsidTr="00B14A36">
        <w:trPr>
          <w:trHeight w:val="630"/>
        </w:trPr>
        <w:tc>
          <w:tcPr>
            <w:tcW w:w="10944" w:type="dxa"/>
            <w:gridSpan w:val="23"/>
            <w:shd w:val="clear" w:color="auto" w:fill="FFFFFF" w:themeFill="background1"/>
          </w:tcPr>
          <w:p w14:paraId="0627C36A" w14:textId="0226FFE3" w:rsidR="00E16294" w:rsidRPr="00B14A36" w:rsidRDefault="004A5AA3" w:rsidP="000B2F97">
            <w:pPr>
              <w:spacing w:line="240" w:lineRule="auto"/>
              <w:jc w:val="both"/>
              <w:rPr>
                <w:rFonts w:ascii="Times New Roman" w:hAnsi="Times New Roman"/>
              </w:rPr>
            </w:pPr>
            <w:r w:rsidRPr="00B14A36">
              <w:rPr>
                <w:rFonts w:ascii="Times New Roman" w:eastAsia="Times New Roman" w:hAnsi="Times New Roman"/>
                <w:color w:val="000000" w:themeColor="text1"/>
                <w:lang w:eastAsia="pl-PL"/>
              </w:rPr>
              <w:t>Zwiększenie obciążeń regulacyjnych będzie dotyczyło zarówno podmiotów z sektora prywatnego (kominiarze, osoby</w:t>
            </w:r>
            <w:r w:rsidR="00924AE1">
              <w:rPr>
                <w:rFonts w:ascii="Times New Roman" w:eastAsia="Times New Roman" w:hAnsi="Times New Roman"/>
                <w:color w:val="000000" w:themeColor="text1"/>
                <w:lang w:eastAsia="pl-PL"/>
              </w:rPr>
              <w:t xml:space="preserve"> </w:t>
            </w:r>
            <w:r w:rsidRPr="00B14A36">
              <w:rPr>
                <w:rFonts w:ascii="Times New Roman" w:eastAsia="Times New Roman" w:hAnsi="Times New Roman"/>
                <w:color w:val="000000" w:themeColor="text1"/>
                <w:lang w:eastAsia="pl-PL"/>
              </w:rPr>
              <w:t>z</w:t>
            </w:r>
            <w:r w:rsidR="00B14A36" w:rsidRPr="00B14A36">
              <w:rPr>
                <w:rFonts w:ascii="Times New Roman" w:eastAsia="Times New Roman" w:hAnsi="Times New Roman"/>
                <w:color w:val="000000" w:themeColor="text1"/>
                <w:lang w:eastAsia="pl-PL"/>
              </w:rPr>
              <w:t> </w:t>
            </w:r>
            <w:r w:rsidRPr="00B14A36">
              <w:rPr>
                <w:rFonts w:ascii="Times New Roman" w:eastAsia="Times New Roman" w:hAnsi="Times New Roman"/>
                <w:color w:val="000000" w:themeColor="text1"/>
                <w:lang w:eastAsia="pl-PL"/>
              </w:rPr>
              <w:t xml:space="preserve">uprawnieniami budowlanymi), jak i organów administracji publicznej </w:t>
            </w:r>
            <w:r w:rsidR="000B2F97" w:rsidRPr="000B2F97">
              <w:rPr>
                <w:rFonts w:ascii="Times New Roman" w:eastAsia="Times New Roman" w:hAnsi="Times New Roman"/>
                <w:color w:val="000000" w:themeColor="text1"/>
                <w:lang w:eastAsia="pl-PL"/>
              </w:rPr>
              <w:t>(gminy, powiaty, samorząd województwa, Narodowy Fundusz Ochrony Środowiska i Gospodarki Wodnej, Wojewódzki Fundusz Ochrony Środowiska i Gospodarki Wodnej Wojewódzki Inspektorat Ochrony Środowiska, Główny Inspektorat Ochrony Środowiska, straże gminne i</w:t>
            </w:r>
            <w:r w:rsidR="000B2F97">
              <w:rPr>
                <w:rFonts w:ascii="Times New Roman" w:eastAsia="Times New Roman" w:hAnsi="Times New Roman"/>
                <w:color w:val="000000" w:themeColor="text1"/>
                <w:lang w:eastAsia="pl-PL"/>
              </w:rPr>
              <w:t> </w:t>
            </w:r>
            <w:r w:rsidR="000B2F97" w:rsidRPr="000B2F97">
              <w:rPr>
                <w:rFonts w:ascii="Times New Roman" w:eastAsia="Times New Roman" w:hAnsi="Times New Roman"/>
                <w:color w:val="000000" w:themeColor="text1"/>
                <w:lang w:eastAsia="pl-PL"/>
              </w:rPr>
              <w:t>miejskie)</w:t>
            </w:r>
            <w:r w:rsidRPr="00B14A36">
              <w:rPr>
                <w:rFonts w:ascii="Times New Roman" w:eastAsia="Times New Roman" w:hAnsi="Times New Roman"/>
                <w:color w:val="000000" w:themeColor="text1"/>
                <w:lang w:eastAsia="pl-PL"/>
              </w:rPr>
              <w:t>.</w:t>
            </w:r>
            <w:r w:rsidR="7E7C8941" w:rsidRPr="00B14A36">
              <w:rPr>
                <w:rFonts w:ascii="Times New Roman" w:hAnsi="Times New Roman"/>
              </w:rPr>
              <w:t xml:space="preserve"> Osoby wpisane do wykazu osób uprawnionych będą zobowiązane do dokonania inwentaryzacji budynku w</w:t>
            </w:r>
            <w:r w:rsidR="000B2F97">
              <w:rPr>
                <w:rFonts w:ascii="Times New Roman" w:hAnsi="Times New Roman"/>
              </w:rPr>
              <w:t> </w:t>
            </w:r>
            <w:r w:rsidR="7E7C8941" w:rsidRPr="00B14A36">
              <w:rPr>
                <w:rFonts w:ascii="Times New Roman" w:hAnsi="Times New Roman"/>
              </w:rPr>
              <w:t>zakresie danych, o których mowa w projektowanej regulacji. Dane będą wprowadzane do CEEB za pomocą elektronicznego formularza inwentaryzacyjnego, który będzie zapisywany automatycznie po jego wygenerowaniu w</w:t>
            </w:r>
            <w:r w:rsidR="000B2F97">
              <w:rPr>
                <w:rFonts w:ascii="Times New Roman" w:hAnsi="Times New Roman"/>
              </w:rPr>
              <w:t> </w:t>
            </w:r>
            <w:r w:rsidR="7E7C8941" w:rsidRPr="00B14A36">
              <w:rPr>
                <w:rFonts w:ascii="Times New Roman" w:hAnsi="Times New Roman"/>
              </w:rPr>
              <w:t>systemie teleinformatycznym obsługującym CEEB. Natomiast wprowadzenie danych do CEEB nastąpi w czasie wykonania czynności skutkującej koniecznością̨ przekazania danych do CEEB, za</w:t>
            </w:r>
            <w:r w:rsidR="000F7CDA">
              <w:rPr>
                <w:rFonts w:ascii="Times New Roman" w:hAnsi="Times New Roman"/>
              </w:rPr>
              <w:t xml:space="preserve"> </w:t>
            </w:r>
            <w:r w:rsidR="7E7C8941" w:rsidRPr="00B14A36">
              <w:rPr>
                <w:rFonts w:ascii="Times New Roman" w:hAnsi="Times New Roman"/>
              </w:rPr>
              <w:t>pomocą̨ systemu teleinformatycznego obsługującego CEEB. Narzędzie informatyczne umożliwi wprowadzenie danych za pomocą aplikacji webowej lub mobilnej, zarówno w trybie online, jak i w trybie offline.</w:t>
            </w:r>
          </w:p>
          <w:p w14:paraId="590F7616" w14:textId="1B0E0195" w:rsidR="00E16294" w:rsidRPr="00B14A36" w:rsidRDefault="00C316FD" w:rsidP="000B2F97">
            <w:pPr>
              <w:spacing w:line="240" w:lineRule="auto"/>
              <w:ind w:left="-5" w:hanging="10"/>
              <w:jc w:val="both"/>
              <w:rPr>
                <w:rFonts w:ascii="Times New Roman" w:eastAsia="Times New Roman" w:hAnsi="Times New Roman"/>
                <w:color w:val="000000"/>
                <w:lang w:eastAsia="pl-PL"/>
              </w:rPr>
            </w:pPr>
            <w:r w:rsidRPr="00B14A36">
              <w:rPr>
                <w:rFonts w:ascii="Times New Roman" w:eastAsia="Times New Roman" w:hAnsi="Times New Roman"/>
                <w:color w:val="000000" w:themeColor="text1"/>
                <w:lang w:eastAsia="pl-PL"/>
              </w:rPr>
              <w:t>Projektowana regulacja wprowadza pośrednio nowy obowiązek polegający na inwentaryzacji budynków lub lokali, a</w:t>
            </w:r>
            <w:r w:rsidR="00B14A36">
              <w:rPr>
                <w:rFonts w:ascii="Times New Roman" w:eastAsia="Times New Roman" w:hAnsi="Times New Roman"/>
                <w:color w:val="000000" w:themeColor="text1"/>
                <w:lang w:eastAsia="pl-PL"/>
              </w:rPr>
              <w:t> </w:t>
            </w:r>
            <w:r w:rsidRPr="00B14A36">
              <w:rPr>
                <w:rFonts w:ascii="Times New Roman" w:eastAsia="Times New Roman" w:hAnsi="Times New Roman"/>
                <w:color w:val="000000" w:themeColor="text1"/>
                <w:lang w:eastAsia="pl-PL"/>
              </w:rPr>
              <w:t>w</w:t>
            </w:r>
            <w:r w:rsidR="00B14A36">
              <w:rPr>
                <w:rFonts w:ascii="Times New Roman" w:eastAsia="Times New Roman" w:hAnsi="Times New Roman"/>
                <w:color w:val="000000" w:themeColor="text1"/>
                <w:lang w:eastAsia="pl-PL"/>
              </w:rPr>
              <w:t> </w:t>
            </w:r>
            <w:r w:rsidR="6267A2B1" w:rsidRPr="00B14A36">
              <w:rPr>
                <w:rFonts w:ascii="Times New Roman" w:eastAsia="Times New Roman" w:hAnsi="Times New Roman"/>
                <w:color w:val="000000" w:themeColor="text1"/>
                <w:lang w:eastAsia="pl-PL"/>
              </w:rPr>
              <w:t>konsekwencji</w:t>
            </w:r>
            <w:r w:rsidRPr="00B14A36">
              <w:rPr>
                <w:rFonts w:ascii="Times New Roman" w:eastAsia="Times New Roman" w:hAnsi="Times New Roman"/>
                <w:color w:val="000000" w:themeColor="text1"/>
                <w:lang w:eastAsia="pl-PL"/>
              </w:rPr>
              <w:t xml:space="preserve"> gromadzenie nowych danych na poziomie centralnym. </w:t>
            </w:r>
            <w:r w:rsidR="004A5AA3" w:rsidRPr="00B14A36">
              <w:rPr>
                <w:rFonts w:ascii="Times New Roman" w:eastAsia="Times New Roman" w:hAnsi="Times New Roman"/>
                <w:color w:val="000000" w:themeColor="text1"/>
                <w:lang w:eastAsia="pl-PL"/>
              </w:rPr>
              <w:t>Usprawni to jednak proces gromadzenia danych w skali całego kraju w zakresie budynków, wykorzystywanych w nich źródłach ciepła lub spalania paliw, rodzaju stosowanego paliwa czy redukcji emisji.</w:t>
            </w:r>
            <w:r w:rsidRPr="00B14A36">
              <w:rPr>
                <w:rFonts w:ascii="Times New Roman" w:eastAsia="Times New Roman" w:hAnsi="Times New Roman"/>
                <w:color w:val="000000" w:themeColor="text1"/>
                <w:lang w:eastAsia="pl-PL"/>
              </w:rPr>
              <w:t xml:space="preserve"> Proces </w:t>
            </w:r>
            <w:r w:rsidR="7B298B3A" w:rsidRPr="00B14A36">
              <w:rPr>
                <w:rFonts w:ascii="Times New Roman" w:eastAsia="Times New Roman" w:hAnsi="Times New Roman"/>
                <w:color w:val="000000" w:themeColor="text1"/>
                <w:lang w:eastAsia="pl-PL"/>
              </w:rPr>
              <w:t>inwentaryzacji</w:t>
            </w:r>
            <w:r w:rsidRPr="00B14A36">
              <w:rPr>
                <w:rFonts w:ascii="Times New Roman" w:eastAsia="Times New Roman" w:hAnsi="Times New Roman"/>
                <w:color w:val="000000" w:themeColor="text1"/>
                <w:lang w:eastAsia="pl-PL"/>
              </w:rPr>
              <w:t xml:space="preserve"> budynków zostanie oparty na jednolitych standardach w</w:t>
            </w:r>
            <w:r w:rsidR="00B14A36">
              <w:rPr>
                <w:rFonts w:ascii="Times New Roman" w:eastAsia="Times New Roman" w:hAnsi="Times New Roman"/>
                <w:color w:val="000000" w:themeColor="text1"/>
                <w:lang w:eastAsia="pl-PL"/>
              </w:rPr>
              <w:t> </w:t>
            </w:r>
            <w:r w:rsidRPr="00B14A36">
              <w:rPr>
                <w:rFonts w:ascii="Times New Roman" w:eastAsia="Times New Roman" w:hAnsi="Times New Roman"/>
                <w:color w:val="000000" w:themeColor="text1"/>
                <w:lang w:eastAsia="pl-PL"/>
              </w:rPr>
              <w:t xml:space="preserve">całej Polsce. </w:t>
            </w:r>
            <w:r w:rsidR="2CC6BC3C" w:rsidRPr="00B14A36">
              <w:rPr>
                <w:rFonts w:ascii="Times New Roman" w:eastAsia="Times New Roman" w:hAnsi="Times New Roman"/>
                <w:color w:val="000000" w:themeColor="text1"/>
                <w:lang w:eastAsia="pl-PL"/>
              </w:rPr>
              <w:t>Wyeliminuje</w:t>
            </w:r>
            <w:r w:rsidRPr="00B14A36">
              <w:rPr>
                <w:rFonts w:ascii="Times New Roman" w:eastAsia="Times New Roman" w:hAnsi="Times New Roman"/>
                <w:color w:val="000000" w:themeColor="text1"/>
                <w:lang w:eastAsia="pl-PL"/>
              </w:rPr>
              <w:t xml:space="preserve"> to regulacje obowiązujące obecnie w poszczególnych województwach, które w ramach podejmowanych aktów prawa miejscowego w różny sposób regulują ten obszar.</w:t>
            </w:r>
          </w:p>
        </w:tc>
      </w:tr>
      <w:tr w:rsidR="00923C48" w:rsidRPr="008B4FE6" w14:paraId="155915EE" w14:textId="77777777" w:rsidTr="00B14A36">
        <w:trPr>
          <w:trHeight w:val="142"/>
        </w:trPr>
        <w:tc>
          <w:tcPr>
            <w:tcW w:w="10944" w:type="dxa"/>
            <w:gridSpan w:val="23"/>
            <w:shd w:val="clear" w:color="auto" w:fill="99CCFF"/>
          </w:tcPr>
          <w:p w14:paraId="37035177" w14:textId="77777777" w:rsidR="00923C48" w:rsidRPr="008B4FE6" w:rsidRDefault="00923C48" w:rsidP="002A3F0C">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923C48" w:rsidRPr="008B4FE6" w14:paraId="2909D957" w14:textId="77777777" w:rsidTr="00B14A36">
        <w:trPr>
          <w:trHeight w:val="142"/>
        </w:trPr>
        <w:tc>
          <w:tcPr>
            <w:tcW w:w="10944" w:type="dxa"/>
            <w:gridSpan w:val="23"/>
            <w:shd w:val="clear" w:color="auto" w:fill="auto"/>
          </w:tcPr>
          <w:p w14:paraId="06F2BB58" w14:textId="500FDD13" w:rsidR="00923C48" w:rsidRPr="008B4FE6" w:rsidRDefault="00E16294" w:rsidP="00923C48">
            <w:pPr>
              <w:spacing w:line="240" w:lineRule="auto"/>
              <w:jc w:val="both"/>
              <w:rPr>
                <w:rFonts w:ascii="Times New Roman" w:hAnsi="Times New Roman"/>
                <w:color w:val="000000"/>
              </w:rPr>
            </w:pPr>
            <w:r w:rsidRPr="00E16294">
              <w:rPr>
                <w:rFonts w:ascii="Times New Roman" w:hAnsi="Times New Roman"/>
                <w:color w:val="000000"/>
              </w:rPr>
              <w:t>Brak wpływu na rynek pracy.</w:t>
            </w:r>
          </w:p>
        </w:tc>
      </w:tr>
      <w:tr w:rsidR="00923C48" w:rsidRPr="008B4FE6" w14:paraId="2D450053" w14:textId="77777777" w:rsidTr="00B14A36">
        <w:trPr>
          <w:trHeight w:val="142"/>
        </w:trPr>
        <w:tc>
          <w:tcPr>
            <w:tcW w:w="10944" w:type="dxa"/>
            <w:gridSpan w:val="23"/>
            <w:shd w:val="clear" w:color="auto" w:fill="99CCFF"/>
          </w:tcPr>
          <w:p w14:paraId="79E3A52F" w14:textId="77777777" w:rsidR="00923C48" w:rsidRPr="008B4FE6" w:rsidRDefault="00923C48" w:rsidP="002A3F0C">
            <w:pPr>
              <w:numPr>
                <w:ilvl w:val="0"/>
                <w:numId w:val="1"/>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923C48" w:rsidRPr="008B4FE6" w14:paraId="7084A5F5" w14:textId="77777777" w:rsidTr="00B14A36">
        <w:trPr>
          <w:trHeight w:val="1031"/>
        </w:trPr>
        <w:tc>
          <w:tcPr>
            <w:tcW w:w="1370" w:type="dxa"/>
            <w:shd w:val="clear" w:color="auto" w:fill="FFFFFF" w:themeFill="background1"/>
          </w:tcPr>
          <w:p w14:paraId="2E154196" w14:textId="466C2A83"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sz w:val="20"/>
                  <w:szCs w:val="20"/>
                </w:rPr>
                <w:id w:val="-71513124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spacing w:val="-2"/>
              </w:rPr>
              <w:t>środowisko naturalne</w:t>
            </w:r>
          </w:p>
          <w:p w14:paraId="0081F5D5" w14:textId="274CBFF0" w:rsidR="00923C48" w:rsidRDefault="00BF12D6" w:rsidP="00923C48">
            <w:pPr>
              <w:spacing w:line="240" w:lineRule="auto"/>
              <w:rPr>
                <w:rFonts w:ascii="Times New Roman" w:hAnsi="Times New Roman"/>
                <w:color w:val="000000"/>
              </w:rPr>
            </w:pPr>
            <w:sdt>
              <w:sdtPr>
                <w:rPr>
                  <w:rFonts w:ascii="Times New Roman" w:hAnsi="Times New Roman"/>
                  <w:color w:val="000000"/>
                  <w:sz w:val="20"/>
                  <w:szCs w:val="20"/>
                </w:rPr>
                <w:id w:val="1256335049"/>
                <w14:checkbox>
                  <w14:checked w14:val="0"/>
                  <w14:checkedState w14:val="2612" w14:font="MS Gothic"/>
                  <w14:uncheckedState w14:val="2610" w14:font="MS Gothic"/>
                </w14:checkbox>
              </w:sdtPr>
              <w:sdtEndPr/>
              <w:sdtContent>
                <w:r w:rsidR="00A02A2B">
                  <w:rPr>
                    <w:rFonts w:ascii="MS Gothic" w:eastAsia="MS Gothic" w:hAnsi="MS Gothic" w:hint="eastAsia"/>
                    <w:color w:val="000000"/>
                    <w:sz w:val="20"/>
                    <w:szCs w:val="20"/>
                  </w:rPr>
                  <w:t>☐</w:t>
                </w:r>
              </w:sdtContent>
            </w:sdt>
            <w:r w:rsidR="00A02A2B">
              <w:rPr>
                <w:rFonts w:ascii="Times New Roman" w:hAnsi="Times New Roman"/>
                <w:color w:val="000000"/>
                <w:sz w:val="20"/>
                <w:szCs w:val="20"/>
              </w:rPr>
              <w:t xml:space="preserve"> </w:t>
            </w:r>
            <w:r w:rsidR="00923C48" w:rsidRPr="008B4FE6">
              <w:rPr>
                <w:rFonts w:ascii="Times New Roman" w:hAnsi="Times New Roman"/>
                <w:color w:val="000000"/>
              </w:rPr>
              <w:t>sytuacja i rozwój regionalny</w:t>
            </w:r>
          </w:p>
          <w:p w14:paraId="14C093CB" w14:textId="40D0DA1F" w:rsidR="00923C48" w:rsidRPr="00BF6667" w:rsidRDefault="00BF12D6" w:rsidP="00923C48">
            <w:pPr>
              <w:spacing w:line="240" w:lineRule="auto"/>
              <w:rPr>
                <w:rFonts w:ascii="Times New Roman" w:hAnsi="Times New Roman"/>
                <w:color w:val="000000"/>
              </w:rPr>
            </w:pPr>
            <w:sdt>
              <w:sdtPr>
                <w:rPr>
                  <w:rFonts w:ascii="Times New Roman" w:hAnsi="Times New Roman"/>
                  <w:spacing w:val="-2"/>
                </w:rPr>
                <w:id w:val="-401131963"/>
                <w14:checkbox>
                  <w14:checked w14:val="0"/>
                  <w14:checkedState w14:val="2612" w14:font="MS Gothic"/>
                  <w14:uncheckedState w14:val="2610" w14:font="MS Gothic"/>
                </w14:checkbox>
              </w:sdtPr>
              <w:sdtEndPr/>
              <w:sdtContent>
                <w:r w:rsidR="00A02A2B">
                  <w:rPr>
                    <w:rFonts w:ascii="MS Gothic" w:eastAsia="MS Gothic" w:hAnsi="MS Gothic" w:hint="eastAsia"/>
                    <w:spacing w:val="-2"/>
                  </w:rPr>
                  <w:t>☐</w:t>
                </w:r>
              </w:sdtContent>
            </w:sdt>
            <w:r w:rsidR="00A02A2B">
              <w:rPr>
                <w:rFonts w:ascii="Times New Roman" w:hAnsi="Times New Roman"/>
                <w:spacing w:val="-2"/>
              </w:rPr>
              <w:t xml:space="preserve"> </w:t>
            </w:r>
            <w:r w:rsidR="00923C48" w:rsidRPr="00D93C2B">
              <w:rPr>
                <w:rFonts w:ascii="Times New Roman" w:hAnsi="Times New Roman"/>
                <w:spacing w:val="-2"/>
              </w:rPr>
              <w:t>sądy powszechne, administracyjne lub wojskowe</w:t>
            </w:r>
          </w:p>
        </w:tc>
        <w:tc>
          <w:tcPr>
            <w:tcW w:w="6314" w:type="dxa"/>
            <w:gridSpan w:val="14"/>
            <w:shd w:val="clear" w:color="auto" w:fill="FFFFFF" w:themeFill="background1"/>
          </w:tcPr>
          <w:p w14:paraId="083331EE" w14:textId="4B885D61" w:rsidR="00923C48" w:rsidRPr="008B4FE6" w:rsidRDefault="00BF12D6" w:rsidP="00923C48">
            <w:pPr>
              <w:spacing w:line="240" w:lineRule="auto"/>
              <w:rPr>
                <w:rFonts w:ascii="Times New Roman" w:hAnsi="Times New Roman"/>
                <w:color w:val="000000"/>
                <w:spacing w:val="-2"/>
              </w:rPr>
            </w:pPr>
            <w:sdt>
              <w:sdtPr>
                <w:rPr>
                  <w:rFonts w:ascii="Times New Roman" w:hAnsi="Times New Roman"/>
                  <w:color w:val="000000"/>
                  <w:spacing w:val="-2"/>
                </w:rPr>
                <w:id w:val="-1397435120"/>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demografia</w:t>
            </w:r>
          </w:p>
          <w:p w14:paraId="2F0F3E58" w14:textId="7D9A3BB0" w:rsidR="00923C48" w:rsidRDefault="00BF12D6" w:rsidP="00923C48">
            <w:pPr>
              <w:spacing w:line="240" w:lineRule="auto"/>
              <w:rPr>
                <w:rFonts w:ascii="Times New Roman" w:hAnsi="Times New Roman"/>
                <w:color w:val="000000"/>
              </w:rPr>
            </w:pPr>
            <w:sdt>
              <w:sdtPr>
                <w:rPr>
                  <w:rFonts w:ascii="Times New Roman" w:hAnsi="Times New Roman"/>
                  <w:color w:val="000000"/>
                </w:rPr>
                <w:id w:val="-1504515617"/>
                <w14:checkbox>
                  <w14:checked w14:val="0"/>
                  <w14:checkedState w14:val="2612" w14:font="MS Gothic"/>
                  <w14:uncheckedState w14:val="2610" w14:font="MS Gothic"/>
                </w14:checkbox>
              </w:sdtPr>
              <w:sdtEndPr/>
              <w:sdtContent>
                <w:r w:rsidR="00A02A2B">
                  <w:rPr>
                    <w:rFonts w:ascii="MS Gothic" w:eastAsia="MS Gothic" w:hAnsi="MS Gothic" w:hint="eastAsia"/>
                    <w:color w:val="000000"/>
                  </w:rPr>
                  <w:t>☐</w:t>
                </w:r>
              </w:sdtContent>
            </w:sdt>
            <w:r w:rsidR="00A02A2B">
              <w:rPr>
                <w:rFonts w:ascii="Times New Roman" w:hAnsi="Times New Roman"/>
                <w:color w:val="000000"/>
              </w:rPr>
              <w:t xml:space="preserve"> </w:t>
            </w:r>
            <w:r w:rsidR="00923C48">
              <w:rPr>
                <w:rFonts w:ascii="Times New Roman" w:hAnsi="Times New Roman"/>
                <w:color w:val="000000"/>
              </w:rPr>
              <w:t>mienie państwowe</w:t>
            </w:r>
          </w:p>
          <w:p w14:paraId="76D7895C" w14:textId="52C7CD7B" w:rsidR="00923C48" w:rsidRPr="008B4FE6" w:rsidRDefault="00BF12D6" w:rsidP="00923C48">
            <w:pPr>
              <w:spacing w:line="240" w:lineRule="auto"/>
              <w:rPr>
                <w:rFonts w:ascii="Times New Roman" w:hAnsi="Times New Roman"/>
                <w:color w:val="000000"/>
              </w:rPr>
            </w:pPr>
            <w:sdt>
              <w:sdtPr>
                <w:rPr>
                  <w:rFonts w:ascii="Times New Roman" w:hAnsi="Times New Roman"/>
                  <w:color w:val="000000"/>
                  <w:spacing w:val="-2"/>
                </w:rPr>
                <w:id w:val="-163624226"/>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 xml:space="preserve">inne: </w:t>
            </w:r>
            <w:r w:rsidR="00923C48"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00923C48" w:rsidRPr="008B4FE6">
              <w:rPr>
                <w:rFonts w:ascii="Times New Roman" w:hAnsi="Times New Roman"/>
                <w:color w:val="000000"/>
              </w:rPr>
              <w:instrText xml:space="preserve"> FORMTEXT </w:instrText>
            </w:r>
            <w:r w:rsidR="00923C48" w:rsidRPr="008B4FE6">
              <w:rPr>
                <w:rFonts w:ascii="Times New Roman" w:hAnsi="Times New Roman"/>
                <w:color w:val="000000"/>
              </w:rPr>
            </w:r>
            <w:r w:rsidR="00923C48" w:rsidRPr="008B4FE6">
              <w:rPr>
                <w:rFonts w:ascii="Times New Roman" w:hAnsi="Times New Roman"/>
                <w:color w:val="000000"/>
              </w:rPr>
              <w:fldChar w:fldCharType="separate"/>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noProof/>
                <w:color w:val="000000"/>
              </w:rPr>
              <w:t> </w:t>
            </w:r>
            <w:r w:rsidR="00923C48" w:rsidRPr="008B4FE6">
              <w:rPr>
                <w:rFonts w:ascii="Times New Roman" w:hAnsi="Times New Roman"/>
                <w:color w:val="000000"/>
              </w:rPr>
              <w:fldChar w:fldCharType="end"/>
            </w:r>
          </w:p>
        </w:tc>
        <w:tc>
          <w:tcPr>
            <w:tcW w:w="3260" w:type="dxa"/>
            <w:gridSpan w:val="8"/>
            <w:shd w:val="clear" w:color="auto" w:fill="FFFFFF" w:themeFill="background1"/>
          </w:tcPr>
          <w:p w14:paraId="1509B6CF" w14:textId="68C9B457" w:rsidR="00923C48" w:rsidRDefault="00BF12D6" w:rsidP="00923C48">
            <w:pPr>
              <w:spacing w:line="240" w:lineRule="auto"/>
              <w:rPr>
                <w:rFonts w:ascii="Times New Roman" w:hAnsi="Times New Roman"/>
                <w:color w:val="000000"/>
                <w:spacing w:val="-2"/>
              </w:rPr>
            </w:pPr>
            <w:sdt>
              <w:sdtPr>
                <w:rPr>
                  <w:rFonts w:ascii="Times New Roman" w:hAnsi="Times New Roman"/>
                  <w:color w:val="000000"/>
                  <w:spacing w:val="-2"/>
                </w:rPr>
                <w:id w:val="778768012"/>
                <w14:checkbox>
                  <w14:checked w14:val="1"/>
                  <w14:checkedState w14:val="2612" w14:font="MS Gothic"/>
                  <w14:uncheckedState w14:val="2610" w14:font="MS Gothic"/>
                </w14:checkbox>
              </w:sdtPr>
              <w:sdtEndPr/>
              <w:sdtContent>
                <w:r w:rsidR="007F0BEE">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sidRPr="008B4FE6">
              <w:rPr>
                <w:rFonts w:ascii="Times New Roman" w:hAnsi="Times New Roman"/>
                <w:color w:val="000000"/>
                <w:spacing w:val="-2"/>
              </w:rPr>
              <w:t>informatyzacja</w:t>
            </w:r>
          </w:p>
          <w:p w14:paraId="30B6D135" w14:textId="5D166C3C" w:rsidR="00923C48" w:rsidRPr="008B4FE6" w:rsidRDefault="00BF12D6" w:rsidP="00923C48">
            <w:pPr>
              <w:spacing w:line="240" w:lineRule="auto"/>
              <w:rPr>
                <w:rFonts w:ascii="Times New Roman" w:hAnsi="Times New Roman"/>
                <w:color w:val="000000"/>
              </w:rPr>
            </w:pPr>
            <w:sdt>
              <w:sdtPr>
                <w:rPr>
                  <w:rFonts w:ascii="Times New Roman" w:hAnsi="Times New Roman"/>
                  <w:color w:val="000000"/>
                  <w:spacing w:val="-2"/>
                </w:rPr>
                <w:id w:val="1414896493"/>
                <w14:checkbox>
                  <w14:checked w14:val="0"/>
                  <w14:checkedState w14:val="2612" w14:font="MS Gothic"/>
                  <w14:uncheckedState w14:val="2610" w14:font="MS Gothic"/>
                </w14:checkbox>
              </w:sdtPr>
              <w:sdtEndPr/>
              <w:sdtContent>
                <w:r w:rsidR="00A02A2B">
                  <w:rPr>
                    <w:rFonts w:ascii="MS Gothic" w:eastAsia="MS Gothic" w:hAnsi="MS Gothic" w:hint="eastAsia"/>
                    <w:color w:val="000000"/>
                    <w:spacing w:val="-2"/>
                  </w:rPr>
                  <w:t>☐</w:t>
                </w:r>
              </w:sdtContent>
            </w:sdt>
            <w:r w:rsidR="00A02A2B">
              <w:rPr>
                <w:rFonts w:ascii="Times New Roman" w:hAnsi="Times New Roman"/>
                <w:color w:val="000000"/>
                <w:spacing w:val="-2"/>
              </w:rPr>
              <w:t xml:space="preserve"> </w:t>
            </w:r>
            <w:r w:rsidR="00923C48">
              <w:rPr>
                <w:rFonts w:ascii="Times New Roman" w:hAnsi="Times New Roman"/>
                <w:color w:val="000000"/>
                <w:spacing w:val="-2"/>
              </w:rPr>
              <w:t>zdrowie</w:t>
            </w:r>
          </w:p>
        </w:tc>
      </w:tr>
      <w:tr w:rsidR="00923C48" w:rsidRPr="008B4FE6" w14:paraId="671A81BE" w14:textId="77777777" w:rsidTr="00B14A36">
        <w:trPr>
          <w:trHeight w:val="712"/>
        </w:trPr>
        <w:tc>
          <w:tcPr>
            <w:tcW w:w="2439" w:type="dxa"/>
            <w:gridSpan w:val="3"/>
            <w:shd w:val="clear" w:color="auto" w:fill="FFFFFF" w:themeFill="background1"/>
            <w:vAlign w:val="center"/>
          </w:tcPr>
          <w:p w14:paraId="2BDFA1B0" w14:textId="77777777" w:rsidR="00923C48" w:rsidRPr="008B4FE6" w:rsidRDefault="00923C48" w:rsidP="00923C48">
            <w:pPr>
              <w:spacing w:line="240" w:lineRule="auto"/>
              <w:rPr>
                <w:rFonts w:ascii="Times New Roman" w:hAnsi="Times New Roman"/>
                <w:color w:val="000000"/>
              </w:rPr>
            </w:pPr>
            <w:r w:rsidRPr="008B4FE6">
              <w:rPr>
                <w:rFonts w:ascii="Times New Roman" w:hAnsi="Times New Roman"/>
                <w:color w:val="000000"/>
              </w:rPr>
              <w:t>Omówienie wpływu</w:t>
            </w:r>
          </w:p>
        </w:tc>
        <w:tc>
          <w:tcPr>
            <w:tcW w:w="8505" w:type="dxa"/>
            <w:gridSpan w:val="20"/>
            <w:shd w:val="clear" w:color="auto" w:fill="FFFFFF" w:themeFill="background1"/>
            <w:vAlign w:val="center"/>
          </w:tcPr>
          <w:p w14:paraId="6939BD27" w14:textId="16AD3FA8" w:rsidR="00923C48" w:rsidRPr="008B4FE6" w:rsidRDefault="000B5B2B" w:rsidP="00923C48">
            <w:pPr>
              <w:spacing w:line="240" w:lineRule="auto"/>
              <w:jc w:val="both"/>
              <w:rPr>
                <w:rFonts w:ascii="Times New Roman" w:hAnsi="Times New Roman"/>
                <w:color w:val="000000"/>
                <w:spacing w:val="-2"/>
              </w:rPr>
            </w:pPr>
            <w:r w:rsidRPr="000B5B2B">
              <w:rPr>
                <w:rFonts w:ascii="Times New Roman" w:hAnsi="Times New Roman"/>
                <w:color w:val="000000"/>
                <w:spacing w:val="-2"/>
              </w:rPr>
              <w:t>System informatyczny pozwoli na gromadzenie ustandaryzowanych danych i informacji w skali całego kraju w zakresie budynków, wykorzystywanych w nich źródłach ciepła lub spalania paliw, rodzaju stosowanego paliwa czy redukcji emisji.</w:t>
            </w:r>
          </w:p>
        </w:tc>
      </w:tr>
      <w:tr w:rsidR="00923C48" w:rsidRPr="008B4FE6" w14:paraId="636854EA" w14:textId="77777777" w:rsidTr="00B14A36">
        <w:trPr>
          <w:trHeight w:val="142"/>
        </w:trPr>
        <w:tc>
          <w:tcPr>
            <w:tcW w:w="10944" w:type="dxa"/>
            <w:gridSpan w:val="23"/>
            <w:shd w:val="clear" w:color="auto" w:fill="99CCFF"/>
          </w:tcPr>
          <w:p w14:paraId="7EF04A89" w14:textId="77777777" w:rsidR="00923C48" w:rsidRPr="00627221" w:rsidRDefault="00923C48" w:rsidP="002A3F0C">
            <w:pPr>
              <w:numPr>
                <w:ilvl w:val="0"/>
                <w:numId w:val="1"/>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923C48" w:rsidRPr="008B4FE6" w14:paraId="28824BF9" w14:textId="77777777" w:rsidTr="00B14A36">
        <w:trPr>
          <w:trHeight w:val="142"/>
        </w:trPr>
        <w:tc>
          <w:tcPr>
            <w:tcW w:w="10944" w:type="dxa"/>
            <w:gridSpan w:val="23"/>
            <w:shd w:val="clear" w:color="auto" w:fill="FFFFFF" w:themeFill="background1"/>
          </w:tcPr>
          <w:p w14:paraId="68192A8D" w14:textId="20E748E6" w:rsidR="00923C48" w:rsidRPr="00E935FA" w:rsidRDefault="000B2F97" w:rsidP="00923C48">
            <w:pPr>
              <w:spacing w:line="240" w:lineRule="auto"/>
              <w:jc w:val="both"/>
              <w:rPr>
                <w:rFonts w:ascii="Times New Roman" w:hAnsi="Times New Roman"/>
              </w:rPr>
            </w:pPr>
            <w:r w:rsidRPr="00264571">
              <w:rPr>
                <w:rFonts w:ascii="Times New Roman" w:hAnsi="Times New Roman"/>
              </w:rPr>
              <w:t xml:space="preserve">Przewiduje się, że rozporządzenie wejdzie w życie </w:t>
            </w:r>
            <w:r w:rsidR="00883FEF">
              <w:rPr>
                <w:rFonts w:ascii="Times New Roman" w:hAnsi="Times New Roman"/>
              </w:rPr>
              <w:t>1 sierpnia 2023 r.</w:t>
            </w:r>
          </w:p>
        </w:tc>
      </w:tr>
      <w:tr w:rsidR="00923C48" w:rsidRPr="008B4FE6" w14:paraId="62D79EAD" w14:textId="77777777" w:rsidTr="00B14A36">
        <w:trPr>
          <w:trHeight w:val="142"/>
        </w:trPr>
        <w:tc>
          <w:tcPr>
            <w:tcW w:w="10944" w:type="dxa"/>
            <w:gridSpan w:val="23"/>
            <w:shd w:val="clear" w:color="auto" w:fill="99CCFF"/>
          </w:tcPr>
          <w:p w14:paraId="29A966C0" w14:textId="77777777" w:rsidR="00923C48" w:rsidRPr="008B4FE6" w:rsidRDefault="00923C48" w:rsidP="002A3F0C">
            <w:pPr>
              <w:numPr>
                <w:ilvl w:val="0"/>
                <w:numId w:val="1"/>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923C48" w:rsidRPr="008B4FE6" w14:paraId="446EB69F" w14:textId="77777777" w:rsidTr="00B14A36">
        <w:trPr>
          <w:trHeight w:val="142"/>
        </w:trPr>
        <w:tc>
          <w:tcPr>
            <w:tcW w:w="10944" w:type="dxa"/>
            <w:gridSpan w:val="23"/>
            <w:shd w:val="clear" w:color="auto" w:fill="FFFFFF" w:themeFill="background1"/>
          </w:tcPr>
          <w:p w14:paraId="25839819" w14:textId="09443FA0" w:rsidR="00923C48" w:rsidRPr="00B37C80" w:rsidRDefault="007F0BEE" w:rsidP="00923C48">
            <w:pPr>
              <w:spacing w:line="240" w:lineRule="auto"/>
              <w:jc w:val="both"/>
              <w:rPr>
                <w:rFonts w:ascii="Times New Roman" w:hAnsi="Times New Roman"/>
                <w:color w:val="000000"/>
                <w:spacing w:val="-2"/>
              </w:rPr>
            </w:pPr>
            <w:r w:rsidRPr="007F0BEE">
              <w:rPr>
                <w:rFonts w:ascii="Times New Roman" w:hAnsi="Times New Roman"/>
                <w:color w:val="000000"/>
                <w:spacing w:val="-2"/>
              </w:rPr>
              <w:t xml:space="preserve">Planuje się ewaluację całości interwencji (ustawa </w:t>
            </w:r>
            <w:r w:rsidR="00762FCE">
              <w:rPr>
                <w:rFonts w:ascii="Times New Roman" w:hAnsi="Times New Roman"/>
                <w:color w:val="000000"/>
                <w:spacing w:val="-2"/>
              </w:rPr>
              <w:t xml:space="preserve">z dnia 28 października 2020 r. </w:t>
            </w:r>
            <w:r w:rsidRPr="007F0BEE">
              <w:rPr>
                <w:rFonts w:ascii="Times New Roman" w:hAnsi="Times New Roman"/>
                <w:color w:val="000000"/>
                <w:spacing w:val="-2"/>
              </w:rPr>
              <w:t>o zmianie ustawy o wspieraniu termomodernizacji i remontów oraz niektórych innych ustaw</w:t>
            </w:r>
            <w:r w:rsidR="00762FCE">
              <w:rPr>
                <w:rFonts w:ascii="Times New Roman" w:hAnsi="Times New Roman"/>
                <w:color w:val="000000"/>
                <w:spacing w:val="-2"/>
              </w:rPr>
              <w:t xml:space="preserve"> /Dz. U. poz. 2127/</w:t>
            </w:r>
            <w:r w:rsidRPr="007F0BEE">
              <w:rPr>
                <w:rFonts w:ascii="Times New Roman" w:hAnsi="Times New Roman"/>
                <w:color w:val="000000"/>
                <w:spacing w:val="-2"/>
              </w:rPr>
              <w:t xml:space="preserve">) po 3 latach od wprowadzenia zmian. Dodatkowo proponuje się oszacowanie </w:t>
            </w:r>
            <w:r w:rsidR="00762FCE">
              <w:rPr>
                <w:rFonts w:ascii="Times New Roman" w:hAnsi="Times New Roman"/>
                <w:color w:val="000000"/>
                <w:spacing w:val="-2"/>
              </w:rPr>
              <w:t>–</w:t>
            </w:r>
            <w:r w:rsidRPr="007F0BEE">
              <w:rPr>
                <w:rFonts w:ascii="Times New Roman" w:hAnsi="Times New Roman"/>
                <w:color w:val="000000"/>
                <w:spacing w:val="-2"/>
              </w:rPr>
              <w:t xml:space="preserve"> po pół roku od uruchomienia poszczególnych funkcjonalności systemu IT, tj.</w:t>
            </w:r>
            <w:r w:rsidR="00B14A36">
              <w:rPr>
                <w:rFonts w:ascii="Times New Roman" w:hAnsi="Times New Roman"/>
                <w:color w:val="000000"/>
                <w:spacing w:val="-2"/>
              </w:rPr>
              <w:t> </w:t>
            </w:r>
            <w:r w:rsidRPr="007F0BEE">
              <w:rPr>
                <w:rFonts w:ascii="Times New Roman" w:hAnsi="Times New Roman"/>
                <w:color w:val="000000"/>
                <w:spacing w:val="-2"/>
              </w:rPr>
              <w:t xml:space="preserve">począwszy od wdrożenia pierwszej funkcjonalności systemu (moduł dostępowy) w ramach CEEB </w:t>
            </w:r>
            <w:r w:rsidR="00AE28BE" w:rsidRPr="00AE28BE">
              <w:rPr>
                <w:rFonts w:ascii="Times New Roman" w:hAnsi="Times New Roman"/>
                <w:color w:val="000000"/>
                <w:spacing w:val="-2"/>
              </w:rPr>
              <w:t>– zakres danych wprowadzanych do systemu IT, w stosunku do projektowanego zakresu danych, które powinny być wprowadzane do systemu CEEB. Ewaluacja efektów usług powinna nastąpić pół roku od uruchomienia każdej z usług stworzonej na podstawie uchwalonych przepisów.</w:t>
            </w:r>
          </w:p>
        </w:tc>
      </w:tr>
      <w:tr w:rsidR="00923C48" w:rsidRPr="008B4FE6" w14:paraId="2A9DA28D" w14:textId="77777777" w:rsidTr="00B14A36">
        <w:trPr>
          <w:trHeight w:val="142"/>
        </w:trPr>
        <w:tc>
          <w:tcPr>
            <w:tcW w:w="10944" w:type="dxa"/>
            <w:gridSpan w:val="23"/>
            <w:shd w:val="clear" w:color="auto" w:fill="99CCFF"/>
          </w:tcPr>
          <w:p w14:paraId="6660CCCC" w14:textId="77777777" w:rsidR="00923C48" w:rsidRPr="008B4FE6" w:rsidRDefault="00923C48" w:rsidP="002A3F0C">
            <w:pPr>
              <w:numPr>
                <w:ilvl w:val="0"/>
                <w:numId w:val="1"/>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923C48" w:rsidRPr="008B4FE6" w14:paraId="46B035CF" w14:textId="77777777" w:rsidTr="00B14A36">
        <w:trPr>
          <w:trHeight w:val="142"/>
        </w:trPr>
        <w:tc>
          <w:tcPr>
            <w:tcW w:w="10944" w:type="dxa"/>
            <w:gridSpan w:val="23"/>
            <w:shd w:val="clear" w:color="auto" w:fill="FFFFFF" w:themeFill="background1"/>
          </w:tcPr>
          <w:p w14:paraId="7C71B909" w14:textId="77777777" w:rsidR="00923C48" w:rsidRPr="00B37C80" w:rsidRDefault="00923C48" w:rsidP="00923C48">
            <w:pPr>
              <w:spacing w:line="240" w:lineRule="auto"/>
              <w:jc w:val="both"/>
              <w:rPr>
                <w:rFonts w:ascii="Times New Roman" w:hAnsi="Times New Roman"/>
                <w:i/>
                <w:color w:val="000000"/>
                <w:spacing w:val="-2"/>
                <w:sz w:val="18"/>
                <w:szCs w:val="18"/>
              </w:rPr>
            </w:pPr>
          </w:p>
          <w:p w14:paraId="01020CC3" w14:textId="77777777" w:rsidR="00923C48" w:rsidRPr="00B37C80" w:rsidRDefault="00923C48" w:rsidP="00923C48">
            <w:pPr>
              <w:spacing w:line="240" w:lineRule="auto"/>
              <w:jc w:val="both"/>
              <w:rPr>
                <w:rFonts w:ascii="Times New Roman" w:hAnsi="Times New Roman"/>
                <w:color w:val="000000"/>
                <w:spacing w:val="-2"/>
              </w:rPr>
            </w:pPr>
          </w:p>
        </w:tc>
      </w:tr>
    </w:tbl>
    <w:p w14:paraId="6D888195" w14:textId="0F811F4A" w:rsidR="006176ED" w:rsidRPr="00522D94" w:rsidRDefault="009D0655" w:rsidP="00762FCE">
      <w:pPr>
        <w:pStyle w:val="Nagwek1"/>
        <w:rPr>
          <w:rFonts w:ascii="Times New Roman" w:hAnsi="Times New Roman"/>
          <w:sz w:val="20"/>
          <w:szCs w:val="20"/>
        </w:rPr>
      </w:pPr>
      <w:r>
        <w:rPr>
          <w:rFonts w:ascii="Times New Roman" w:hAnsi="Times New Roman"/>
          <w:sz w:val="20"/>
          <w:szCs w:val="20"/>
        </w:rPr>
        <w:t xml:space="preserve"> </w:t>
      </w:r>
    </w:p>
    <w:sectPr w:rsidR="006176ED" w:rsidRPr="00522D94"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A8E7AC" w14:textId="77777777" w:rsidR="00BF12D6" w:rsidRDefault="00BF12D6" w:rsidP="00044739">
      <w:pPr>
        <w:spacing w:line="240" w:lineRule="auto"/>
      </w:pPr>
      <w:r>
        <w:separator/>
      </w:r>
    </w:p>
  </w:endnote>
  <w:endnote w:type="continuationSeparator" w:id="0">
    <w:p w14:paraId="61237426" w14:textId="77777777" w:rsidR="00BF12D6" w:rsidRDefault="00BF12D6"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2ED893" w14:textId="77777777" w:rsidR="00BF12D6" w:rsidRDefault="00BF12D6" w:rsidP="00044739">
      <w:pPr>
        <w:spacing w:line="240" w:lineRule="auto"/>
      </w:pPr>
      <w:r>
        <w:separator/>
      </w:r>
    </w:p>
  </w:footnote>
  <w:footnote w:type="continuationSeparator" w:id="0">
    <w:p w14:paraId="452DC846" w14:textId="77777777" w:rsidR="00BF12D6" w:rsidRDefault="00BF12D6" w:rsidP="0004473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792415"/>
    <w:multiLevelType w:val="hybridMultilevel"/>
    <w:tmpl w:val="E8547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AF31598"/>
    <w:multiLevelType w:val="hybridMultilevel"/>
    <w:tmpl w:val="77FEB71C"/>
    <w:lvl w:ilvl="0" w:tplc="04150017">
      <w:start w:val="1"/>
      <w:numFmt w:val="lowerLetter"/>
      <w:lvlText w:val="%1)"/>
      <w:lvlJc w:val="left"/>
      <w:pPr>
        <w:ind w:left="1145" w:hanging="360"/>
      </w:pPr>
    </w:lvl>
    <w:lvl w:ilvl="1" w:tplc="2592C964">
      <w:start w:val="1"/>
      <w:numFmt w:val="decimal"/>
      <w:lvlText w:val="%2)"/>
      <w:lvlJc w:val="left"/>
      <w:pPr>
        <w:ind w:left="1961" w:hanging="456"/>
      </w:pPr>
      <w:rPr>
        <w:rFonts w:hint="default"/>
      </w:r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 w15:restartNumberingAfterBreak="0">
    <w:nsid w:val="1E38744D"/>
    <w:multiLevelType w:val="hybridMultilevel"/>
    <w:tmpl w:val="E49AA2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2757FB7"/>
    <w:multiLevelType w:val="hybridMultilevel"/>
    <w:tmpl w:val="84CE78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2771F4"/>
    <w:multiLevelType w:val="hybridMultilevel"/>
    <w:tmpl w:val="84CE78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E824B41"/>
    <w:multiLevelType w:val="hybridMultilevel"/>
    <w:tmpl w:val="69FA130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A44CC7"/>
    <w:multiLevelType w:val="hybridMultilevel"/>
    <w:tmpl w:val="A1A6FD9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6A4559B"/>
    <w:multiLevelType w:val="hybridMultilevel"/>
    <w:tmpl w:val="B8CCE3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8F46B93"/>
    <w:multiLevelType w:val="hybridMultilevel"/>
    <w:tmpl w:val="6D5A70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296040F"/>
    <w:multiLevelType w:val="hybridMultilevel"/>
    <w:tmpl w:val="B08093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616F68"/>
    <w:multiLevelType w:val="hybridMultilevel"/>
    <w:tmpl w:val="7F30FD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09D304E"/>
    <w:multiLevelType w:val="hybridMultilevel"/>
    <w:tmpl w:val="9D1CAC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3836523"/>
    <w:multiLevelType w:val="hybridMultilevel"/>
    <w:tmpl w:val="6B4EF3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8762AA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14"/>
  </w:num>
  <w:num w:numId="3">
    <w:abstractNumId w:val="1"/>
  </w:num>
  <w:num w:numId="4">
    <w:abstractNumId w:val="7"/>
  </w:num>
  <w:num w:numId="5">
    <w:abstractNumId w:val="3"/>
  </w:num>
  <w:num w:numId="6">
    <w:abstractNumId w:val="5"/>
  </w:num>
  <w:num w:numId="7">
    <w:abstractNumId w:val="2"/>
  </w:num>
  <w:num w:numId="8">
    <w:abstractNumId w:val="0"/>
  </w:num>
  <w:num w:numId="9">
    <w:abstractNumId w:val="8"/>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6"/>
  </w:num>
  <w:num w:numId="14">
    <w:abstractNumId w:val="12"/>
  </w:num>
  <w:num w:numId="1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088F"/>
    <w:rsid w:val="00023836"/>
    <w:rsid w:val="0003247F"/>
    <w:rsid w:val="000356A9"/>
    <w:rsid w:val="00044138"/>
    <w:rsid w:val="00044739"/>
    <w:rsid w:val="00051637"/>
    <w:rsid w:val="00056681"/>
    <w:rsid w:val="000648A7"/>
    <w:rsid w:val="0006618B"/>
    <w:rsid w:val="000670C0"/>
    <w:rsid w:val="00071B99"/>
    <w:rsid w:val="000756E5"/>
    <w:rsid w:val="0007704E"/>
    <w:rsid w:val="00080EC8"/>
    <w:rsid w:val="00091360"/>
    <w:rsid w:val="000944AC"/>
    <w:rsid w:val="00094CB9"/>
    <w:rsid w:val="000956B2"/>
    <w:rsid w:val="000969E7"/>
    <w:rsid w:val="000A23DE"/>
    <w:rsid w:val="000A4020"/>
    <w:rsid w:val="000B2F97"/>
    <w:rsid w:val="000B4496"/>
    <w:rsid w:val="000B54FB"/>
    <w:rsid w:val="000B5B2B"/>
    <w:rsid w:val="000C29B0"/>
    <w:rsid w:val="000C58E4"/>
    <w:rsid w:val="000C5E44"/>
    <w:rsid w:val="000C76FC"/>
    <w:rsid w:val="000D1725"/>
    <w:rsid w:val="000D38FC"/>
    <w:rsid w:val="000D4D90"/>
    <w:rsid w:val="000E2D10"/>
    <w:rsid w:val="000F3204"/>
    <w:rsid w:val="000F5329"/>
    <w:rsid w:val="000F7CDA"/>
    <w:rsid w:val="0010548B"/>
    <w:rsid w:val="001072D1"/>
    <w:rsid w:val="00112F8A"/>
    <w:rsid w:val="00117017"/>
    <w:rsid w:val="00130E8E"/>
    <w:rsid w:val="0013216E"/>
    <w:rsid w:val="001401B5"/>
    <w:rsid w:val="001422B9"/>
    <w:rsid w:val="0014665F"/>
    <w:rsid w:val="00153464"/>
    <w:rsid w:val="001541B3"/>
    <w:rsid w:val="00155B15"/>
    <w:rsid w:val="001625BE"/>
    <w:rsid w:val="001643A4"/>
    <w:rsid w:val="001727BB"/>
    <w:rsid w:val="00180101"/>
    <w:rsid w:val="00180D25"/>
    <w:rsid w:val="00183138"/>
    <w:rsid w:val="0018318D"/>
    <w:rsid w:val="0018572C"/>
    <w:rsid w:val="00187E79"/>
    <w:rsid w:val="00187F0D"/>
    <w:rsid w:val="00192CC5"/>
    <w:rsid w:val="001956A7"/>
    <w:rsid w:val="001A118A"/>
    <w:rsid w:val="001A27F4"/>
    <w:rsid w:val="001A2D95"/>
    <w:rsid w:val="001A6F27"/>
    <w:rsid w:val="001B3460"/>
    <w:rsid w:val="001B4CA1"/>
    <w:rsid w:val="001B601A"/>
    <w:rsid w:val="001B6B30"/>
    <w:rsid w:val="001B75D8"/>
    <w:rsid w:val="001C1060"/>
    <w:rsid w:val="001C3C63"/>
    <w:rsid w:val="001D4732"/>
    <w:rsid w:val="001D6A3C"/>
    <w:rsid w:val="001D6D51"/>
    <w:rsid w:val="001E23B7"/>
    <w:rsid w:val="001E3D59"/>
    <w:rsid w:val="001F1998"/>
    <w:rsid w:val="001F653A"/>
    <w:rsid w:val="001F6979"/>
    <w:rsid w:val="00202BC6"/>
    <w:rsid w:val="00205141"/>
    <w:rsid w:val="0020516B"/>
    <w:rsid w:val="00207195"/>
    <w:rsid w:val="0021187F"/>
    <w:rsid w:val="00213559"/>
    <w:rsid w:val="00213EFD"/>
    <w:rsid w:val="002172F1"/>
    <w:rsid w:val="0021795D"/>
    <w:rsid w:val="00223C7B"/>
    <w:rsid w:val="00224AB1"/>
    <w:rsid w:val="0022687A"/>
    <w:rsid w:val="00230728"/>
    <w:rsid w:val="00234040"/>
    <w:rsid w:val="002341AC"/>
    <w:rsid w:val="00235CD2"/>
    <w:rsid w:val="002513EE"/>
    <w:rsid w:val="002523AC"/>
    <w:rsid w:val="00254DED"/>
    <w:rsid w:val="00255619"/>
    <w:rsid w:val="00255DAD"/>
    <w:rsid w:val="00256108"/>
    <w:rsid w:val="00260F33"/>
    <w:rsid w:val="002613BD"/>
    <w:rsid w:val="002624F1"/>
    <w:rsid w:val="00270C81"/>
    <w:rsid w:val="00271558"/>
    <w:rsid w:val="00274862"/>
    <w:rsid w:val="00280760"/>
    <w:rsid w:val="00282D72"/>
    <w:rsid w:val="00283402"/>
    <w:rsid w:val="00290FD6"/>
    <w:rsid w:val="002914AF"/>
    <w:rsid w:val="00294259"/>
    <w:rsid w:val="002A2C81"/>
    <w:rsid w:val="002A3F0C"/>
    <w:rsid w:val="002B3D1A"/>
    <w:rsid w:val="002C27D0"/>
    <w:rsid w:val="002C2C9B"/>
    <w:rsid w:val="002C7E71"/>
    <w:rsid w:val="002D17D6"/>
    <w:rsid w:val="002D18D7"/>
    <w:rsid w:val="002D21CE"/>
    <w:rsid w:val="002D43DD"/>
    <w:rsid w:val="002E3DA3"/>
    <w:rsid w:val="002E450F"/>
    <w:rsid w:val="002E4A8A"/>
    <w:rsid w:val="002E6B38"/>
    <w:rsid w:val="002E6D63"/>
    <w:rsid w:val="002E6E2B"/>
    <w:rsid w:val="002F2253"/>
    <w:rsid w:val="002F500B"/>
    <w:rsid w:val="002F7D7C"/>
    <w:rsid w:val="00300991"/>
    <w:rsid w:val="00301959"/>
    <w:rsid w:val="00305B8A"/>
    <w:rsid w:val="003134A4"/>
    <w:rsid w:val="00326875"/>
    <w:rsid w:val="00331BF9"/>
    <w:rsid w:val="0033495E"/>
    <w:rsid w:val="00334A79"/>
    <w:rsid w:val="00334D8D"/>
    <w:rsid w:val="00337345"/>
    <w:rsid w:val="00337DD2"/>
    <w:rsid w:val="003404D1"/>
    <w:rsid w:val="003443FF"/>
    <w:rsid w:val="00347512"/>
    <w:rsid w:val="00355808"/>
    <w:rsid w:val="00362C7E"/>
    <w:rsid w:val="00363309"/>
    <w:rsid w:val="00363601"/>
    <w:rsid w:val="00376AC9"/>
    <w:rsid w:val="00385BCA"/>
    <w:rsid w:val="00393032"/>
    <w:rsid w:val="00394616"/>
    <w:rsid w:val="00394B69"/>
    <w:rsid w:val="00397078"/>
    <w:rsid w:val="003A6953"/>
    <w:rsid w:val="003B3D70"/>
    <w:rsid w:val="003B6083"/>
    <w:rsid w:val="003C3838"/>
    <w:rsid w:val="003C5847"/>
    <w:rsid w:val="003D0681"/>
    <w:rsid w:val="003D090C"/>
    <w:rsid w:val="003D12F6"/>
    <w:rsid w:val="003D1426"/>
    <w:rsid w:val="003E2B53"/>
    <w:rsid w:val="003E2F4E"/>
    <w:rsid w:val="003E720A"/>
    <w:rsid w:val="003F293B"/>
    <w:rsid w:val="003F5A9A"/>
    <w:rsid w:val="0040068E"/>
    <w:rsid w:val="00403E6E"/>
    <w:rsid w:val="0040748A"/>
    <w:rsid w:val="004129B4"/>
    <w:rsid w:val="0041454F"/>
    <w:rsid w:val="00417EF0"/>
    <w:rsid w:val="00420606"/>
    <w:rsid w:val="00422181"/>
    <w:rsid w:val="004244A8"/>
    <w:rsid w:val="00425F72"/>
    <w:rsid w:val="00427736"/>
    <w:rsid w:val="00441787"/>
    <w:rsid w:val="00444F2D"/>
    <w:rsid w:val="00452034"/>
    <w:rsid w:val="00455FA6"/>
    <w:rsid w:val="004609DC"/>
    <w:rsid w:val="00466C70"/>
    <w:rsid w:val="004673A4"/>
    <w:rsid w:val="004702C9"/>
    <w:rsid w:val="00472E45"/>
    <w:rsid w:val="004735A7"/>
    <w:rsid w:val="00473FEA"/>
    <w:rsid w:val="0047579D"/>
    <w:rsid w:val="004820DA"/>
    <w:rsid w:val="00483262"/>
    <w:rsid w:val="00484107"/>
    <w:rsid w:val="00485CC5"/>
    <w:rsid w:val="0049343F"/>
    <w:rsid w:val="004964FC"/>
    <w:rsid w:val="00497864"/>
    <w:rsid w:val="004A145E"/>
    <w:rsid w:val="004A1F15"/>
    <w:rsid w:val="004A2A81"/>
    <w:rsid w:val="004A5AA3"/>
    <w:rsid w:val="004A7BD7"/>
    <w:rsid w:val="004B007B"/>
    <w:rsid w:val="004C15C2"/>
    <w:rsid w:val="004C36D8"/>
    <w:rsid w:val="004C6A0C"/>
    <w:rsid w:val="004D1248"/>
    <w:rsid w:val="004D1E3C"/>
    <w:rsid w:val="004D4169"/>
    <w:rsid w:val="004D6E14"/>
    <w:rsid w:val="004E0057"/>
    <w:rsid w:val="004E3286"/>
    <w:rsid w:val="004E5682"/>
    <w:rsid w:val="004F4E17"/>
    <w:rsid w:val="0050082F"/>
    <w:rsid w:val="00500C56"/>
    <w:rsid w:val="00501713"/>
    <w:rsid w:val="00506568"/>
    <w:rsid w:val="0051551B"/>
    <w:rsid w:val="00520C57"/>
    <w:rsid w:val="00522D94"/>
    <w:rsid w:val="0052431D"/>
    <w:rsid w:val="0053030A"/>
    <w:rsid w:val="00533D89"/>
    <w:rsid w:val="00536564"/>
    <w:rsid w:val="00544597"/>
    <w:rsid w:val="00544FFE"/>
    <w:rsid w:val="005473F5"/>
    <w:rsid w:val="005477E7"/>
    <w:rsid w:val="005507B4"/>
    <w:rsid w:val="00552794"/>
    <w:rsid w:val="00553E19"/>
    <w:rsid w:val="00560223"/>
    <w:rsid w:val="00560DE0"/>
    <w:rsid w:val="00563199"/>
    <w:rsid w:val="00564874"/>
    <w:rsid w:val="00567963"/>
    <w:rsid w:val="0057009A"/>
    <w:rsid w:val="00571260"/>
    <w:rsid w:val="0057189C"/>
    <w:rsid w:val="00573FC1"/>
    <w:rsid w:val="005741EE"/>
    <w:rsid w:val="00575233"/>
    <w:rsid w:val="0057668E"/>
    <w:rsid w:val="005824A8"/>
    <w:rsid w:val="00595E83"/>
    <w:rsid w:val="00596530"/>
    <w:rsid w:val="005967F3"/>
    <w:rsid w:val="005A06DF"/>
    <w:rsid w:val="005A5527"/>
    <w:rsid w:val="005A5AE6"/>
    <w:rsid w:val="005B1206"/>
    <w:rsid w:val="005B37E8"/>
    <w:rsid w:val="005C0056"/>
    <w:rsid w:val="005D61D6"/>
    <w:rsid w:val="005E0D13"/>
    <w:rsid w:val="005E5047"/>
    <w:rsid w:val="005E7205"/>
    <w:rsid w:val="005E7371"/>
    <w:rsid w:val="005F116C"/>
    <w:rsid w:val="005F2131"/>
    <w:rsid w:val="00605EF6"/>
    <w:rsid w:val="00606455"/>
    <w:rsid w:val="00613772"/>
    <w:rsid w:val="00614929"/>
    <w:rsid w:val="00616511"/>
    <w:rsid w:val="006176ED"/>
    <w:rsid w:val="006202F3"/>
    <w:rsid w:val="0062097A"/>
    <w:rsid w:val="00621DA6"/>
    <w:rsid w:val="00623CFE"/>
    <w:rsid w:val="00623DE9"/>
    <w:rsid w:val="00627221"/>
    <w:rsid w:val="00627EE8"/>
    <w:rsid w:val="006316FA"/>
    <w:rsid w:val="006370D2"/>
    <w:rsid w:val="0064074F"/>
    <w:rsid w:val="00641F55"/>
    <w:rsid w:val="00645E4A"/>
    <w:rsid w:val="00653688"/>
    <w:rsid w:val="0066091B"/>
    <w:rsid w:val="006630EC"/>
    <w:rsid w:val="006660E9"/>
    <w:rsid w:val="00667249"/>
    <w:rsid w:val="00667558"/>
    <w:rsid w:val="00671523"/>
    <w:rsid w:val="006754EF"/>
    <w:rsid w:val="00676C8D"/>
    <w:rsid w:val="00676F1F"/>
    <w:rsid w:val="00677381"/>
    <w:rsid w:val="00677414"/>
    <w:rsid w:val="006832CF"/>
    <w:rsid w:val="0068601E"/>
    <w:rsid w:val="0069486B"/>
    <w:rsid w:val="006A0AB1"/>
    <w:rsid w:val="006A4904"/>
    <w:rsid w:val="006A548F"/>
    <w:rsid w:val="006A701A"/>
    <w:rsid w:val="006B64DC"/>
    <w:rsid w:val="006B7A91"/>
    <w:rsid w:val="006D46C4"/>
    <w:rsid w:val="006D4704"/>
    <w:rsid w:val="006D6A2D"/>
    <w:rsid w:val="006E1E18"/>
    <w:rsid w:val="006E31CE"/>
    <w:rsid w:val="006E34D3"/>
    <w:rsid w:val="006E3F3C"/>
    <w:rsid w:val="006F1435"/>
    <w:rsid w:val="006F78C4"/>
    <w:rsid w:val="007024B3"/>
    <w:rsid w:val="007031A0"/>
    <w:rsid w:val="00705A29"/>
    <w:rsid w:val="00707498"/>
    <w:rsid w:val="00711A65"/>
    <w:rsid w:val="00714133"/>
    <w:rsid w:val="00714DA4"/>
    <w:rsid w:val="007158B2"/>
    <w:rsid w:val="00716081"/>
    <w:rsid w:val="00722B48"/>
    <w:rsid w:val="00724164"/>
    <w:rsid w:val="00725DE7"/>
    <w:rsid w:val="0072636A"/>
    <w:rsid w:val="00726B44"/>
    <w:rsid w:val="007318DD"/>
    <w:rsid w:val="00733167"/>
    <w:rsid w:val="00740D2C"/>
    <w:rsid w:val="00744BF9"/>
    <w:rsid w:val="00745B9C"/>
    <w:rsid w:val="00752623"/>
    <w:rsid w:val="00760F1F"/>
    <w:rsid w:val="00762FCE"/>
    <w:rsid w:val="0076423E"/>
    <w:rsid w:val="007646CB"/>
    <w:rsid w:val="0076658F"/>
    <w:rsid w:val="0077040A"/>
    <w:rsid w:val="00772D64"/>
    <w:rsid w:val="00784B72"/>
    <w:rsid w:val="00790E30"/>
    <w:rsid w:val="00792609"/>
    <w:rsid w:val="00792887"/>
    <w:rsid w:val="007943E2"/>
    <w:rsid w:val="00794F2C"/>
    <w:rsid w:val="00796460"/>
    <w:rsid w:val="007A3BC7"/>
    <w:rsid w:val="007A5AC4"/>
    <w:rsid w:val="007B0FDD"/>
    <w:rsid w:val="007B4802"/>
    <w:rsid w:val="007B6668"/>
    <w:rsid w:val="007B6B33"/>
    <w:rsid w:val="007C122A"/>
    <w:rsid w:val="007C2701"/>
    <w:rsid w:val="007D2192"/>
    <w:rsid w:val="007E7549"/>
    <w:rsid w:val="007F0021"/>
    <w:rsid w:val="007F0BEE"/>
    <w:rsid w:val="007F2F52"/>
    <w:rsid w:val="0080022D"/>
    <w:rsid w:val="00801F71"/>
    <w:rsid w:val="008030B9"/>
    <w:rsid w:val="00805F28"/>
    <w:rsid w:val="0080749F"/>
    <w:rsid w:val="00811D46"/>
    <w:rsid w:val="008125B0"/>
    <w:rsid w:val="008144CB"/>
    <w:rsid w:val="00821717"/>
    <w:rsid w:val="00824210"/>
    <w:rsid w:val="008263C0"/>
    <w:rsid w:val="008322F6"/>
    <w:rsid w:val="00836523"/>
    <w:rsid w:val="00841422"/>
    <w:rsid w:val="00841D3B"/>
    <w:rsid w:val="0084314C"/>
    <w:rsid w:val="00843171"/>
    <w:rsid w:val="0085721E"/>
    <w:rsid w:val="008575C3"/>
    <w:rsid w:val="00863D28"/>
    <w:rsid w:val="008648C3"/>
    <w:rsid w:val="00880F26"/>
    <w:rsid w:val="00883FEF"/>
    <w:rsid w:val="00885B2F"/>
    <w:rsid w:val="008934A9"/>
    <w:rsid w:val="00893A9D"/>
    <w:rsid w:val="00895C79"/>
    <w:rsid w:val="00896C2E"/>
    <w:rsid w:val="008A5095"/>
    <w:rsid w:val="008A608F"/>
    <w:rsid w:val="008B1A9A"/>
    <w:rsid w:val="008B4C3F"/>
    <w:rsid w:val="008B4EE6"/>
    <w:rsid w:val="008B4FE6"/>
    <w:rsid w:val="008B6C37"/>
    <w:rsid w:val="008D5EB1"/>
    <w:rsid w:val="008E18F7"/>
    <w:rsid w:val="008E1E10"/>
    <w:rsid w:val="008E291B"/>
    <w:rsid w:val="008E4F2F"/>
    <w:rsid w:val="008E74B0"/>
    <w:rsid w:val="008F574C"/>
    <w:rsid w:val="009008A8"/>
    <w:rsid w:val="00902F0F"/>
    <w:rsid w:val="00902FAE"/>
    <w:rsid w:val="009063B0"/>
    <w:rsid w:val="00907106"/>
    <w:rsid w:val="009107FD"/>
    <w:rsid w:val="0091137C"/>
    <w:rsid w:val="00911567"/>
    <w:rsid w:val="009145EB"/>
    <w:rsid w:val="00917AAE"/>
    <w:rsid w:val="00923C48"/>
    <w:rsid w:val="00924AE1"/>
    <w:rsid w:val="009251A9"/>
    <w:rsid w:val="00930699"/>
    <w:rsid w:val="00931F69"/>
    <w:rsid w:val="00934123"/>
    <w:rsid w:val="009424C0"/>
    <w:rsid w:val="00955774"/>
    <w:rsid w:val="009560B5"/>
    <w:rsid w:val="00964F84"/>
    <w:rsid w:val="00967860"/>
    <w:rsid w:val="009703D6"/>
    <w:rsid w:val="0097181B"/>
    <w:rsid w:val="0097493E"/>
    <w:rsid w:val="00976DC5"/>
    <w:rsid w:val="009818C7"/>
    <w:rsid w:val="00982DD4"/>
    <w:rsid w:val="00983AAF"/>
    <w:rsid w:val="009841E5"/>
    <w:rsid w:val="0098479F"/>
    <w:rsid w:val="00984A8A"/>
    <w:rsid w:val="009857B6"/>
    <w:rsid w:val="00985A8D"/>
    <w:rsid w:val="00986610"/>
    <w:rsid w:val="009877DC"/>
    <w:rsid w:val="00991F96"/>
    <w:rsid w:val="009926E6"/>
    <w:rsid w:val="00996F0A"/>
    <w:rsid w:val="009A1D86"/>
    <w:rsid w:val="009B049C"/>
    <w:rsid w:val="009B11C8"/>
    <w:rsid w:val="009B2BCF"/>
    <w:rsid w:val="009B2FF8"/>
    <w:rsid w:val="009B5BA3"/>
    <w:rsid w:val="009D0027"/>
    <w:rsid w:val="009D0655"/>
    <w:rsid w:val="009D312D"/>
    <w:rsid w:val="009E1E98"/>
    <w:rsid w:val="009E3ABE"/>
    <w:rsid w:val="009E3C4B"/>
    <w:rsid w:val="009F0637"/>
    <w:rsid w:val="009F093D"/>
    <w:rsid w:val="009F62A6"/>
    <w:rsid w:val="009F674F"/>
    <w:rsid w:val="009F799E"/>
    <w:rsid w:val="00A02020"/>
    <w:rsid w:val="00A02A2B"/>
    <w:rsid w:val="00A056CB"/>
    <w:rsid w:val="00A07A29"/>
    <w:rsid w:val="00A10FF1"/>
    <w:rsid w:val="00A1506B"/>
    <w:rsid w:val="00A17CB2"/>
    <w:rsid w:val="00A23191"/>
    <w:rsid w:val="00A24B33"/>
    <w:rsid w:val="00A25440"/>
    <w:rsid w:val="00A319C0"/>
    <w:rsid w:val="00A33560"/>
    <w:rsid w:val="00A364E4"/>
    <w:rsid w:val="00A371A5"/>
    <w:rsid w:val="00A47BDF"/>
    <w:rsid w:val="00A51CD7"/>
    <w:rsid w:val="00A52ADB"/>
    <w:rsid w:val="00A533E8"/>
    <w:rsid w:val="00A542D9"/>
    <w:rsid w:val="00A56E64"/>
    <w:rsid w:val="00A624C3"/>
    <w:rsid w:val="00A6641C"/>
    <w:rsid w:val="00A767D2"/>
    <w:rsid w:val="00A77616"/>
    <w:rsid w:val="00A805DA"/>
    <w:rsid w:val="00A811B4"/>
    <w:rsid w:val="00A87CDE"/>
    <w:rsid w:val="00A92BAF"/>
    <w:rsid w:val="00A94737"/>
    <w:rsid w:val="00A94BA3"/>
    <w:rsid w:val="00A96CBA"/>
    <w:rsid w:val="00AB1ACD"/>
    <w:rsid w:val="00AB277F"/>
    <w:rsid w:val="00AB4099"/>
    <w:rsid w:val="00AB449A"/>
    <w:rsid w:val="00AD14F9"/>
    <w:rsid w:val="00AD35D6"/>
    <w:rsid w:val="00AD58C5"/>
    <w:rsid w:val="00AD68EB"/>
    <w:rsid w:val="00AE28BE"/>
    <w:rsid w:val="00AE36C4"/>
    <w:rsid w:val="00AE472C"/>
    <w:rsid w:val="00AE4AC9"/>
    <w:rsid w:val="00AE5375"/>
    <w:rsid w:val="00AE6CF8"/>
    <w:rsid w:val="00AE6E28"/>
    <w:rsid w:val="00AF4CAC"/>
    <w:rsid w:val="00B03E0D"/>
    <w:rsid w:val="00B054F8"/>
    <w:rsid w:val="00B065D0"/>
    <w:rsid w:val="00B14A36"/>
    <w:rsid w:val="00B2219A"/>
    <w:rsid w:val="00B3059E"/>
    <w:rsid w:val="00B3581B"/>
    <w:rsid w:val="00B36B81"/>
    <w:rsid w:val="00B36FEE"/>
    <w:rsid w:val="00B37C80"/>
    <w:rsid w:val="00B5092B"/>
    <w:rsid w:val="00B5194E"/>
    <w:rsid w:val="00B51AF5"/>
    <w:rsid w:val="00B520F2"/>
    <w:rsid w:val="00B531FC"/>
    <w:rsid w:val="00B55347"/>
    <w:rsid w:val="00B57E5E"/>
    <w:rsid w:val="00B61F37"/>
    <w:rsid w:val="00B7770F"/>
    <w:rsid w:val="00B77A89"/>
    <w:rsid w:val="00B77B27"/>
    <w:rsid w:val="00B8007E"/>
    <w:rsid w:val="00B8134E"/>
    <w:rsid w:val="00B81B55"/>
    <w:rsid w:val="00B84613"/>
    <w:rsid w:val="00B87AF0"/>
    <w:rsid w:val="00B9037B"/>
    <w:rsid w:val="00B910BD"/>
    <w:rsid w:val="00B93834"/>
    <w:rsid w:val="00B96469"/>
    <w:rsid w:val="00BA0DA2"/>
    <w:rsid w:val="00BA2981"/>
    <w:rsid w:val="00BA42EE"/>
    <w:rsid w:val="00BA48F9"/>
    <w:rsid w:val="00BB0DCA"/>
    <w:rsid w:val="00BB2666"/>
    <w:rsid w:val="00BB6B80"/>
    <w:rsid w:val="00BC3773"/>
    <w:rsid w:val="00BC381A"/>
    <w:rsid w:val="00BD0962"/>
    <w:rsid w:val="00BD1EED"/>
    <w:rsid w:val="00BE63B3"/>
    <w:rsid w:val="00BF0DA2"/>
    <w:rsid w:val="00BF109C"/>
    <w:rsid w:val="00BF12D6"/>
    <w:rsid w:val="00BF1DA2"/>
    <w:rsid w:val="00BF34FA"/>
    <w:rsid w:val="00BF487E"/>
    <w:rsid w:val="00BF6667"/>
    <w:rsid w:val="00C004B6"/>
    <w:rsid w:val="00C047A7"/>
    <w:rsid w:val="00C05DE5"/>
    <w:rsid w:val="00C0712A"/>
    <w:rsid w:val="00C20D03"/>
    <w:rsid w:val="00C24DC8"/>
    <w:rsid w:val="00C316FD"/>
    <w:rsid w:val="00C33027"/>
    <w:rsid w:val="00C37667"/>
    <w:rsid w:val="00C435DB"/>
    <w:rsid w:val="00C44D73"/>
    <w:rsid w:val="00C50B42"/>
    <w:rsid w:val="00C516FF"/>
    <w:rsid w:val="00C52BFA"/>
    <w:rsid w:val="00C53D1D"/>
    <w:rsid w:val="00C53F26"/>
    <w:rsid w:val="00C540BC"/>
    <w:rsid w:val="00C62541"/>
    <w:rsid w:val="00C64F7D"/>
    <w:rsid w:val="00C67309"/>
    <w:rsid w:val="00C70B78"/>
    <w:rsid w:val="00C733B7"/>
    <w:rsid w:val="00C7614E"/>
    <w:rsid w:val="00C77BF1"/>
    <w:rsid w:val="00C80D60"/>
    <w:rsid w:val="00C82FBD"/>
    <w:rsid w:val="00C85267"/>
    <w:rsid w:val="00C8721B"/>
    <w:rsid w:val="00C87593"/>
    <w:rsid w:val="00C9372C"/>
    <w:rsid w:val="00C9470E"/>
    <w:rsid w:val="00C95CEB"/>
    <w:rsid w:val="00CA1054"/>
    <w:rsid w:val="00CA63EB"/>
    <w:rsid w:val="00CA69F1"/>
    <w:rsid w:val="00CA7CF2"/>
    <w:rsid w:val="00CB6991"/>
    <w:rsid w:val="00CC6194"/>
    <w:rsid w:val="00CC6305"/>
    <w:rsid w:val="00CC6D61"/>
    <w:rsid w:val="00CC78A5"/>
    <w:rsid w:val="00CD0516"/>
    <w:rsid w:val="00CD756B"/>
    <w:rsid w:val="00CE002B"/>
    <w:rsid w:val="00CE3FA7"/>
    <w:rsid w:val="00CE734F"/>
    <w:rsid w:val="00CF112E"/>
    <w:rsid w:val="00CF161D"/>
    <w:rsid w:val="00CF5F4F"/>
    <w:rsid w:val="00D07EDD"/>
    <w:rsid w:val="00D20FE8"/>
    <w:rsid w:val="00D218DC"/>
    <w:rsid w:val="00D232C0"/>
    <w:rsid w:val="00D24E56"/>
    <w:rsid w:val="00D31643"/>
    <w:rsid w:val="00D31AEB"/>
    <w:rsid w:val="00D32ECD"/>
    <w:rsid w:val="00D361E4"/>
    <w:rsid w:val="00D42A8F"/>
    <w:rsid w:val="00D439F6"/>
    <w:rsid w:val="00D443C6"/>
    <w:rsid w:val="00D459C6"/>
    <w:rsid w:val="00D50729"/>
    <w:rsid w:val="00D50C19"/>
    <w:rsid w:val="00D5379E"/>
    <w:rsid w:val="00D62643"/>
    <w:rsid w:val="00D64C0F"/>
    <w:rsid w:val="00D65F5B"/>
    <w:rsid w:val="00D668D8"/>
    <w:rsid w:val="00D72EFE"/>
    <w:rsid w:val="00D76227"/>
    <w:rsid w:val="00D77DF1"/>
    <w:rsid w:val="00D86AFF"/>
    <w:rsid w:val="00D93C2B"/>
    <w:rsid w:val="00D95A44"/>
    <w:rsid w:val="00D95D16"/>
    <w:rsid w:val="00D97C76"/>
    <w:rsid w:val="00DA338C"/>
    <w:rsid w:val="00DB02B4"/>
    <w:rsid w:val="00DB07BF"/>
    <w:rsid w:val="00DB538D"/>
    <w:rsid w:val="00DB561A"/>
    <w:rsid w:val="00DC02AD"/>
    <w:rsid w:val="00DC275C"/>
    <w:rsid w:val="00DC4B0D"/>
    <w:rsid w:val="00DC6056"/>
    <w:rsid w:val="00DC7FE1"/>
    <w:rsid w:val="00DD3F3F"/>
    <w:rsid w:val="00DD5572"/>
    <w:rsid w:val="00DE43FF"/>
    <w:rsid w:val="00DE5D80"/>
    <w:rsid w:val="00DF58CD"/>
    <w:rsid w:val="00DF65DE"/>
    <w:rsid w:val="00E019A5"/>
    <w:rsid w:val="00E02EC8"/>
    <w:rsid w:val="00E037F5"/>
    <w:rsid w:val="00E04ECB"/>
    <w:rsid w:val="00E055B8"/>
    <w:rsid w:val="00E05A09"/>
    <w:rsid w:val="00E06CA1"/>
    <w:rsid w:val="00E16294"/>
    <w:rsid w:val="00E172B8"/>
    <w:rsid w:val="00E17FB4"/>
    <w:rsid w:val="00E20B75"/>
    <w:rsid w:val="00E214F2"/>
    <w:rsid w:val="00E2371E"/>
    <w:rsid w:val="00E24BD7"/>
    <w:rsid w:val="00E26523"/>
    <w:rsid w:val="00E26809"/>
    <w:rsid w:val="00E3412D"/>
    <w:rsid w:val="00E40B72"/>
    <w:rsid w:val="00E41487"/>
    <w:rsid w:val="00E46F87"/>
    <w:rsid w:val="00E57322"/>
    <w:rsid w:val="00E628CB"/>
    <w:rsid w:val="00E62AD9"/>
    <w:rsid w:val="00E638C8"/>
    <w:rsid w:val="00E6710E"/>
    <w:rsid w:val="00E7509B"/>
    <w:rsid w:val="00E761A3"/>
    <w:rsid w:val="00E86590"/>
    <w:rsid w:val="00E907FF"/>
    <w:rsid w:val="00E92EDD"/>
    <w:rsid w:val="00E935FA"/>
    <w:rsid w:val="00EA42D1"/>
    <w:rsid w:val="00EA42EF"/>
    <w:rsid w:val="00EB2DD1"/>
    <w:rsid w:val="00EB6B37"/>
    <w:rsid w:val="00EC29FE"/>
    <w:rsid w:val="00EC3C70"/>
    <w:rsid w:val="00ED063A"/>
    <w:rsid w:val="00ED092F"/>
    <w:rsid w:val="00ED3A3D"/>
    <w:rsid w:val="00ED538A"/>
    <w:rsid w:val="00ED6FBC"/>
    <w:rsid w:val="00EE2F16"/>
    <w:rsid w:val="00EE3861"/>
    <w:rsid w:val="00EF2E73"/>
    <w:rsid w:val="00EF7683"/>
    <w:rsid w:val="00EF7A2D"/>
    <w:rsid w:val="00F04F8D"/>
    <w:rsid w:val="00F10AD0"/>
    <w:rsid w:val="00F116CC"/>
    <w:rsid w:val="00F12BD1"/>
    <w:rsid w:val="00F14EC4"/>
    <w:rsid w:val="00F15327"/>
    <w:rsid w:val="00F168CF"/>
    <w:rsid w:val="00F2555C"/>
    <w:rsid w:val="00F31DF3"/>
    <w:rsid w:val="00F33AE5"/>
    <w:rsid w:val="00F3597D"/>
    <w:rsid w:val="00F4376D"/>
    <w:rsid w:val="00F45399"/>
    <w:rsid w:val="00F465EA"/>
    <w:rsid w:val="00F54E7B"/>
    <w:rsid w:val="00F55A88"/>
    <w:rsid w:val="00F632FB"/>
    <w:rsid w:val="00F645FD"/>
    <w:rsid w:val="00F658D1"/>
    <w:rsid w:val="00F74005"/>
    <w:rsid w:val="00F76884"/>
    <w:rsid w:val="00F83D24"/>
    <w:rsid w:val="00F83DD9"/>
    <w:rsid w:val="00F83F40"/>
    <w:rsid w:val="00F97537"/>
    <w:rsid w:val="00FA117A"/>
    <w:rsid w:val="00FB386A"/>
    <w:rsid w:val="00FC0786"/>
    <w:rsid w:val="00FC49EF"/>
    <w:rsid w:val="00FC5D82"/>
    <w:rsid w:val="00FC687F"/>
    <w:rsid w:val="00FE36E2"/>
    <w:rsid w:val="00FF11AD"/>
    <w:rsid w:val="00FF2971"/>
    <w:rsid w:val="00FF34D4"/>
    <w:rsid w:val="153C514D"/>
    <w:rsid w:val="1B94BD89"/>
    <w:rsid w:val="20B9A7C6"/>
    <w:rsid w:val="2CC6BC3C"/>
    <w:rsid w:val="3300754F"/>
    <w:rsid w:val="6267A2B1"/>
    <w:rsid w:val="7B298B3A"/>
    <w:rsid w:val="7E7C8941"/>
    <w:rsid w:val="7EBC0D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3844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030B9"/>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A17CB2"/>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paragraph" w:styleId="Poprawka">
    <w:name w:val="Revision"/>
    <w:hidden/>
    <w:uiPriority w:val="99"/>
    <w:semiHidden/>
    <w:rsid w:val="00DA338C"/>
    <w:rPr>
      <w:sz w:val="22"/>
      <w:szCs w:val="22"/>
      <w:lang w:eastAsia="en-US"/>
    </w:rPr>
  </w:style>
  <w:style w:type="paragraph" w:styleId="Bezodstpw">
    <w:name w:val="No Spacing"/>
    <w:uiPriority w:val="1"/>
    <w:qFormat/>
    <w:rsid w:val="00AE6E2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346062286">
      <w:bodyDiv w:val="1"/>
      <w:marLeft w:val="0"/>
      <w:marRight w:val="0"/>
      <w:marTop w:val="0"/>
      <w:marBottom w:val="0"/>
      <w:divBdr>
        <w:top w:val="none" w:sz="0" w:space="0" w:color="auto"/>
        <w:left w:val="none" w:sz="0" w:space="0" w:color="auto"/>
        <w:bottom w:val="none" w:sz="0" w:space="0" w:color="auto"/>
        <w:right w:val="none" w:sz="0" w:space="0" w:color="auto"/>
      </w:divBdr>
    </w:div>
    <w:div w:id="465512050">
      <w:bodyDiv w:val="1"/>
      <w:marLeft w:val="0"/>
      <w:marRight w:val="0"/>
      <w:marTop w:val="0"/>
      <w:marBottom w:val="0"/>
      <w:divBdr>
        <w:top w:val="none" w:sz="0" w:space="0" w:color="auto"/>
        <w:left w:val="none" w:sz="0" w:space="0" w:color="auto"/>
        <w:bottom w:val="none" w:sz="0" w:space="0" w:color="auto"/>
        <w:right w:val="none" w:sz="0" w:space="0" w:color="auto"/>
      </w:divBdr>
    </w:div>
    <w:div w:id="511652527">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948657346">
      <w:bodyDiv w:val="1"/>
      <w:marLeft w:val="0"/>
      <w:marRight w:val="0"/>
      <w:marTop w:val="0"/>
      <w:marBottom w:val="0"/>
      <w:divBdr>
        <w:top w:val="none" w:sz="0" w:space="0" w:color="auto"/>
        <w:left w:val="none" w:sz="0" w:space="0" w:color="auto"/>
        <w:bottom w:val="none" w:sz="0" w:space="0" w:color="auto"/>
        <w:right w:val="none" w:sz="0" w:space="0" w:color="auto"/>
      </w:divBdr>
    </w:div>
    <w:div w:id="977539935">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10384251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483963481">
      <w:bodyDiv w:val="1"/>
      <w:marLeft w:val="0"/>
      <w:marRight w:val="0"/>
      <w:marTop w:val="0"/>
      <w:marBottom w:val="0"/>
      <w:divBdr>
        <w:top w:val="none" w:sz="0" w:space="0" w:color="auto"/>
        <w:left w:val="none" w:sz="0" w:space="0" w:color="auto"/>
        <w:bottom w:val="none" w:sz="0" w:space="0" w:color="auto"/>
        <w:right w:val="none" w:sz="0" w:space="0" w:color="auto"/>
      </w:divBdr>
      <w:divsChild>
        <w:div w:id="1498618152">
          <w:marLeft w:val="0"/>
          <w:marRight w:val="0"/>
          <w:marTop w:val="0"/>
          <w:marBottom w:val="0"/>
          <w:divBdr>
            <w:top w:val="none" w:sz="0" w:space="0" w:color="auto"/>
            <w:left w:val="none" w:sz="0" w:space="0" w:color="auto"/>
            <w:bottom w:val="none" w:sz="0" w:space="0" w:color="auto"/>
            <w:right w:val="none" w:sz="0" w:space="0" w:color="auto"/>
          </w:divBdr>
          <w:divsChild>
            <w:div w:id="398527679">
              <w:marLeft w:val="0"/>
              <w:marRight w:val="0"/>
              <w:marTop w:val="0"/>
              <w:marBottom w:val="0"/>
              <w:divBdr>
                <w:top w:val="none" w:sz="0" w:space="0" w:color="auto"/>
                <w:left w:val="none" w:sz="0" w:space="0" w:color="auto"/>
                <w:bottom w:val="none" w:sz="0" w:space="0" w:color="auto"/>
                <w:right w:val="none" w:sz="0" w:space="0" w:color="auto"/>
              </w:divBdr>
            </w:div>
            <w:div w:id="609974393">
              <w:marLeft w:val="0"/>
              <w:marRight w:val="0"/>
              <w:marTop w:val="0"/>
              <w:marBottom w:val="0"/>
              <w:divBdr>
                <w:top w:val="none" w:sz="0" w:space="0" w:color="auto"/>
                <w:left w:val="none" w:sz="0" w:space="0" w:color="auto"/>
                <w:bottom w:val="none" w:sz="0" w:space="0" w:color="auto"/>
                <w:right w:val="none" w:sz="0" w:space="0" w:color="auto"/>
              </w:divBdr>
            </w:div>
            <w:div w:id="540938143">
              <w:marLeft w:val="0"/>
              <w:marRight w:val="0"/>
              <w:marTop w:val="0"/>
              <w:marBottom w:val="0"/>
              <w:divBdr>
                <w:top w:val="none" w:sz="0" w:space="0" w:color="auto"/>
                <w:left w:val="none" w:sz="0" w:space="0" w:color="auto"/>
                <w:bottom w:val="none" w:sz="0" w:space="0" w:color="auto"/>
                <w:right w:val="none" w:sz="0" w:space="0" w:color="auto"/>
              </w:divBdr>
            </w:div>
          </w:divsChild>
        </w:div>
        <w:div w:id="2118400530">
          <w:marLeft w:val="0"/>
          <w:marRight w:val="0"/>
          <w:marTop w:val="0"/>
          <w:marBottom w:val="0"/>
          <w:divBdr>
            <w:top w:val="none" w:sz="0" w:space="0" w:color="auto"/>
            <w:left w:val="none" w:sz="0" w:space="0" w:color="auto"/>
            <w:bottom w:val="none" w:sz="0" w:space="0" w:color="auto"/>
            <w:right w:val="none" w:sz="0" w:space="0" w:color="auto"/>
          </w:divBdr>
          <w:divsChild>
            <w:div w:id="1889879513">
              <w:marLeft w:val="0"/>
              <w:marRight w:val="0"/>
              <w:marTop w:val="0"/>
              <w:marBottom w:val="0"/>
              <w:divBdr>
                <w:top w:val="none" w:sz="0" w:space="0" w:color="auto"/>
                <w:left w:val="none" w:sz="0" w:space="0" w:color="auto"/>
                <w:bottom w:val="none" w:sz="0" w:space="0" w:color="auto"/>
                <w:right w:val="none" w:sz="0" w:space="0" w:color="auto"/>
              </w:divBdr>
            </w:div>
            <w:div w:id="328750753">
              <w:marLeft w:val="0"/>
              <w:marRight w:val="0"/>
              <w:marTop w:val="0"/>
              <w:marBottom w:val="0"/>
              <w:divBdr>
                <w:top w:val="none" w:sz="0" w:space="0" w:color="auto"/>
                <w:left w:val="none" w:sz="0" w:space="0" w:color="auto"/>
                <w:bottom w:val="none" w:sz="0" w:space="0" w:color="auto"/>
                <w:right w:val="none" w:sz="0" w:space="0" w:color="auto"/>
              </w:divBdr>
            </w:div>
            <w:div w:id="1201673400">
              <w:marLeft w:val="0"/>
              <w:marRight w:val="0"/>
              <w:marTop w:val="0"/>
              <w:marBottom w:val="0"/>
              <w:divBdr>
                <w:top w:val="none" w:sz="0" w:space="0" w:color="auto"/>
                <w:left w:val="none" w:sz="0" w:space="0" w:color="auto"/>
                <w:bottom w:val="none" w:sz="0" w:space="0" w:color="auto"/>
                <w:right w:val="none" w:sz="0" w:space="0" w:color="auto"/>
              </w:divBdr>
            </w:div>
            <w:div w:id="66080459">
              <w:marLeft w:val="0"/>
              <w:marRight w:val="0"/>
              <w:marTop w:val="0"/>
              <w:marBottom w:val="0"/>
              <w:divBdr>
                <w:top w:val="none" w:sz="0" w:space="0" w:color="auto"/>
                <w:left w:val="none" w:sz="0" w:space="0" w:color="auto"/>
                <w:bottom w:val="none" w:sz="0" w:space="0" w:color="auto"/>
                <w:right w:val="none" w:sz="0" w:space="0" w:color="auto"/>
              </w:divBdr>
            </w:div>
            <w:div w:id="98778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 w:id="1994065502">
      <w:bodyDiv w:val="1"/>
      <w:marLeft w:val="0"/>
      <w:marRight w:val="0"/>
      <w:marTop w:val="0"/>
      <w:marBottom w:val="0"/>
      <w:divBdr>
        <w:top w:val="none" w:sz="0" w:space="0" w:color="auto"/>
        <w:left w:val="none" w:sz="0" w:space="0" w:color="auto"/>
        <w:bottom w:val="none" w:sz="0" w:space="0" w:color="auto"/>
        <w:right w:val="none" w:sz="0" w:space="0" w:color="auto"/>
      </w:divBdr>
    </w:div>
    <w:div w:id="2127580645">
      <w:bodyDiv w:val="1"/>
      <w:marLeft w:val="0"/>
      <w:marRight w:val="0"/>
      <w:marTop w:val="0"/>
      <w:marBottom w:val="0"/>
      <w:divBdr>
        <w:top w:val="none" w:sz="0" w:space="0" w:color="auto"/>
        <w:left w:val="none" w:sz="0" w:space="0" w:color="auto"/>
        <w:bottom w:val="none" w:sz="0" w:space="0" w:color="auto"/>
        <w:right w:val="none" w:sz="0" w:space="0" w:color="auto"/>
      </w:divBdr>
      <w:divsChild>
        <w:div w:id="1993212116">
          <w:marLeft w:val="0"/>
          <w:marRight w:val="0"/>
          <w:marTop w:val="0"/>
          <w:marBottom w:val="0"/>
          <w:divBdr>
            <w:top w:val="none" w:sz="0" w:space="0" w:color="auto"/>
            <w:left w:val="none" w:sz="0" w:space="0" w:color="auto"/>
            <w:bottom w:val="none" w:sz="0" w:space="0" w:color="auto"/>
            <w:right w:val="none" w:sz="0" w:space="0" w:color="auto"/>
          </w:divBdr>
        </w:div>
        <w:div w:id="1190753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e.grabowska@gunb.gov.p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ad455f4-1511-4a0e-94c0-7ed29ab8ad0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EB9A957C0E344E9659BEE67C1882CB" ma:contentTypeVersion="10" ma:contentTypeDescription="Create a new document." ma:contentTypeScope="" ma:versionID="97a0a6bd9277f489f18e4b9f5053d585">
  <xsd:schema xmlns:xsd="http://www.w3.org/2001/XMLSchema" xmlns:xs="http://www.w3.org/2001/XMLSchema" xmlns:p="http://schemas.microsoft.com/office/2006/metadata/properties" xmlns:ns3="9ad455f4-1511-4a0e-94c0-7ed29ab8ad06" xmlns:ns4="6da72034-92df-4bf8-94a6-e01101782741" targetNamespace="http://schemas.microsoft.com/office/2006/metadata/properties" ma:root="true" ma:fieldsID="1820a95b72ada8a23f5ac1fdd4f57d21" ns3:_="" ns4:_="">
    <xsd:import namespace="9ad455f4-1511-4a0e-94c0-7ed29ab8ad06"/>
    <xsd:import namespace="6da72034-92df-4bf8-94a6-e01101782741"/>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d455f4-1511-4a0e-94c0-7ed29ab8ad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da72034-92df-4bf8-94a6-e01101782741"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399E4C-32EE-4AFD-ACB3-4D64DEC5DC2B}">
  <ds:schemaRefs>
    <ds:schemaRef ds:uri="http://schemas.microsoft.com/office/2006/metadata/properties"/>
    <ds:schemaRef ds:uri="http://schemas.microsoft.com/office/infopath/2007/PartnerControls"/>
    <ds:schemaRef ds:uri="9ad455f4-1511-4a0e-94c0-7ed29ab8ad06"/>
  </ds:schemaRefs>
</ds:datastoreItem>
</file>

<file path=customXml/itemProps2.xml><?xml version="1.0" encoding="utf-8"?>
<ds:datastoreItem xmlns:ds="http://schemas.openxmlformats.org/officeDocument/2006/customXml" ds:itemID="{F11DAE4E-5744-4500-9F34-A821250DE621}">
  <ds:schemaRefs>
    <ds:schemaRef ds:uri="http://schemas.microsoft.com/sharepoint/v3/contenttype/forms"/>
  </ds:schemaRefs>
</ds:datastoreItem>
</file>

<file path=customXml/itemProps3.xml><?xml version="1.0" encoding="utf-8"?>
<ds:datastoreItem xmlns:ds="http://schemas.openxmlformats.org/officeDocument/2006/customXml" ds:itemID="{9BA57ED7-C0BD-4F8D-A8A9-F798B89FA7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d455f4-1511-4a0e-94c0-7ed29ab8ad06"/>
    <ds:schemaRef ds:uri="6da72034-92df-4bf8-94a6-e011017827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4198</Words>
  <Characters>25188</Characters>
  <Application>Microsoft Office Word</Application>
  <DocSecurity>0</DocSecurity>
  <Lines>209</Lines>
  <Paragraphs>58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29328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2023-07-04T12:25:00Z</dcterms:created>
  <dcterms:modified xsi:type="dcterms:W3CDTF">2023-07-04T12:25:00Z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0x010100AAEB9A957C0E344E9659BEE67C1882CB</vt:lpwstr>
  </property>
</Properties>
</file>