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7FB" w14:textId="20A49477" w:rsidR="004E16C6" w:rsidRPr="004E16C6" w:rsidRDefault="004E16C6" w:rsidP="004E16C6">
      <w:pPr>
        <w:tabs>
          <w:tab w:val="left" w:pos="6135"/>
        </w:tabs>
        <w:spacing w:line="240" w:lineRule="auto"/>
        <w:ind w:left="1134" w:righ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5 Disciplinary proceedings against Police officers</w:t>
      </w:r>
    </w:p>
    <w:p w14:paraId="595D537C" w14:textId="02787C18" w:rsidR="004E16C6" w:rsidRPr="004E16C6" w:rsidRDefault="004E16C6" w:rsidP="004E16C6">
      <w:pPr>
        <w:tabs>
          <w:tab w:val="left" w:pos="6135"/>
        </w:tabs>
        <w:spacing w:line="24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on disciplinary sanctions in cases concerning torture, </w:t>
      </w:r>
      <w:proofErr w:type="gramStart"/>
      <w:r>
        <w:rPr>
          <w:sz w:val="24"/>
          <w:szCs w:val="24"/>
        </w:rPr>
        <w:t>ill-treatment</w:t>
      </w:r>
      <w:proofErr w:type="gramEnd"/>
      <w:r>
        <w:rPr>
          <w:sz w:val="24"/>
          <w:szCs w:val="24"/>
        </w:rPr>
        <w:t xml:space="preserve"> or excessive use of force by Police officers are included in data itemised in Police statistical figures under “disciplinary offences related to human rights violations” and under “disciplinary offences </w:t>
      </w:r>
      <w:r w:rsidR="004870C2">
        <w:rPr>
          <w:sz w:val="24"/>
          <w:szCs w:val="24"/>
        </w:rPr>
        <w:t>related to</w:t>
      </w:r>
      <w:r>
        <w:rPr>
          <w:sz w:val="24"/>
          <w:szCs w:val="24"/>
        </w:rPr>
        <w:t xml:space="preserve"> the use of firearms or physical coercion.” Considering that a disciplinary offence involving a human rights violation may arise from the use of physical coercion in an inappropriate </w:t>
      </w:r>
      <w:r w:rsidR="004870C2">
        <w:rPr>
          <w:sz w:val="24"/>
          <w:szCs w:val="24"/>
        </w:rPr>
        <w:t>manner</w:t>
      </w:r>
      <w:r>
        <w:rPr>
          <w:sz w:val="24"/>
          <w:szCs w:val="24"/>
        </w:rPr>
        <w:t>, and as a result</w:t>
      </w:r>
      <w:r w:rsidR="004870C2">
        <w:rPr>
          <w:sz w:val="24"/>
          <w:szCs w:val="24"/>
        </w:rPr>
        <w:t>,</w:t>
      </w:r>
      <w:r>
        <w:rPr>
          <w:sz w:val="24"/>
          <w:szCs w:val="24"/>
        </w:rPr>
        <w:t xml:space="preserve"> the same offence may fall under </w:t>
      </w:r>
      <w:proofErr w:type="gramStart"/>
      <w:r>
        <w:rPr>
          <w:sz w:val="24"/>
          <w:szCs w:val="24"/>
        </w:rPr>
        <w:t>both of these</w:t>
      </w:r>
      <w:proofErr w:type="gramEnd"/>
      <w:r>
        <w:rPr>
          <w:sz w:val="24"/>
          <w:szCs w:val="24"/>
        </w:rPr>
        <w:t xml:space="preserve"> categories of disciplinary offences, it needs to be noted that the said statistical figures do not sum up. These figures for 2019-2022 (for 2023, the first figures will </w:t>
      </w:r>
      <w:r w:rsidR="004870C2">
        <w:rPr>
          <w:sz w:val="24"/>
          <w:szCs w:val="24"/>
        </w:rPr>
        <w:t>be available</w:t>
      </w:r>
      <w:r>
        <w:rPr>
          <w:sz w:val="24"/>
          <w:szCs w:val="24"/>
        </w:rPr>
        <w:t xml:space="preserve"> after H1) are as follows:</w:t>
      </w:r>
    </w:p>
    <w:p w14:paraId="6C58AAF0" w14:textId="77777777" w:rsidR="004E16C6" w:rsidRPr="004E16C6" w:rsidRDefault="004E16C6" w:rsidP="004E16C6">
      <w:pPr>
        <w:tabs>
          <w:tab w:val="left" w:pos="6135"/>
        </w:tabs>
        <w:spacing w:line="240" w:lineRule="auto"/>
        <w:jc w:val="both"/>
        <w:rPr>
          <w:sz w:val="24"/>
          <w:szCs w:val="24"/>
          <w:lang w:eastAsia="pl-PL"/>
        </w:rPr>
      </w:pPr>
    </w:p>
    <w:tbl>
      <w:tblPr>
        <w:tblpPr w:leftFromText="141" w:rightFromText="141" w:vertAnchor="text" w:tblpX="-856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1128"/>
        <w:gridCol w:w="851"/>
        <w:gridCol w:w="958"/>
        <w:gridCol w:w="1168"/>
        <w:gridCol w:w="1134"/>
        <w:gridCol w:w="850"/>
        <w:gridCol w:w="1134"/>
        <w:gridCol w:w="1140"/>
      </w:tblGrid>
      <w:tr w:rsidR="004E16C6" w:rsidRPr="004E16C6" w14:paraId="63A7D299" w14:textId="77777777" w:rsidTr="00254FE0">
        <w:tc>
          <w:tcPr>
            <w:tcW w:w="1271" w:type="dxa"/>
            <w:vMerge w:val="restart"/>
            <w:shd w:val="clear" w:color="auto" w:fill="auto"/>
            <w:vAlign w:val="center"/>
          </w:tcPr>
          <w:p w14:paraId="20A2B2CC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B20E75" w14:textId="06D06760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disciplinary proceedings</w:t>
            </w:r>
            <w:r w:rsidR="004870C2">
              <w:rPr>
                <w:sz w:val="24"/>
                <w:szCs w:val="24"/>
              </w:rPr>
              <w:t xml:space="preserve"> ended </w:t>
            </w:r>
            <w:r>
              <w:rPr>
                <w:sz w:val="24"/>
                <w:szCs w:val="24"/>
              </w:rPr>
              <w:t xml:space="preserve">by </w:t>
            </w:r>
            <w:r w:rsidR="004870C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virtue of a final and non-appealable ruling, for disciplinary offences related to:</w:t>
            </w:r>
          </w:p>
        </w:tc>
        <w:tc>
          <w:tcPr>
            <w:tcW w:w="7235" w:type="dxa"/>
            <w:gridSpan w:val="7"/>
            <w:shd w:val="clear" w:color="auto" w:fill="auto"/>
            <w:vAlign w:val="center"/>
          </w:tcPr>
          <w:p w14:paraId="75E169E1" w14:textId="2B42C571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Disciplinary penalties adjudicated for </w:t>
            </w:r>
            <w:r w:rsidR="004870C2">
              <w:rPr>
                <w:sz w:val="24"/>
                <w:szCs w:val="24"/>
              </w:rPr>
              <w:t>disciplinary</w:t>
            </w:r>
            <w:r>
              <w:rPr>
                <w:sz w:val="24"/>
                <w:szCs w:val="24"/>
              </w:rPr>
              <w:t xml:space="preserve"> offences related to human rights violation</w:t>
            </w:r>
            <w:r w:rsidR="004870C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or </w:t>
            </w:r>
            <w:r w:rsidR="004870C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use of firearms or physical coercion</w:t>
            </w:r>
          </w:p>
        </w:tc>
      </w:tr>
      <w:tr w:rsidR="00254FE0" w:rsidRPr="004E16C6" w14:paraId="7934603E" w14:textId="77777777" w:rsidTr="004870C2">
        <w:trPr>
          <w:cantSplit/>
        </w:trPr>
        <w:tc>
          <w:tcPr>
            <w:tcW w:w="1271" w:type="dxa"/>
            <w:vMerge/>
            <w:shd w:val="clear" w:color="auto" w:fill="auto"/>
            <w:vAlign w:val="center"/>
          </w:tcPr>
          <w:p w14:paraId="38472D2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D9BBE0F" w14:textId="702E3E49" w:rsidR="004E16C6" w:rsidRPr="00AC0210" w:rsidRDefault="00254FE0" w:rsidP="004870C2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rights violation</w:t>
            </w:r>
            <w:r w:rsidR="004870C2">
              <w:rPr>
                <w:sz w:val="16"/>
                <w:szCs w:val="16"/>
              </w:rPr>
              <w:t>s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7CDDBC" w14:textId="6FEAB01E" w:rsidR="004E16C6" w:rsidRPr="004E16C6" w:rsidRDefault="004870C2" w:rsidP="004870C2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Use of firearms or physical coercion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3428C" w14:textId="1E20D756" w:rsidR="004E16C6" w:rsidRPr="00AC0210" w:rsidRDefault="00254FE0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warning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F2CD91E" w14:textId="343A7C77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reprimand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69208B9" w14:textId="18A8E942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notice </w:t>
            </w:r>
          </w:p>
          <w:p w14:paraId="6B657D37" w14:textId="16576995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inadequacy </w:t>
            </w:r>
          </w:p>
          <w:p w14:paraId="2F81A948" w14:textId="327A2C88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service at the position held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0434" w14:textId="462357FE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reduction </w:t>
            </w:r>
          </w:p>
          <w:p w14:paraId="11D5F897" w14:textId="54F38EA1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 position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E6716" w14:textId="77777777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reduction in rank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5939B" w14:textId="0D2E02C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notice </w:t>
            </w:r>
          </w:p>
          <w:p w14:paraId="11EC6845" w14:textId="392C56D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inadequacy </w:t>
            </w:r>
          </w:p>
          <w:p w14:paraId="3568D311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for service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760F44" w14:textId="1552A1B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discharge</w:t>
            </w:r>
          </w:p>
        </w:tc>
      </w:tr>
      <w:tr w:rsidR="00254FE0" w:rsidRPr="004E16C6" w14:paraId="1443F9B7" w14:textId="77777777" w:rsidTr="004870C2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695D21B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E402D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4DA7E8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F32CC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DBC6279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F1A95CD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1932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7AD3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CF398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09D52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4FE0" w:rsidRPr="004E16C6" w14:paraId="51CE5397" w14:textId="77777777" w:rsidTr="004870C2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0ECF973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E8967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E0AB6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BD50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DC81BC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DE579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4165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9446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1B33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F59E8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4FE0" w:rsidRPr="004E16C6" w14:paraId="1F210488" w14:textId="77777777" w:rsidTr="004870C2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73699F7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16BF3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B282E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50DF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206B1F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5E58799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FEDFF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A1B5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6B77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18026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4FE0" w:rsidRPr="004E16C6" w14:paraId="6BE39B98" w14:textId="77777777" w:rsidTr="004870C2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50B7AA7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12DDD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BD52F5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5D2D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4F6E28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E5CBC6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42B6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12D8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CBFE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0BDB2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5D4FF0C" w14:textId="77777777" w:rsidR="004E16C6" w:rsidRPr="004E16C6" w:rsidRDefault="004E16C6" w:rsidP="004E16C6">
      <w:pPr>
        <w:tabs>
          <w:tab w:val="left" w:pos="6135"/>
        </w:tabs>
        <w:spacing w:line="240" w:lineRule="auto"/>
        <w:jc w:val="both"/>
        <w:rPr>
          <w:sz w:val="24"/>
          <w:szCs w:val="24"/>
          <w:lang w:eastAsia="pl-PL"/>
        </w:rPr>
      </w:pPr>
    </w:p>
    <w:p w14:paraId="44891A54" w14:textId="694F2FD8" w:rsidR="00E93BBC" w:rsidRPr="004E16C6" w:rsidRDefault="004E16C6" w:rsidP="00D70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Here, it must be noted that in some cases indicated in the table, disciplinary proceedings </w:t>
      </w:r>
      <w:r w:rsidR="004870C2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ended by </w:t>
      </w:r>
      <w:r w:rsidR="004870C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virtue of a final and non-appealable discontinuation </w:t>
      </w:r>
      <w:proofErr w:type="gramStart"/>
      <w:r>
        <w:rPr>
          <w:sz w:val="24"/>
          <w:szCs w:val="24"/>
        </w:rPr>
        <w:t>due to the fact that</w:t>
      </w:r>
      <w:proofErr w:type="gramEnd"/>
      <w:r>
        <w:rPr>
          <w:sz w:val="24"/>
          <w:szCs w:val="24"/>
        </w:rPr>
        <w:t xml:space="preserve"> the Police officers were discharged from their service. In these cases, the continuation of the proceedings would be unsubstantiated. </w:t>
      </w:r>
      <w:r w:rsidR="004870C2">
        <w:rPr>
          <w:sz w:val="24"/>
          <w:szCs w:val="24"/>
        </w:rPr>
        <w:t>Thus i</w:t>
      </w:r>
      <w:r>
        <w:rPr>
          <w:sz w:val="24"/>
          <w:szCs w:val="24"/>
        </w:rPr>
        <w:t xml:space="preserve">n 2019, there were eight cases of such discontinuations in disciplinary proceedings related to human rights violations and three in disciplinary proceedings </w:t>
      </w:r>
      <w:r w:rsidR="004870C2">
        <w:rPr>
          <w:sz w:val="24"/>
          <w:szCs w:val="24"/>
        </w:rPr>
        <w:t xml:space="preserve">related to </w:t>
      </w:r>
      <w:r>
        <w:rPr>
          <w:sz w:val="24"/>
          <w:szCs w:val="24"/>
        </w:rPr>
        <w:t xml:space="preserve">the use of firearms or physical coercion. In 2020-2022, as for these two categories, there were nine and eleven cases, five and five cases, </w:t>
      </w:r>
      <w:r w:rsidR="004870C2">
        <w:rPr>
          <w:sz w:val="24"/>
          <w:szCs w:val="24"/>
        </w:rPr>
        <w:t xml:space="preserve">and </w:t>
      </w:r>
      <w:r>
        <w:rPr>
          <w:sz w:val="24"/>
          <w:szCs w:val="24"/>
        </w:rPr>
        <w:t>finally two and zero cases, respectively.</w:t>
      </w:r>
    </w:p>
    <w:sectPr w:rsidR="00E93BBC" w:rsidRPr="004E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5A21" w14:textId="77777777" w:rsidR="00082AD5" w:rsidRDefault="00082AD5" w:rsidP="00144E07">
      <w:pPr>
        <w:spacing w:line="240" w:lineRule="auto"/>
      </w:pPr>
      <w:r>
        <w:separator/>
      </w:r>
    </w:p>
  </w:endnote>
  <w:endnote w:type="continuationSeparator" w:id="0">
    <w:p w14:paraId="1A3DD51A" w14:textId="77777777" w:rsidR="00082AD5" w:rsidRDefault="00082AD5" w:rsidP="0014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DC96" w14:textId="77777777" w:rsidR="00082AD5" w:rsidRDefault="00082AD5" w:rsidP="00144E07">
      <w:pPr>
        <w:spacing w:line="240" w:lineRule="auto"/>
      </w:pPr>
      <w:r>
        <w:separator/>
      </w:r>
    </w:p>
  </w:footnote>
  <w:footnote w:type="continuationSeparator" w:id="0">
    <w:p w14:paraId="4E135FBC" w14:textId="77777777" w:rsidR="00082AD5" w:rsidRDefault="00082AD5" w:rsidP="0014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E16C6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2AD5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5669"/>
    <w:rsid w:val="00137FDA"/>
    <w:rsid w:val="00143F82"/>
    <w:rsid w:val="00144E07"/>
    <w:rsid w:val="00150046"/>
    <w:rsid w:val="0015354B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4FE0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B6C71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870C2"/>
    <w:rsid w:val="00491271"/>
    <w:rsid w:val="00495CC8"/>
    <w:rsid w:val="004A281D"/>
    <w:rsid w:val="004B3728"/>
    <w:rsid w:val="004C6A38"/>
    <w:rsid w:val="004D1D2D"/>
    <w:rsid w:val="004E16C6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0A34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6F7992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778F7"/>
    <w:rsid w:val="00987425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0210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33837"/>
    <w:rsid w:val="00D4053A"/>
    <w:rsid w:val="00D44AE2"/>
    <w:rsid w:val="00D45663"/>
    <w:rsid w:val="00D52B49"/>
    <w:rsid w:val="00D708E8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9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6C6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E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E07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E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E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2023-07-11T08:42:00Z</dcterms:created>
  <dcterms:modified xsi:type="dcterms:W3CDTF">2023-08-07T09:26:00Z</dcterms:modified>
</cp:coreProperties>
</file>