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945" w:rsidRDefault="00964B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740945" w:rsidRDefault="0074094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740945" w:rsidRDefault="003D0D44">
      <w:pPr>
        <w:pStyle w:val="Nagwek1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740945" w:rsidRDefault="003D0D44">
      <w:pPr>
        <w:pStyle w:val="Nagwek1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0575C">
        <w:rPr>
          <w:rFonts w:ascii="Arial" w:hAnsi="Arial" w:cs="Arial"/>
          <w:b/>
          <w:color w:val="auto"/>
          <w:sz w:val="24"/>
          <w:szCs w:val="24"/>
        </w:rPr>
        <w:t>IV</w:t>
      </w:r>
      <w:bookmarkStart w:id="0" w:name="_GoBack"/>
      <w:bookmarkEnd w:id="0"/>
      <w:r w:rsidR="001F47B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>
        <w:rPr>
          <w:rFonts w:ascii="Arial" w:hAnsi="Arial" w:cs="Arial"/>
          <w:b/>
          <w:color w:val="auto"/>
          <w:sz w:val="24"/>
          <w:szCs w:val="24"/>
        </w:rPr>
        <w:t>kwartał 202</w:t>
      </w:r>
      <w:r w:rsidR="00662030">
        <w:rPr>
          <w:rFonts w:ascii="Arial" w:hAnsi="Arial" w:cs="Arial"/>
          <w:b/>
          <w:color w:val="auto"/>
          <w:sz w:val="24"/>
          <w:szCs w:val="24"/>
        </w:rPr>
        <w:t>2</w:t>
      </w:r>
      <w:r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:rsidR="00740945" w:rsidRDefault="003D0D44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756"/>
        <w:gridCol w:w="6534"/>
      </w:tblGrid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Cyfrowe udostępnienie zasobów Muzeum Sztuki w Łodzi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Kultury</w:t>
            </w:r>
            <w:r w:rsidR="005B0B32">
              <w:rPr>
                <w:rFonts w:ascii="Arial" w:hAnsi="Arial" w:cs="Arial"/>
                <w:sz w:val="18"/>
                <w:szCs w:val="18"/>
              </w:rPr>
              <w:t xml:space="preserve"> i </w:t>
            </w:r>
            <w:r>
              <w:rPr>
                <w:rFonts w:ascii="Arial" w:hAnsi="Arial" w:cs="Arial"/>
                <w:sz w:val="18"/>
                <w:szCs w:val="18"/>
              </w:rPr>
              <w:t>Dziedzictwa Narodowego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Muzeum Sztuki w Łodzi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74094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Oś priorytetowa II E-administracja i otwarty urząd, 2.3 Cyfrowa dostępność i użyteczność informacji sektora publicznego, 2.3.2 Cyfrowe udostępnienie zasobów kultury</w:t>
            </w:r>
          </w:p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w ramach wydatków cz.24 i cz.83 rezerwy celowej poz. 8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4 994 130,11 zł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4 432 737,49 zł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01.08.2020 – 31.07.2023 r.</w:t>
            </w: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40945" w:rsidRDefault="003D0D44">
      <w:pPr>
        <w:pStyle w:val="Nagwek31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auto"/>
          <w:sz w:val="18"/>
          <w:szCs w:val="18"/>
        </w:rPr>
        <w:t>Nie dotyczy</w:t>
      </w:r>
      <w:r>
        <w:rPr>
          <w:rFonts w:ascii="Arial" w:eastAsiaTheme="minorHAnsi" w:hAnsi="Arial" w:cs="Arial"/>
          <w:color w:val="auto"/>
          <w:sz w:val="18"/>
          <w:szCs w:val="18"/>
        </w:rPr>
        <w:t>.</w:t>
      </w:r>
    </w:p>
    <w:p w:rsidR="00740945" w:rsidRDefault="003D0D44">
      <w:pPr>
        <w:pStyle w:val="Nagwek21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308"/>
        <w:gridCol w:w="6274"/>
        <w:gridCol w:w="2052"/>
      </w:tblGrid>
      <w:tr w:rsidR="00740945">
        <w:trPr>
          <w:tblHeader/>
        </w:trPr>
        <w:tc>
          <w:tcPr>
            <w:tcW w:w="130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627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05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40945">
        <w:tc>
          <w:tcPr>
            <w:tcW w:w="1308" w:type="dxa"/>
            <w:shd w:val="clear" w:color="auto" w:fill="auto"/>
          </w:tcPr>
          <w:p w:rsidR="00740945" w:rsidRDefault="00106809">
            <w:pPr>
              <w:spacing w:after="0" w:line="240" w:lineRule="auto"/>
            </w:pPr>
            <w:r>
              <w:rPr>
                <w:rFonts w:ascii="Arial" w:hAnsi="Arial" w:cs="Calibri"/>
              </w:rPr>
              <w:t>80</w:t>
            </w:r>
            <w:r w:rsidR="003903AE">
              <w:rPr>
                <w:rFonts w:ascii="Arial" w:hAnsi="Arial" w:cs="Calibri"/>
              </w:rPr>
              <w:t>,</w:t>
            </w:r>
            <w:r w:rsidR="00F9332C">
              <w:rPr>
                <w:rFonts w:ascii="Arial" w:hAnsi="Arial" w:cs="Calibri"/>
              </w:rPr>
              <w:t>55</w:t>
            </w:r>
            <w:r w:rsidR="00240517" w:rsidRPr="00240517">
              <w:rPr>
                <w:rFonts w:ascii="Arial" w:hAnsi="Arial" w:cs="Calibri"/>
              </w:rPr>
              <w:t xml:space="preserve"> %</w:t>
            </w:r>
          </w:p>
        </w:tc>
        <w:tc>
          <w:tcPr>
            <w:tcW w:w="6274" w:type="dxa"/>
            <w:shd w:val="clear" w:color="auto" w:fill="auto"/>
          </w:tcPr>
          <w:p w:rsidR="00240517" w:rsidRPr="00121C4A" w:rsidRDefault="00A06470" w:rsidP="00240517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69,32</w:t>
            </w:r>
            <w:r w:rsidR="00240517" w:rsidRPr="00121C4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%</w:t>
            </w:r>
          </w:p>
          <w:p w:rsidR="00240517" w:rsidRPr="00121C4A" w:rsidRDefault="00A06470" w:rsidP="00240517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66,11</w:t>
            </w:r>
            <w:r w:rsidR="00240517" w:rsidRPr="00121C4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%</w:t>
            </w:r>
          </w:p>
          <w:p w:rsidR="00740945" w:rsidRPr="00121C4A" w:rsidRDefault="0020575C" w:rsidP="00240517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69,89</w:t>
            </w:r>
            <w:r w:rsidR="00240517" w:rsidRPr="00121C4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%</w:t>
            </w:r>
          </w:p>
        </w:tc>
        <w:tc>
          <w:tcPr>
            <w:tcW w:w="2052" w:type="dxa"/>
            <w:shd w:val="clear" w:color="auto" w:fill="auto"/>
          </w:tcPr>
          <w:p w:rsidR="00740945" w:rsidRPr="00121C4A" w:rsidRDefault="0024051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21C4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1. </w:t>
            </w:r>
            <w:r w:rsidR="0020575C">
              <w:rPr>
                <w:rFonts w:ascii="Arial" w:hAnsi="Arial" w:cs="Arial"/>
                <w:color w:val="000000" w:themeColor="text1"/>
                <w:sz w:val="18"/>
                <w:szCs w:val="20"/>
              </w:rPr>
              <w:t>95,54</w:t>
            </w:r>
            <w:r w:rsidRPr="00121C4A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:rsidR="00740945" w:rsidRDefault="00740945">
      <w:pPr>
        <w:pStyle w:val="Nagwek31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740945" w:rsidRDefault="003D0D44">
      <w:pPr>
        <w:pStyle w:val="Nagwek31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740945" w:rsidRDefault="003D0D44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217"/>
        <w:gridCol w:w="1617"/>
        <w:gridCol w:w="1306"/>
        <w:gridCol w:w="1860"/>
        <w:gridCol w:w="2639"/>
      </w:tblGrid>
      <w:tr w:rsidR="00740945">
        <w:trPr>
          <w:tblHeader/>
        </w:trPr>
        <w:tc>
          <w:tcPr>
            <w:tcW w:w="2216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86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4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40945">
        <w:tc>
          <w:tcPr>
            <w:tcW w:w="2216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Opracowanie Studium Wykonalności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Adaptacja serwerowni i zakup wyposażenia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i zainstalowanie nowego programu do ewidencji zasobów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Zakończenie prac programistycznych dotyczących portalu on-line-protokół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sprzętu i oprogramowania do pracowni digitalizacji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Zakup i dostawa sprzętu informatycznego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Digitalizacja zasobów - raport końcowy podsumowujący realizację projektu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Upowszechnianie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zasobów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Spotkanie podsumowujące/ upowszechniające platformę - Raport końcowe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Konferencja podsumowująca projekt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Raport podsumowujący działania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informacyjno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/promocyjne</w:t>
            </w:r>
          </w:p>
        </w:tc>
        <w:tc>
          <w:tcPr>
            <w:tcW w:w="1617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- 5: </w:t>
            </w:r>
            <w:r>
              <w:rPr>
                <w:rFonts w:ascii="Arial" w:hAnsi="Arial" w:cs="Arial"/>
                <w:sz w:val="18"/>
                <w:szCs w:val="18"/>
              </w:rPr>
              <w:t>Liczba pracowni doposażonych w sprzęt do digitalizacji – wartość docelowa szt.1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3: </w:t>
            </w:r>
            <w:r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publicznego - wartość docelowa szt. 1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KPI – 6: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dokumentów zawierających informacje sektora publicznego - wartość docelowa szt. 1228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1: </w:t>
            </w:r>
            <w:r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 - wartość docelowa szt. 6150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7: </w:t>
            </w:r>
            <w:r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informacji sektora publicznego - wartość docelo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wa 16 TB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– 4: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 - wartość docelowa szt. 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09-2019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07-2021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08-2022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1860" w:type="dxa"/>
            <w:shd w:val="clear" w:color="auto" w:fill="auto"/>
          </w:tcPr>
          <w:p w:rsidR="00740945" w:rsidRDefault="003D0D44">
            <w:pPr>
              <w:pStyle w:val="Akapitzlist"/>
              <w:spacing w:after="0" w:line="240" w:lineRule="auto"/>
              <w:ind w:left="7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09-2019 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06-2021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66203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66203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 w:rsidP="00207C9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 w:rsidP="00207C90">
            <w:pPr>
              <w:spacing w:after="0" w:line="240" w:lineRule="auto"/>
              <w:jc w:val="both"/>
            </w:pPr>
            <w:r w:rsidRPr="00207C90"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640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6203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6203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0945" w:rsidRDefault="003D0D44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7"/>
        <w:gridCol w:w="2264"/>
      </w:tblGrid>
      <w:tr w:rsidR="0074094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40945">
        <w:trPr>
          <w:trHeight w:val="777"/>
        </w:trPr>
        <w:tc>
          <w:tcPr>
            <w:tcW w:w="2545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1: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udostępnionych on-line dokumentów zwierających informację sektora publicznego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2: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pobrań/odtworzeni dokumentów zawierających informacje sektora publicznego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3: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podmiotów, które udostępniły on-line informacje sektora publicznego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4: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5: </w:t>
            </w:r>
            <w:r>
              <w:rPr>
                <w:rFonts w:ascii="Arial" w:hAnsi="Arial"/>
                <w:sz w:val="18"/>
                <w:szCs w:val="18"/>
              </w:rPr>
              <w:t>Liczba pracowni doposażonych w sprzęt do digitalizacji.</w:t>
            </w: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6: </w:t>
            </w:r>
            <w:r>
              <w:rPr>
                <w:rFonts w:ascii="Arial" w:hAnsi="Arial"/>
                <w:sz w:val="18"/>
                <w:szCs w:val="18"/>
              </w:rPr>
              <w:t xml:space="preserve">Liczba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dokumentów zawierających informacje sektora publicznego</w:t>
            </w: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7: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Rozmiar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publicznego. Pomiar jednokrotny na zakończenie projektu.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6150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23000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1228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16 </w:t>
            </w:r>
          </w:p>
        </w:tc>
        <w:tc>
          <w:tcPr>
            <w:tcW w:w="1707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07.2024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</w:tc>
        <w:tc>
          <w:tcPr>
            <w:tcW w:w="2264" w:type="dxa"/>
            <w:shd w:val="clear" w:color="auto" w:fill="auto"/>
          </w:tcPr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3D0D4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851522">
            <w:pPr>
              <w:spacing w:after="0" w:line="240" w:lineRule="auto"/>
              <w:rPr>
                <w:b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1045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3D0D44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662030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662030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Pr="00662030">
              <w:rPr>
                <w:rFonts w:ascii="Arial" w:hAnsi="Arial" w:cs="Arial"/>
                <w:b/>
                <w:sz w:val="18"/>
                <w:szCs w:val="20"/>
              </w:rPr>
              <w:t>,</w:t>
            </w:r>
            <w:r w:rsidR="00851522">
              <w:rPr>
                <w:rFonts w:ascii="Arial" w:hAnsi="Arial" w:cs="Arial"/>
                <w:b/>
                <w:sz w:val="18"/>
                <w:szCs w:val="20"/>
              </w:rPr>
              <w:t>9995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1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0"/>
        <w:gridCol w:w="1261"/>
        <w:gridCol w:w="1395"/>
        <w:gridCol w:w="4168"/>
      </w:tblGrid>
      <w:tr w:rsidR="00740945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0945">
        <w:tc>
          <w:tcPr>
            <w:tcW w:w="2809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68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9"/>
        <w:gridCol w:w="1261"/>
        <w:gridCol w:w="1395"/>
        <w:gridCol w:w="4139"/>
      </w:tblGrid>
      <w:tr w:rsidR="00740945">
        <w:trPr>
          <w:tblHeader/>
        </w:trPr>
        <w:tc>
          <w:tcPr>
            <w:tcW w:w="283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9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0945">
        <w:tc>
          <w:tcPr>
            <w:tcW w:w="2838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Zdigitalizowanie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udostępnienie: Dzieł Sztuki Nowoczesnej, Dzieł Sztuki Dawnej i materiałów audiowizualne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740945" w:rsidRDefault="00740945">
            <w:pPr>
              <w:spacing w:after="0" w:line="240" w:lineRule="auto"/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39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31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740945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0945">
        <w:tc>
          <w:tcPr>
            <w:tcW w:w="2549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Publiczny Interfejs API dostępu do zasobów kultury</w:t>
            </w: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Oprogramowanie Systemu Muzealnego do ewidencji zasobów kultury </w:t>
            </w: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Repozytorium </w:t>
            </w:r>
            <w:proofErr w:type="spellStart"/>
            <w:r>
              <w:rPr>
                <w:rFonts w:ascii="Arial" w:hAnsi="Arial" w:cs="Calibri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Calibri"/>
                <w:sz w:val="18"/>
                <w:szCs w:val="18"/>
              </w:rPr>
              <w:t xml:space="preserve"> Dzieł</w:t>
            </w:r>
          </w:p>
          <w:p w:rsidR="00740945" w:rsidRDefault="00740945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843" w:type="dxa"/>
            <w:shd w:val="clear" w:color="auto" w:fill="auto"/>
          </w:tcPr>
          <w:p w:rsidR="00740945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18"/>
              </w:rPr>
              <w:t>03.2022</w:t>
            </w:r>
          </w:p>
          <w:p w:rsidR="00662030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662030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662030" w:rsidRDefault="006620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18"/>
              </w:rPr>
              <w:t>03.2022</w:t>
            </w:r>
          </w:p>
        </w:tc>
        <w:tc>
          <w:tcPr>
            <w:tcW w:w="3541" w:type="dxa"/>
            <w:shd w:val="clear" w:color="auto" w:fill="auto"/>
          </w:tcPr>
          <w:p w:rsidR="00740945" w:rsidRPr="003903AE" w:rsidRDefault="00740945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</w:p>
          <w:p w:rsidR="00740945" w:rsidRPr="003903AE" w:rsidRDefault="003D0D44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 w:rsidRPr="003903AE">
              <w:rPr>
                <w:rFonts w:ascii="Arial" w:hAnsi="Arial" w:cs="Arial"/>
                <w:sz w:val="20"/>
                <w:szCs w:val="20"/>
              </w:rPr>
              <w:t>Status: analizowanie</w:t>
            </w:r>
          </w:p>
          <w:p w:rsidR="00740945" w:rsidRPr="003903AE" w:rsidRDefault="00740945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</w:p>
          <w:p w:rsidR="00740945" w:rsidRPr="003903AE" w:rsidRDefault="003D0D44">
            <w:pPr>
              <w:pStyle w:val="LO-normal"/>
              <w:rPr>
                <w:rFonts w:ascii="Arial" w:hAnsi="Arial" w:cs="Arial"/>
              </w:rPr>
            </w:pPr>
            <w:r w:rsidRPr="003903AE">
              <w:rPr>
                <w:rFonts w:ascii="Arial" w:hAnsi="Arial" w:cs="Arial"/>
                <w:sz w:val="20"/>
                <w:szCs w:val="20"/>
              </w:rPr>
              <w:t xml:space="preserve">System Muzealny będzie zawierał moduł  pozwalający na dostarczenie z bazy danych </w:t>
            </w:r>
            <w:proofErr w:type="spellStart"/>
            <w:r w:rsidRPr="003903AE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903AE">
              <w:rPr>
                <w:rFonts w:ascii="Arial" w:hAnsi="Arial" w:cs="Arial"/>
                <w:sz w:val="20"/>
                <w:szCs w:val="20"/>
              </w:rPr>
              <w:t xml:space="preserve"> dzieł do KRONIK@. Obsłużenie API platformy KRONIK@. Umożliwienie wymiany danych z portalem KRONIK@. Kierunek przepływu danych to przekazywanie z Systemu Muzealnego danych do portalu KRONIK@.</w:t>
            </w:r>
          </w:p>
        </w:tc>
      </w:tr>
    </w:tbl>
    <w:p w:rsidR="00740945" w:rsidRDefault="003D0D44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740945" w:rsidRDefault="003D0D44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2"/>
        <w:gridCol w:w="1688"/>
        <w:gridCol w:w="2294"/>
        <w:gridCol w:w="2364"/>
      </w:tblGrid>
      <w:tr w:rsidR="00740945">
        <w:trPr>
          <w:tblHeader/>
        </w:trPr>
        <w:tc>
          <w:tcPr>
            <w:tcW w:w="315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3" w:type="dxa"/>
            <w:shd w:val="clear" w:color="auto" w:fill="D0CECE" w:themeFill="background2" w:themeFillShade="E6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740945">
        <w:tc>
          <w:tcPr>
            <w:tcW w:w="3152" w:type="dxa"/>
            <w:shd w:val="clear" w:color="auto" w:fill="auto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Opory dotyczące wymiany informacji podczas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procesów jednostki (muzeum)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Praw autorskich i danych wrażliwych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Zmiany zakresu prac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przekroczenia budżetu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Opóźnienia przy realizacji zamówień publicznych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Związane z przekroczeniem harmonogramu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Niedotrzymywanie terminów wykonania zleceń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Ryzyko związane z tzw. czynnikiem ludzkim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celów w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trakcie trwania projektu</w:t>
            </w:r>
          </w:p>
        </w:tc>
        <w:tc>
          <w:tcPr>
            <w:tcW w:w="1688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3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4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lastRenderedPageBreak/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wprowadzenie polityki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informacyjnej wewnątrz jednostki - informowanie, czyli dokładne wyjaśnienie, na czym polegają zmiany i w czym mogą pomóc (usprawnić działanie jednostki).</w:t>
            </w:r>
            <w:r>
              <w:rPr>
                <w:rFonts w:ascii="Arial" w:hAnsi="Arial" w:cs="Calibri"/>
                <w:sz w:val="18"/>
                <w:szCs w:val="18"/>
              </w:rPr>
              <w:br/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wyeliminowanie oporów dotyczących wymiany informacji podczas realizacji.</w:t>
            </w:r>
            <w:r>
              <w:rPr>
                <w:rFonts w:ascii="Arial" w:hAnsi="Arial" w:cs="Calibri"/>
                <w:sz w:val="18"/>
                <w:szCs w:val="18"/>
              </w:rPr>
              <w:br/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bookmarkStart w:id="2" w:name="__DdeLink__7751_2756344845"/>
            <w:bookmarkEnd w:id="2"/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dostosowywanie oprogramowania.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przepisów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  <w:bookmarkStart w:id="3" w:name="__DdeLink__7751_27563448451"/>
            <w:bookmarkEnd w:id="3"/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dostosowywanie oprogramowania.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przepisów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to będzie eliminowane poprzez stały i staranny monitoring budżetu projektu.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przypadku przekroczenia kosztów zawartych w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poszczególnych zadaniach zostanie zaangażowana rezerwa finansowa przewidziana w projekcie.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minimalizację tego ryzyka, powodowanego z przyczyn niezależnych od Wnioskodawcy, zapewni odpowiednia organizacja zamówień, uwzględniająca to zagrożenie. Wnioskodawca przygotuje specyfikację SIWZ pod kątem przeprowadzenia przetargów w projekcie w taki szczegółowy sposób, aby ograniczyć lub wyeliminować pytania i protesty potencjalnych oferentów.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opóźnień przy realizacji zamówień publicznych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Wnioskodawca będzie na każdym etapie realizacji projektu dokonywał kontroli postępów prac programistycznych, inwestycyjnych i wdrożeniowych. Umowy z dostawcami lub podwykonawcami będą starannie formułowane, aby wyeliminować ten czynnik ryzyka. Ponadto opracowany harmonogram zawiera niezbędny margines czasowy, pozwalający przeprowadzić projekt w zakładanym terminie.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realizacja zadań zgodnie z harmonogramem projektu.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3. czy nastąpiła zmiana w zakresie danego ryzyka w </w:t>
            </w:r>
            <w:r>
              <w:rPr>
                <w:rFonts w:ascii="Arial" w:hAnsi="Arial" w:cs="Calibri"/>
                <w:sz w:val="18"/>
                <w:szCs w:val="18"/>
              </w:rPr>
              <w:lastRenderedPageBreak/>
              <w:t>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zostanie wdrożony precyzyjny sposób zarządzania projektem oraz prowadzony będzie stały monitoring kadr projektu, a dobór kadry programistów i informatyków będzie poprzedzony staranną analizą kompetencji oraz kwalifikacji zgodnych z oczekiwaniami i wymogami tworzonego systemu.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brak zmian kadrowych w zespole projektowym.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uzgodnienie szczegółowego i spójnego zakresu prac oraz uwzględnienie wszystkich etapów realizacji z całej dokumentacji projektowej.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zmian celów w trakcie trwania projektu.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0945" w:rsidRDefault="0074094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740945" w:rsidRDefault="003D0D44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62"/>
        <w:gridCol w:w="1694"/>
        <w:gridCol w:w="2297"/>
        <w:gridCol w:w="2627"/>
      </w:tblGrid>
      <w:tr w:rsidR="00740945">
        <w:trPr>
          <w:trHeight w:val="72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740945">
        <w:trPr>
          <w:trHeight w:val="72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Uzależnienie dalszych prac od wykonawcy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vendor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lock-in)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Awarie modułów oprogramowania i serwerowni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Cyberataki w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internecie</w:t>
            </w:r>
            <w:proofErr w:type="spellEnd"/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Modyfikacja zgromadzonych danych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Zwiększony ruch na stronie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Niespójność danych pomiędzy portalem on-line, a nowym Systemem Muzealnym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Definiowanie jednoznacznych wymagań, utrzymanie otwartych standardów, modułowość rozwiązań.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Wsparcie powdrożeniowe oraz wprowadzanie poprawek w oprogramowaniu.</w:t>
            </w: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Stosowanie najnowszych rozwiązań w zakresie bezpieczeństwa oraz audyt bezpieczeństwa.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Wdrożenie mechanizmów w zakresie utrzymania integralności i wiarygodności informacji oraz rozliczalności aktywności w systemie, stosowanie mechanizmów kopii bezpieczeństwa.</w:t>
            </w: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 przypadku wzrostów nastąpi zwiększenie zasobów. Monitoring i Alerty.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Planuje się użycie obecnie istniejącej bazy danych tylko w minimalnym stopniu - do umieszczania i prezentowania dzieł on-line, które zostaną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zdigitalizowane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umieszczone w nowym oprogramowaniu Systemu Muzealnego. Nie występuje ryzyko dublowania danych - dane w bazie portalu on-line mają charakter reprezentacyjny - informacyjny.</w:t>
            </w:r>
          </w:p>
        </w:tc>
      </w:tr>
    </w:tbl>
    <w:p w:rsidR="00740945" w:rsidRDefault="003D0D44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740945" w:rsidRDefault="003D0D44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dotyczy.</w:t>
      </w:r>
    </w:p>
    <w:p w:rsidR="00740945" w:rsidRDefault="003D0D44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4" w:name="_Hlk18274129"/>
      <w:r>
        <w:rPr>
          <w:rFonts w:ascii="Arial" w:hAnsi="Arial" w:cs="Arial"/>
        </w:rPr>
        <w:t xml:space="preserve">Emilia Antosz, Muzeum Sztuki w Łodzi, </w:t>
      </w:r>
      <w:hyperlink r:id="rId8">
        <w:r>
          <w:rPr>
            <w:rStyle w:val="czeinternetowe"/>
            <w:rFonts w:ascii="Arial" w:hAnsi="Arial" w:cs="Arial"/>
          </w:rPr>
          <w:t>e.antosz@msl.org.pl</w:t>
        </w:r>
      </w:hyperlink>
      <w:r>
        <w:rPr>
          <w:rFonts w:ascii="Arial" w:hAnsi="Arial" w:cs="Arial"/>
        </w:rPr>
        <w:t xml:space="preserve"> tel. 531 621 813 </w:t>
      </w:r>
      <w:bookmarkEnd w:id="4"/>
    </w:p>
    <w:p w:rsidR="00740945" w:rsidRDefault="00740945">
      <w:pPr>
        <w:spacing w:after="0"/>
        <w:jc w:val="both"/>
        <w:rPr>
          <w:rFonts w:ascii="Arial" w:hAnsi="Arial" w:cs="Arial"/>
        </w:rPr>
      </w:pPr>
    </w:p>
    <w:p w:rsidR="00740945" w:rsidRDefault="00740945">
      <w:pPr>
        <w:spacing w:after="0"/>
        <w:jc w:val="both"/>
        <w:rPr>
          <w:rFonts w:ascii="Arial" w:hAnsi="Arial" w:cs="Arial"/>
        </w:rPr>
      </w:pPr>
    </w:p>
    <w:p w:rsidR="00740945" w:rsidRDefault="00740945">
      <w:pPr>
        <w:spacing w:after="0"/>
        <w:jc w:val="both"/>
      </w:pPr>
    </w:p>
    <w:sectPr w:rsidR="00740945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EF5" w:rsidRDefault="003D0D44">
      <w:pPr>
        <w:spacing w:after="0" w:line="240" w:lineRule="auto"/>
      </w:pPr>
      <w:r>
        <w:separator/>
      </w:r>
    </w:p>
  </w:endnote>
  <w:endnote w:type="continuationSeparator" w:id="0">
    <w:p w:rsidR="00AB6EF5" w:rsidRDefault="003D0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7270214"/>
      <w:docPartObj>
        <w:docPartGallery w:val="Page Numbers (Top of Page)"/>
        <w:docPartUnique/>
      </w:docPartObj>
    </w:sdtPr>
    <w:sdtEndPr/>
    <w:sdtContent>
      <w:p w:rsidR="00740945" w:rsidRDefault="003D0D44">
        <w:pPr>
          <w:pStyle w:val="Stopka1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740945" w:rsidRDefault="00740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945" w:rsidRDefault="003D0D44">
      <w:r>
        <w:separator/>
      </w:r>
    </w:p>
  </w:footnote>
  <w:footnote w:type="continuationSeparator" w:id="0">
    <w:p w:rsidR="00740945" w:rsidRDefault="003D0D44">
      <w:r>
        <w:continuationSeparator/>
      </w:r>
    </w:p>
  </w:footnote>
  <w:footnote w:id="1">
    <w:p w:rsidR="00740945" w:rsidRDefault="003D0D44">
      <w:pPr>
        <w:pStyle w:val="Tekstprzypisudolnego1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016C2"/>
    <w:multiLevelType w:val="multilevel"/>
    <w:tmpl w:val="73DA17B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D59DA"/>
    <w:multiLevelType w:val="multilevel"/>
    <w:tmpl w:val="998069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945"/>
    <w:rsid w:val="00106809"/>
    <w:rsid w:val="00121C4A"/>
    <w:rsid w:val="001C2C48"/>
    <w:rsid w:val="001F47BC"/>
    <w:rsid w:val="002009EA"/>
    <w:rsid w:val="0020575C"/>
    <w:rsid w:val="00207C90"/>
    <w:rsid w:val="00240517"/>
    <w:rsid w:val="00302950"/>
    <w:rsid w:val="003903AE"/>
    <w:rsid w:val="003D0D44"/>
    <w:rsid w:val="005B0B32"/>
    <w:rsid w:val="005E691F"/>
    <w:rsid w:val="00662030"/>
    <w:rsid w:val="0068468F"/>
    <w:rsid w:val="00740945"/>
    <w:rsid w:val="00851522"/>
    <w:rsid w:val="00964B33"/>
    <w:rsid w:val="009F33E1"/>
    <w:rsid w:val="00A06470"/>
    <w:rsid w:val="00A13DC6"/>
    <w:rsid w:val="00AB6EF5"/>
    <w:rsid w:val="00B77F6E"/>
    <w:rsid w:val="00C63262"/>
    <w:rsid w:val="00D365E2"/>
    <w:rsid w:val="00F9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1D148"/>
  <w15:docId w15:val="{0B674DFD-C970-4B7F-B7E9-D4E38517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sid w:val="00747005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1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D67AA2"/>
    <w:rPr>
      <w:color w:val="0563C1" w:themeColor="hyperlink"/>
      <w:u w:val="single"/>
    </w:rPr>
  </w:style>
  <w:style w:type="character" w:customStyle="1" w:styleId="ListLabel1">
    <w:name w:val="ListLabel 1"/>
    <w:qFormat/>
    <w:rsid w:val="00747005"/>
    <w:rPr>
      <w:i w:val="0"/>
      <w:color w:val="auto"/>
    </w:rPr>
  </w:style>
  <w:style w:type="character" w:customStyle="1" w:styleId="ListLabel2">
    <w:name w:val="ListLabel 2"/>
    <w:qFormat/>
    <w:rsid w:val="00747005"/>
    <w:rPr>
      <w:i w:val="0"/>
      <w:color w:val="auto"/>
    </w:rPr>
  </w:style>
  <w:style w:type="character" w:customStyle="1" w:styleId="ListLabel3">
    <w:name w:val="ListLabel 3"/>
    <w:qFormat/>
    <w:rsid w:val="00747005"/>
    <w:rPr>
      <w:i w:val="0"/>
      <w:color w:val="auto"/>
    </w:rPr>
  </w:style>
  <w:style w:type="character" w:customStyle="1" w:styleId="ListLabel4">
    <w:name w:val="ListLabel 4"/>
    <w:qFormat/>
    <w:rsid w:val="00747005"/>
    <w:rPr>
      <w:rFonts w:eastAsia="Calibri"/>
    </w:rPr>
  </w:style>
  <w:style w:type="character" w:customStyle="1" w:styleId="ListLabel5">
    <w:name w:val="ListLabel 5"/>
    <w:qFormat/>
    <w:rsid w:val="00747005"/>
    <w:rPr>
      <w:rFonts w:cs="Courier New"/>
    </w:rPr>
  </w:style>
  <w:style w:type="character" w:customStyle="1" w:styleId="ListLabel6">
    <w:name w:val="ListLabel 6"/>
    <w:qFormat/>
    <w:rsid w:val="00747005"/>
    <w:rPr>
      <w:rFonts w:cs="Courier New"/>
    </w:rPr>
  </w:style>
  <w:style w:type="character" w:customStyle="1" w:styleId="ListLabel7">
    <w:name w:val="ListLabel 7"/>
    <w:qFormat/>
    <w:rsid w:val="00747005"/>
    <w:rPr>
      <w:rFonts w:cs="Courier New"/>
    </w:rPr>
  </w:style>
  <w:style w:type="character" w:customStyle="1" w:styleId="ListLabel8">
    <w:name w:val="ListLabel 8"/>
    <w:qFormat/>
    <w:rsid w:val="00747005"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sid w:val="00747005"/>
    <w:rPr>
      <w:i w:val="0"/>
      <w:color w:val="auto"/>
    </w:rPr>
  </w:style>
  <w:style w:type="character" w:customStyle="1" w:styleId="ListLabel10">
    <w:name w:val="ListLabel 10"/>
    <w:qFormat/>
    <w:rsid w:val="00747005"/>
    <w:rPr>
      <w:i w:val="0"/>
      <w:color w:val="auto"/>
    </w:rPr>
  </w:style>
  <w:style w:type="character" w:customStyle="1" w:styleId="ListLabel11">
    <w:name w:val="ListLabel 11"/>
    <w:qFormat/>
    <w:rsid w:val="00747005"/>
    <w:rPr>
      <w:i w:val="0"/>
      <w:color w:val="auto"/>
    </w:rPr>
  </w:style>
  <w:style w:type="character" w:customStyle="1" w:styleId="ListLabel12">
    <w:name w:val="ListLabel 12"/>
    <w:qFormat/>
    <w:rsid w:val="00747005"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sid w:val="00747005"/>
    <w:rPr>
      <w:rFonts w:cs="Courier New"/>
    </w:rPr>
  </w:style>
  <w:style w:type="character" w:customStyle="1" w:styleId="ListLabel14">
    <w:name w:val="ListLabel 14"/>
    <w:qFormat/>
    <w:rsid w:val="00747005"/>
    <w:rPr>
      <w:rFonts w:cs="Courier New"/>
    </w:rPr>
  </w:style>
  <w:style w:type="character" w:customStyle="1" w:styleId="ListLabel15">
    <w:name w:val="ListLabel 15"/>
    <w:qFormat/>
    <w:rsid w:val="00747005"/>
    <w:rPr>
      <w:rFonts w:cs="Courier New"/>
    </w:rPr>
  </w:style>
  <w:style w:type="character" w:customStyle="1" w:styleId="ListLabel16">
    <w:name w:val="ListLabel 16"/>
    <w:qFormat/>
    <w:rsid w:val="00747005"/>
    <w:rPr>
      <w:b/>
      <w:i w:val="0"/>
      <w:color w:val="0070C0"/>
    </w:rPr>
  </w:style>
  <w:style w:type="character" w:customStyle="1" w:styleId="ListLabel17">
    <w:name w:val="ListLabel 17"/>
    <w:qFormat/>
    <w:rsid w:val="00747005"/>
    <w:rPr>
      <w:b/>
      <w:i w:val="0"/>
      <w:color w:val="0070C0"/>
    </w:rPr>
  </w:style>
  <w:style w:type="character" w:customStyle="1" w:styleId="ListLabel18">
    <w:name w:val="ListLabel 18"/>
    <w:qFormat/>
    <w:rsid w:val="00747005"/>
    <w:rPr>
      <w:b/>
      <w:i w:val="0"/>
      <w:color w:val="0070C0"/>
    </w:rPr>
  </w:style>
  <w:style w:type="character" w:customStyle="1" w:styleId="ListLabel19">
    <w:name w:val="ListLabel 19"/>
    <w:qFormat/>
    <w:rsid w:val="00747005"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sid w:val="00747005"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sid w:val="00747005"/>
    <w:rPr>
      <w:rFonts w:cs="Courier New"/>
    </w:rPr>
  </w:style>
  <w:style w:type="character" w:customStyle="1" w:styleId="ListLabel23">
    <w:name w:val="ListLabel 23"/>
    <w:qFormat/>
    <w:rsid w:val="00747005"/>
    <w:rPr>
      <w:rFonts w:cs="Courier New"/>
    </w:rPr>
  </w:style>
  <w:style w:type="character" w:customStyle="1" w:styleId="ListLabel24">
    <w:name w:val="ListLabel 24"/>
    <w:qFormat/>
    <w:rsid w:val="00747005"/>
    <w:rPr>
      <w:rFonts w:cs="Courier New"/>
    </w:rPr>
  </w:style>
  <w:style w:type="character" w:customStyle="1" w:styleId="ListLabel25">
    <w:name w:val="ListLabel 25"/>
    <w:qFormat/>
    <w:rsid w:val="00747005"/>
    <w:rPr>
      <w:rFonts w:ascii="Arial" w:hAnsi="Arial" w:cs="Arial"/>
    </w:rPr>
  </w:style>
  <w:style w:type="character" w:customStyle="1" w:styleId="Znakiprzypiswdolnych">
    <w:name w:val="Znaki przypisów dolnych"/>
    <w:qFormat/>
    <w:rsid w:val="00747005"/>
  </w:style>
  <w:style w:type="character" w:customStyle="1" w:styleId="Zakotwiczenieprzypisukocowego">
    <w:name w:val="Zakotwiczenie przypisu końcowego"/>
    <w:rsid w:val="00747005"/>
    <w:rPr>
      <w:vertAlign w:val="superscript"/>
    </w:rPr>
  </w:style>
  <w:style w:type="character" w:customStyle="1" w:styleId="Znakiprzypiswkocowych">
    <w:name w:val="Znaki przypisów końcowych"/>
    <w:qFormat/>
    <w:rsid w:val="00747005"/>
  </w:style>
  <w:style w:type="character" w:customStyle="1" w:styleId="ListLabel26">
    <w:name w:val="ListLabel 26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7">
    <w:name w:val="ListLabel 27"/>
    <w:qFormat/>
    <w:rsid w:val="00747005"/>
    <w:rPr>
      <w:rFonts w:ascii="Arial" w:hAnsi="Arial" w:cs="Arial"/>
    </w:rPr>
  </w:style>
  <w:style w:type="character" w:customStyle="1" w:styleId="ListLabel28">
    <w:name w:val="ListLabel 28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9">
    <w:name w:val="ListLabel 29"/>
    <w:qFormat/>
    <w:rsid w:val="00747005"/>
    <w:rPr>
      <w:rFonts w:ascii="Arial" w:hAnsi="Arial" w:cs="Arial"/>
    </w:rPr>
  </w:style>
  <w:style w:type="character" w:customStyle="1" w:styleId="ListLabel30">
    <w:name w:val="ListLabel 30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1">
    <w:name w:val="ListLabel 31"/>
    <w:qFormat/>
    <w:rsid w:val="00747005"/>
    <w:rPr>
      <w:rFonts w:ascii="Arial" w:hAnsi="Arial" w:cs="Arial"/>
    </w:rPr>
  </w:style>
  <w:style w:type="character" w:customStyle="1" w:styleId="ListLabel32">
    <w:name w:val="ListLabel 32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3">
    <w:name w:val="ListLabel 33"/>
    <w:qFormat/>
    <w:rsid w:val="00747005"/>
    <w:rPr>
      <w:rFonts w:ascii="Arial" w:hAnsi="Arial" w:cs="Arial"/>
    </w:rPr>
  </w:style>
  <w:style w:type="character" w:customStyle="1" w:styleId="ListLabel34">
    <w:name w:val="ListLabel 34"/>
    <w:qFormat/>
    <w:rsid w:val="00FE3AB8"/>
    <w:rPr>
      <w:rFonts w:ascii="Arial" w:hAnsi="Arial"/>
      <w:b/>
      <w:i w:val="0"/>
      <w:color w:val="auto"/>
      <w:sz w:val="24"/>
      <w:szCs w:val="26"/>
    </w:rPr>
  </w:style>
  <w:style w:type="character" w:customStyle="1" w:styleId="ListLabel35">
    <w:name w:val="ListLabel 35"/>
    <w:qFormat/>
    <w:rsid w:val="00FE3AB8"/>
    <w:rPr>
      <w:rFonts w:ascii="Arial" w:hAnsi="Arial" w:cs="Arial"/>
    </w:rPr>
  </w:style>
  <w:style w:type="character" w:customStyle="1" w:styleId="ListLabel36">
    <w:name w:val="ListLabel 36"/>
    <w:qFormat/>
    <w:rsid w:val="00FE3AB8"/>
    <w:rPr>
      <w:rFonts w:ascii="Arial" w:hAnsi="Arial"/>
      <w:b/>
      <w:i w:val="0"/>
      <w:color w:val="auto"/>
      <w:sz w:val="24"/>
      <w:szCs w:val="26"/>
    </w:rPr>
  </w:style>
  <w:style w:type="character" w:customStyle="1" w:styleId="ListLabel37">
    <w:name w:val="ListLabel 37"/>
    <w:qFormat/>
    <w:rsid w:val="00FE3AB8"/>
    <w:rPr>
      <w:rFonts w:ascii="Arial" w:hAnsi="Arial" w:cs="Arial"/>
    </w:rPr>
  </w:style>
  <w:style w:type="character" w:customStyle="1" w:styleId="ListLabel38">
    <w:name w:val="ListLabel 38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39">
    <w:name w:val="ListLabel 3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qFormat/>
    <w:rsid w:val="0074700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sid w:val="00747005"/>
    <w:rPr>
      <w:rFonts w:cs="Arial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rsid w:val="00747005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Legenda1">
    <w:name w:val="Legenda1"/>
    <w:basedOn w:val="Normalny"/>
    <w:qFormat/>
    <w:rsid w:val="007470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BB2420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qFormat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LO-normal">
    <w:name w:val="LO-normal"/>
    <w:qFormat/>
    <w:rsid w:val="00747005"/>
    <w:rPr>
      <w:sz w:val="22"/>
    </w:rPr>
  </w:style>
  <w:style w:type="paragraph" w:styleId="Tekstprzypisudolnego">
    <w:name w:val="footnote text"/>
    <w:basedOn w:val="Normalny"/>
    <w:rsid w:val="00FE3AB8"/>
  </w:style>
  <w:style w:type="paragraph" w:styleId="Stopka">
    <w:name w:val="footer"/>
    <w:basedOn w:val="Normalny"/>
    <w:rsid w:val="00FE3AB8"/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antosz@msl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A7977-CA27-48C6-ABAA-667EE8422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1669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EAntosz</dc:creator>
  <dc:description/>
  <cp:lastModifiedBy>EAntosz</cp:lastModifiedBy>
  <cp:revision>4</cp:revision>
  <dcterms:created xsi:type="dcterms:W3CDTF">2023-01-12T08:47:00Z</dcterms:created>
  <dcterms:modified xsi:type="dcterms:W3CDTF">2023-01-12T08:50:00Z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