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58" w:rsidRPr="00294D58" w:rsidRDefault="00294D58" w:rsidP="00294D58">
      <w:pPr>
        <w:spacing w:after="6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4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</w:t>
      </w:r>
    </w:p>
    <w:p w:rsidR="00294D58" w:rsidRPr="00294D58" w:rsidRDefault="00294D58" w:rsidP="00294D58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294D58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294D58" w:rsidRPr="00294D58" w:rsidRDefault="00294D58" w:rsidP="00294D58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294D58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294D58" w:rsidRPr="00294D58" w:rsidRDefault="00294D58" w:rsidP="00294D5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94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PROWADZONEJ DZIAŁALNOŚCI </w:t>
      </w:r>
    </w:p>
    <w:p w:rsidR="00294D58" w:rsidRPr="00294D58" w:rsidRDefault="00294D58" w:rsidP="00294D5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294D58" w:rsidRPr="00294D58" w:rsidTr="00483D15">
        <w:trPr>
          <w:cantSplit/>
        </w:trPr>
        <w:tc>
          <w:tcPr>
            <w:tcW w:w="5103" w:type="dxa"/>
            <w:shd w:val="clear" w:color="auto" w:fill="D9D9D9"/>
            <w:vAlign w:val="center"/>
          </w:tcPr>
          <w:p w:rsidR="00294D58" w:rsidRPr="00294D58" w:rsidRDefault="00294D58" w:rsidP="00294D58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Dane o Oferencie </w:t>
            </w:r>
          </w:p>
        </w:tc>
        <w:tc>
          <w:tcPr>
            <w:tcW w:w="4962" w:type="dxa"/>
            <w:shd w:val="clear" w:color="auto" w:fill="D9D9D9"/>
          </w:tcPr>
          <w:p w:rsidR="00294D58" w:rsidRPr="00294D58" w:rsidRDefault="00294D58" w:rsidP="00294D58">
            <w:pPr>
              <w:keepNext/>
              <w:spacing w:before="120" w:after="120" w:line="240" w:lineRule="auto"/>
              <w:ind w:left="7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Opisać spełnienie wymagań</w:t>
            </w:r>
          </w:p>
        </w:tc>
      </w:tr>
      <w:tr w:rsidR="00294D58" w:rsidRPr="00294D58" w:rsidTr="00483D15">
        <w:trPr>
          <w:cantSplit/>
          <w:trHeight w:val="1359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12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zatrudnienie kierownika poradni – wymagany lekarz ze specjalizacją z zakresu onkologii lub lekarz ze specjalizacją z genetyki klinicznej</w:t>
            </w: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:rsidR="00294D58" w:rsidRPr="00294D58" w:rsidRDefault="00294D58" w:rsidP="00294D58">
            <w:p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wskazanie czy kierownik poradni jest również konsultantem poradni</w:t>
            </w:r>
          </w:p>
          <w:p w:rsidR="00294D58" w:rsidRPr="00294D58" w:rsidRDefault="00294D58" w:rsidP="00294D58">
            <w:pPr>
              <w:spacing w:before="120" w:after="4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</w:tcPr>
          <w:p w:rsidR="00294D58" w:rsidRPr="00294D58" w:rsidRDefault="00294D58" w:rsidP="00294D58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Wskazać: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- imię i nazwisko kierownika poradni,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- specjalizacja,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- staż zawodowy,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- staż w zakresie poradnictwa kierownika poradni.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Nie jest wymagane przesyłanie kopii dyplomów i certyfikatów.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1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Kierownik poradni jest również konsultantem poradni</w:t>
            </w:r>
          </w:p>
          <w:p w:rsidR="00294D58" w:rsidRPr="00294D58" w:rsidRDefault="00294D58" w:rsidP="00294D58">
            <w:pPr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294D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tak / </w:t>
            </w:r>
            <w:r w:rsidRPr="00294D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nie *</w:t>
            </w:r>
          </w:p>
        </w:tc>
      </w:tr>
      <w:tr w:rsidR="00294D58" w:rsidRPr="00294D58" w:rsidTr="00483D15">
        <w:trPr>
          <w:trHeight w:val="1447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12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zatrudnienie lekarzy konsultantów: specjalisty genetyka klinicznego i specjalisty z zakresu onkologii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2" w:type="dxa"/>
          </w:tcPr>
          <w:p w:rsidR="00294D58" w:rsidRPr="00294D58" w:rsidRDefault="00294D58" w:rsidP="00294D58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Wskazać: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- imię i nazwisko lekarzy konsultantów 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- specjalizacja (przy nazwisku każdego z lekarzy należy wskazać posiadane kwalifikacje (specjalizacja), 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Nie jest wymagane przesyłanie kopii dyplomów i certyfikatów)</w:t>
            </w:r>
          </w:p>
        </w:tc>
      </w:tr>
      <w:tr w:rsidR="00294D58" w:rsidRPr="00294D58" w:rsidTr="00483D15">
        <w:trPr>
          <w:trHeight w:val="1447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12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zatrudnienie lekarzy, którzy ukończyli pierwszy rok specjalizacji z genetyki </w:t>
            </w:r>
            <w:r w:rsidR="00BE26F5">
              <w:rPr>
                <w:rFonts w:ascii="Times New Roman" w:eastAsia="Times New Roman" w:hAnsi="Times New Roman" w:cs="Times New Roman"/>
                <w:lang w:eastAsia="pl-PL"/>
              </w:rPr>
              <w:t xml:space="preserve">klinicznej </w:t>
            </w: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lub </w:t>
            </w:r>
            <w:r w:rsidR="00BE26F5">
              <w:rPr>
                <w:rFonts w:ascii="Times New Roman" w:eastAsia="Times New Roman" w:hAnsi="Times New Roman" w:cs="Times New Roman"/>
                <w:lang w:eastAsia="pl-PL"/>
              </w:rPr>
              <w:t xml:space="preserve">z zakresu </w:t>
            </w: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onkologii oraz uzyskali potwierdzenie przez kierownika specjalizacji wiedzy i umiejętności umożliwiających samodzielną pracę w poradni specjalistycznej</w:t>
            </w:r>
          </w:p>
        </w:tc>
        <w:tc>
          <w:tcPr>
            <w:tcW w:w="4962" w:type="dxa"/>
          </w:tcPr>
          <w:p w:rsidR="00294D58" w:rsidRPr="00294D58" w:rsidRDefault="00294D58" w:rsidP="00294D58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 imię i nazwisko i kwalifikacje lekarzy konsultantów (przy nazwisku każdego z lekarzy należy wskazać posiadane kwalifikacje - rodzaj i rok specjalizacji (nie jest wymagane przesyłanie kopii dyplomów i certyfikatów)</w:t>
            </w:r>
          </w:p>
        </w:tc>
      </w:tr>
      <w:tr w:rsidR="00294D58" w:rsidRPr="00294D58" w:rsidTr="00483D15">
        <w:trPr>
          <w:trHeight w:val="1447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120" w:after="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potwierdzenie, ze wskazani w pkt. 3) lekarze w trakcie specjalizacji z genetyki </w:t>
            </w:r>
            <w:r w:rsidR="00BE26F5">
              <w:rPr>
                <w:rFonts w:ascii="Times New Roman" w:eastAsia="Times New Roman" w:hAnsi="Times New Roman" w:cs="Times New Roman"/>
                <w:lang w:eastAsia="pl-PL"/>
              </w:rPr>
              <w:t xml:space="preserve">klinicznej </w:t>
            </w: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lub </w:t>
            </w:r>
            <w:r w:rsidR="00BE26F5">
              <w:rPr>
                <w:rFonts w:ascii="Times New Roman" w:eastAsia="Times New Roman" w:hAnsi="Times New Roman" w:cs="Times New Roman"/>
                <w:lang w:eastAsia="pl-PL"/>
              </w:rPr>
              <w:t xml:space="preserve">z zakresu </w:t>
            </w:r>
            <w:bookmarkStart w:id="0" w:name="_GoBack"/>
            <w:bookmarkEnd w:id="0"/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onkologii, uzyskali potwierdzenie przez kierownika specjalizacji wiedzy i umiejętności umożliwiających samodzielną pracę w poradni specjalistycznej `</w:t>
            </w:r>
          </w:p>
        </w:tc>
        <w:tc>
          <w:tcPr>
            <w:tcW w:w="4962" w:type="dxa"/>
          </w:tcPr>
          <w:p w:rsidR="00294D58" w:rsidRPr="00294D58" w:rsidRDefault="00294D58" w:rsidP="00294D58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Lekarze uzyskali potwierdzenie przez kierownika specjalizacji wiedzy i umiejętności umożliwiających samodzielną pracę w poradni specjalistycznej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294D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tak / </w:t>
            </w:r>
            <w:r w:rsidRPr="00294D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sym w:font="Wingdings" w:char="F072"/>
            </w:r>
            <w:r w:rsidRPr="00294D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nie *</w:t>
            </w:r>
          </w:p>
          <w:p w:rsidR="00294D58" w:rsidRPr="00294D58" w:rsidRDefault="00294D58" w:rsidP="00294D58">
            <w:pPr>
              <w:spacing w:before="120" w:after="40" w:line="240" w:lineRule="auto"/>
              <w:ind w:left="71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4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Liczba porad genetycznych udzielonych w poradni ogółem oraz średnio miesięcznie w 2017 r.</w:t>
            </w:r>
          </w:p>
        </w:tc>
        <w:tc>
          <w:tcPr>
            <w:tcW w:w="4962" w:type="dxa"/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 porad z zaznaczeniem, która dotyczy porad ogółem i średnio miesięcznie</w:t>
            </w: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4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Liczba probantów skierowanych w </w:t>
            </w: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2017 r. roku do molekularnych badań nosicielstwa </w:t>
            </w: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genów APC, MLH1, MSH2, MSH6, PMS2, STK11, SMAD4, BMPR1A, MUTYH i EPCAM</w:t>
            </w:r>
          </w:p>
        </w:tc>
        <w:tc>
          <w:tcPr>
            <w:tcW w:w="4962" w:type="dxa"/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liczbę.</w:t>
            </w: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4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Liczba nosicieli mutacji genu </w:t>
            </w: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APC, MLH1, MSH2, MSH6, PMS2, STK11, SMAD4, BMPR1A, MUTYH i EPCAM, </w:t>
            </w: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wykrytych w 2017 r.</w:t>
            </w:r>
          </w:p>
        </w:tc>
        <w:tc>
          <w:tcPr>
            <w:tcW w:w="4962" w:type="dxa"/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Wskazać liczbę </w:t>
            </w: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40" w:after="12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Liczba zarejestrowanych w poradni rodzin wysokiego ryzyka zachorowania na raka jelita grubego i raka błony śluzowej trzonu macicy</w:t>
            </w:r>
          </w:p>
        </w:tc>
        <w:tc>
          <w:tcPr>
            <w:tcW w:w="4962" w:type="dxa"/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</w:t>
            </w: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4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Liczba nosicieli mutacji genu </w:t>
            </w: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APC, MLH1, MSH2, MSH6, PMS2, STK11, SMAD4, BMPR1A, MUTYH i EPCAM</w:t>
            </w: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 które były objęte programem opieki w roku 2017 r.</w:t>
            </w:r>
          </w:p>
        </w:tc>
        <w:tc>
          <w:tcPr>
            <w:tcW w:w="4962" w:type="dxa"/>
            <w:shd w:val="clear" w:color="auto" w:fill="auto"/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 liczbę</w:t>
            </w: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spacing w:before="40"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b/>
                <w:lang w:eastAsia="pl-PL"/>
              </w:rPr>
              <w:t>Dane o jednostkach współpracujących</w:t>
            </w:r>
          </w:p>
        </w:tc>
        <w:tc>
          <w:tcPr>
            <w:tcW w:w="4962" w:type="dxa"/>
            <w:shd w:val="pct12" w:color="auto" w:fill="auto"/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Opisać spełnienie wymagań </w:t>
            </w: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4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nazwa współpracującej pracowni diagnostyki molekularnej</w:t>
            </w:r>
            <w:r w:rsidRPr="00294D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posiadającej doświadczenie w badaniach genów APC, MLH1, MSH2, MSH6, PMS2, STK11, SMAD4, BMPR1A, MUTYH i EPCAM, imię i nazwisko kierownika, liczba badań nosicielstwa mutacji genu </w:t>
            </w: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APC, MLH1, MSH2, MSH6, PMS2, STK11, SMAD4, BMPR1A, MUTYH i EPCAM </w:t>
            </w: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wykonanych w roku 2017 </w:t>
            </w:r>
          </w:p>
        </w:tc>
        <w:tc>
          <w:tcPr>
            <w:tcW w:w="4962" w:type="dxa"/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4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nazwa i adres współpracującej jednostki endoskopowej ze wskazaniem:</w:t>
            </w:r>
          </w:p>
          <w:p w:rsidR="00294D58" w:rsidRPr="00294D58" w:rsidRDefault="00294D58" w:rsidP="00294D58">
            <w:pPr>
              <w:spacing w:before="4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- liczby badań </w:t>
            </w:r>
            <w:proofErr w:type="spellStart"/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kolonoskopowych</w:t>
            </w:r>
            <w:proofErr w:type="spellEnd"/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 wykonanych w jednostce w roku 2017 </w:t>
            </w:r>
          </w:p>
          <w:p w:rsidR="00294D58" w:rsidRPr="00294D58" w:rsidRDefault="00294D58" w:rsidP="00294D58">
            <w:pPr>
              <w:spacing w:before="4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- czy pracownia prowadzi badania gastroskopowe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4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nazwa i adres współpracującego zakładu/pracowni patologii (patomorfologii) – w zakresie badań immunohistochemicznych (jeśli takie są wykonywane)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4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 xml:space="preserve">współpraca z ginekologiem: nazwa i adres jednostki, wyposażenie do badań (USG </w:t>
            </w:r>
            <w:proofErr w:type="spellStart"/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przezpochwowe</w:t>
            </w:r>
            <w:proofErr w:type="spellEnd"/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, USG dopplerowskie)</w:t>
            </w:r>
          </w:p>
        </w:tc>
        <w:tc>
          <w:tcPr>
            <w:tcW w:w="4962" w:type="dxa"/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4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nazwa i adres palcówki do której będą kierowani chorzy, u których rozpoznano raki jelita grubego, duże polipy w jelicie grubym, raki  jajnika i trzonu macicy,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  <w:tr w:rsidR="00294D58" w:rsidRPr="00294D58" w:rsidTr="00483D15">
        <w:trPr>
          <w:trHeight w:val="4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4D58" w:rsidRPr="00294D58" w:rsidRDefault="00294D58" w:rsidP="00294D58">
            <w:pPr>
              <w:numPr>
                <w:ilvl w:val="0"/>
                <w:numId w:val="1"/>
              </w:numPr>
              <w:spacing w:before="40"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lang w:eastAsia="pl-PL"/>
              </w:rPr>
              <w:t>liczba pierwszorazowych chorych na raka jelita grubego, z polipami jelitowymi i na raka błony śluzowej trzonu macicy leczonych w 2017 roku w placówce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8" w:rsidRPr="00294D58" w:rsidRDefault="00294D58" w:rsidP="00294D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D58">
              <w:rPr>
                <w:rFonts w:ascii="Times New Roman" w:eastAsia="Times New Roman" w:hAnsi="Times New Roman" w:cs="Times New Roman"/>
                <w:i/>
                <w:lang w:eastAsia="pl-PL"/>
              </w:rPr>
              <w:t>Wskazać dane zgodnie z wymaganiem</w:t>
            </w:r>
          </w:p>
        </w:tc>
      </w:tr>
    </w:tbl>
    <w:p w:rsidR="00294D58" w:rsidRPr="00294D58" w:rsidRDefault="00294D58" w:rsidP="00294D5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94D58" w:rsidRPr="00294D58" w:rsidRDefault="00294D58" w:rsidP="00294D5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94D5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* właściwe zaznaczyć „X”</w:t>
      </w:r>
    </w:p>
    <w:p w:rsidR="00294D58" w:rsidRPr="00294D58" w:rsidRDefault="00294D58" w:rsidP="00294D58">
      <w:pPr>
        <w:tabs>
          <w:tab w:val="left" w:pos="3686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D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294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</w:t>
      </w:r>
    </w:p>
    <w:p w:rsidR="00294D58" w:rsidRPr="00294D58" w:rsidRDefault="00294D58" w:rsidP="00294D58">
      <w:pPr>
        <w:tabs>
          <w:tab w:val="left" w:pos="709"/>
          <w:tab w:val="left" w:pos="411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</w:t>
      </w:r>
      <w:r w:rsidRPr="00294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Pieczęć i podpis osoby lub osób uprawnionych </w:t>
      </w:r>
    </w:p>
    <w:p w:rsidR="00294D58" w:rsidRPr="00294D58" w:rsidRDefault="00294D58" w:rsidP="00294D58">
      <w:pPr>
        <w:tabs>
          <w:tab w:val="left" w:pos="4962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D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reprezentowania oferenta </w:t>
      </w: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068B8"/>
    <w:multiLevelType w:val="hybridMultilevel"/>
    <w:tmpl w:val="368848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58"/>
    <w:rsid w:val="00294D58"/>
    <w:rsid w:val="006B04BD"/>
    <w:rsid w:val="00B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FBE0B-763B-4275-B9DD-8ADA653A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3577</Characters>
  <Application>Microsoft Office Word</Application>
  <DocSecurity>0</DocSecurity>
  <Lines>29</Lines>
  <Paragraphs>8</Paragraphs>
  <ScaleCrop>false</ScaleCrop>
  <Company>Ministerstwo Zdrowia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2018-04-12T15:08:00Z</dcterms:created>
  <dcterms:modified xsi:type="dcterms:W3CDTF">2018-04-16T10:50:00Z</dcterms:modified>
</cp:coreProperties>
</file>