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02" w:rsidRPr="00C66D2A" w:rsidRDefault="001C2702" w:rsidP="00C66D2A">
      <w:pPr>
        <w:rPr>
          <w:rFonts w:ascii="Arial" w:hAnsi="Arial" w:cs="Arial"/>
        </w:rPr>
      </w:pPr>
    </w:p>
    <w:p w:rsidR="0015295C" w:rsidRDefault="0015295C" w:rsidP="00C66D2A">
      <w:pPr>
        <w:rPr>
          <w:rFonts w:ascii="Arial" w:hAnsi="Arial" w:cs="Arial"/>
        </w:rPr>
      </w:pPr>
    </w:p>
    <w:p w:rsidR="004047C7" w:rsidRPr="00C66D2A" w:rsidRDefault="004047C7" w:rsidP="00C66D2A">
      <w:pPr>
        <w:rPr>
          <w:rFonts w:ascii="Arial" w:hAnsi="Arial" w:cs="Arial"/>
        </w:rPr>
      </w:pPr>
    </w:p>
    <w:p w:rsidR="00D073CB" w:rsidRPr="00052018" w:rsidRDefault="001A4D91" w:rsidP="00973D15">
      <w:pPr>
        <w:rPr>
          <w:rFonts w:ascii="Arial" w:hAnsi="Arial" w:cs="Arial"/>
          <w:b/>
          <w:color w:val="E31837"/>
          <w:sz w:val="40"/>
          <w:szCs w:val="40"/>
        </w:rPr>
      </w:pPr>
      <w:r w:rsidRPr="00052018">
        <w:rPr>
          <w:rFonts w:ascii="Arial" w:hAnsi="Arial" w:cs="Arial"/>
          <w:b/>
          <w:color w:val="E31837"/>
          <w:sz w:val="40"/>
          <w:szCs w:val="40"/>
        </w:rPr>
        <w:t>INFORMACJA KWARTALNA O</w:t>
      </w:r>
      <w:r w:rsidR="00E86C32" w:rsidRPr="00052018">
        <w:rPr>
          <w:rFonts w:ascii="Arial" w:hAnsi="Arial" w:cs="Arial"/>
          <w:b/>
          <w:color w:val="E31837"/>
          <w:sz w:val="40"/>
          <w:szCs w:val="40"/>
        </w:rPr>
        <w:t> </w:t>
      </w:r>
      <w:r w:rsidRPr="00052018">
        <w:rPr>
          <w:rFonts w:ascii="Arial" w:hAnsi="Arial" w:cs="Arial"/>
          <w:b/>
          <w:color w:val="E31837"/>
          <w:sz w:val="40"/>
          <w:szCs w:val="40"/>
        </w:rPr>
        <w:t xml:space="preserve">STANIE FINANSÓW PUBLICZNYCH </w:t>
      </w:r>
      <w:r w:rsidR="00D073CB" w:rsidRPr="00052018">
        <w:rPr>
          <w:rFonts w:ascii="Arial" w:hAnsi="Arial" w:cs="Arial"/>
          <w:b/>
          <w:color w:val="E31837"/>
          <w:sz w:val="40"/>
          <w:szCs w:val="40"/>
        </w:rPr>
        <w:t>W I KWARTALE 201</w:t>
      </w:r>
      <w:r w:rsidR="007E05E7">
        <w:rPr>
          <w:rFonts w:ascii="Arial" w:hAnsi="Arial" w:cs="Arial"/>
          <w:b/>
          <w:color w:val="E31837"/>
          <w:sz w:val="40"/>
          <w:szCs w:val="40"/>
        </w:rPr>
        <w:t>9</w:t>
      </w:r>
      <w:r w:rsidR="00D073CB" w:rsidRPr="00052018">
        <w:rPr>
          <w:rFonts w:ascii="Arial" w:hAnsi="Arial" w:cs="Arial"/>
          <w:b/>
          <w:color w:val="E31837"/>
          <w:sz w:val="40"/>
          <w:szCs w:val="40"/>
        </w:rPr>
        <w:t xml:space="preserve"> r.</w:t>
      </w:r>
      <w:r w:rsidR="0026261D" w:rsidRPr="00052018">
        <w:rPr>
          <w:rFonts w:ascii="Arial" w:hAnsi="Arial" w:cs="Arial"/>
          <w:b/>
          <w:color w:val="E31837"/>
          <w:sz w:val="40"/>
          <w:szCs w:val="40"/>
        </w:rPr>
        <w:t xml:space="preserve"> </w:t>
      </w:r>
    </w:p>
    <w:p w:rsidR="00973D15" w:rsidRPr="00052018" w:rsidRDefault="00973D15" w:rsidP="00973D15">
      <w:pPr>
        <w:rPr>
          <w:rFonts w:ascii="Arial" w:hAnsi="Arial" w:cs="Arial"/>
          <w:b/>
          <w:color w:val="A6A6A6"/>
          <w:sz w:val="28"/>
          <w:szCs w:val="28"/>
        </w:rPr>
      </w:pPr>
      <w:r w:rsidRPr="00052018">
        <w:rPr>
          <w:rFonts w:ascii="Arial" w:hAnsi="Arial" w:cs="Arial"/>
          <w:b/>
          <w:color w:val="A6A6A6"/>
          <w:sz w:val="28"/>
          <w:szCs w:val="28"/>
        </w:rPr>
        <w:t xml:space="preserve">Nr </w:t>
      </w:r>
      <w:r w:rsidR="00D321D9">
        <w:rPr>
          <w:rFonts w:ascii="Arial" w:hAnsi="Arial" w:cs="Arial"/>
          <w:b/>
          <w:color w:val="A6A6A6"/>
          <w:sz w:val="28"/>
          <w:szCs w:val="28"/>
        </w:rPr>
        <w:t>3</w:t>
      </w:r>
      <w:r w:rsidRPr="00052018">
        <w:rPr>
          <w:rFonts w:ascii="Arial" w:hAnsi="Arial" w:cs="Arial"/>
          <w:b/>
          <w:color w:val="A6A6A6"/>
          <w:sz w:val="28"/>
          <w:szCs w:val="28"/>
        </w:rPr>
        <w:t xml:space="preserve"> </w:t>
      </w:r>
      <w:r w:rsidR="001A4D91" w:rsidRPr="00052018">
        <w:rPr>
          <w:rFonts w:ascii="Arial" w:hAnsi="Arial" w:cs="Arial"/>
          <w:b/>
          <w:color w:val="A6A6A6"/>
          <w:sz w:val="28"/>
          <w:szCs w:val="28"/>
        </w:rPr>
        <w:t>/</w:t>
      </w:r>
      <w:r w:rsidRPr="00052018">
        <w:rPr>
          <w:rFonts w:ascii="Arial" w:hAnsi="Arial" w:cs="Arial"/>
          <w:b/>
          <w:color w:val="A6A6A6"/>
          <w:sz w:val="28"/>
          <w:szCs w:val="28"/>
        </w:rPr>
        <w:t xml:space="preserve"> 20</w:t>
      </w:r>
      <w:r w:rsidR="001A4D91" w:rsidRPr="00052018">
        <w:rPr>
          <w:rFonts w:ascii="Arial" w:hAnsi="Arial" w:cs="Arial"/>
          <w:b/>
          <w:color w:val="A6A6A6"/>
          <w:sz w:val="28"/>
          <w:szCs w:val="28"/>
        </w:rPr>
        <w:t>1</w:t>
      </w:r>
      <w:r w:rsidR="00052018" w:rsidRPr="00052018">
        <w:rPr>
          <w:rFonts w:ascii="Arial" w:hAnsi="Arial" w:cs="Arial"/>
          <w:b/>
          <w:color w:val="A6A6A6"/>
          <w:sz w:val="28"/>
          <w:szCs w:val="28"/>
        </w:rPr>
        <w:t>9</w:t>
      </w:r>
    </w:p>
    <w:p w:rsidR="00E64CDB" w:rsidRPr="00052018" w:rsidRDefault="00C66D2A" w:rsidP="00E64CDB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ADAFB2"/>
          <w:sz w:val="24"/>
          <w:szCs w:val="24"/>
          <w:highlight w:val="yellow"/>
        </w:rPr>
      </w:pPr>
      <w:bookmarkStart w:id="0" w:name="_GoBack"/>
      <w:bookmarkEnd w:id="0"/>
      <w:r w:rsidRPr="00052018">
        <w:rPr>
          <w:rFonts w:ascii="Arial" w:hAnsi="Arial" w:cs="Arial"/>
          <w:color w:val="ADAFB2"/>
          <w:sz w:val="40"/>
          <w:szCs w:val="40"/>
          <w:highlight w:val="yellow"/>
        </w:rPr>
        <w:br/>
      </w:r>
    </w:p>
    <w:p w:rsidR="00E64CDB" w:rsidRPr="005923C7" w:rsidRDefault="00E64CDB" w:rsidP="00C341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 xml:space="preserve">Podstawowym celem niniejszej </w:t>
      </w:r>
      <w:r w:rsidRPr="005923C7">
        <w:rPr>
          <w:rFonts w:ascii="Arial" w:hAnsi="Arial" w:cs="Arial"/>
          <w:b/>
          <w:i/>
          <w:color w:val="ADAFB2"/>
          <w:sz w:val="24"/>
          <w:szCs w:val="24"/>
        </w:rPr>
        <w:t xml:space="preserve">Informacji </w:t>
      </w:r>
      <w:r w:rsidR="00594840" w:rsidRPr="005923C7">
        <w:rPr>
          <w:rFonts w:ascii="Arial" w:hAnsi="Arial" w:cs="Arial"/>
          <w:b/>
          <w:i/>
          <w:color w:val="ADAFB2"/>
          <w:sz w:val="24"/>
          <w:szCs w:val="24"/>
        </w:rPr>
        <w:t>kwartalnej</w:t>
      </w:r>
      <w:r w:rsidR="00594840" w:rsidRPr="005923C7">
        <w:rPr>
          <w:rFonts w:ascii="Arial" w:hAnsi="Arial" w:cs="Arial"/>
          <w:b/>
          <w:color w:val="ADAFB2"/>
          <w:sz w:val="24"/>
          <w:szCs w:val="24"/>
        </w:rPr>
        <w:t xml:space="preserve"> </w:t>
      </w:r>
      <w:r w:rsidRPr="005923C7">
        <w:rPr>
          <w:rFonts w:ascii="Arial" w:hAnsi="Arial" w:cs="Arial"/>
          <w:b/>
          <w:color w:val="ADAFB2"/>
          <w:sz w:val="24"/>
          <w:szCs w:val="24"/>
        </w:rPr>
        <w:t>jest zaprezentowanie dostępnych informacji na temat sektora finansów publicznych:</w:t>
      </w:r>
    </w:p>
    <w:p w:rsidR="00E64CDB" w:rsidRPr="005923C7" w:rsidRDefault="00E64CDB" w:rsidP="001F225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>•</w:t>
      </w:r>
      <w:r w:rsidRPr="005923C7">
        <w:rPr>
          <w:rFonts w:ascii="Arial" w:hAnsi="Arial" w:cs="Arial"/>
          <w:b/>
          <w:color w:val="ADAFB2"/>
          <w:sz w:val="24"/>
          <w:szCs w:val="24"/>
        </w:rPr>
        <w:tab/>
        <w:t>według obowiązującego w Un</w:t>
      </w:r>
      <w:r w:rsidR="002A17A6" w:rsidRPr="005923C7">
        <w:rPr>
          <w:rFonts w:ascii="Arial" w:hAnsi="Arial" w:cs="Arial"/>
          <w:b/>
          <w:color w:val="ADAFB2"/>
          <w:sz w:val="24"/>
          <w:szCs w:val="24"/>
        </w:rPr>
        <w:t>ii Europejskiej standardu ESA2010</w:t>
      </w:r>
      <w:r w:rsidRPr="005923C7">
        <w:rPr>
          <w:rFonts w:ascii="Arial" w:hAnsi="Arial" w:cs="Arial"/>
          <w:b/>
          <w:color w:val="ADAFB2"/>
          <w:sz w:val="24"/>
          <w:szCs w:val="24"/>
        </w:rPr>
        <w:t xml:space="preserve"> (dane kwartalne obejmujące cały sektor instytucji rządowych i samorządowych),</w:t>
      </w:r>
    </w:p>
    <w:p w:rsidR="00E64CDB" w:rsidRPr="005923C7" w:rsidRDefault="00E64CDB" w:rsidP="001F225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>•</w:t>
      </w:r>
      <w:r w:rsidRPr="005923C7">
        <w:rPr>
          <w:rFonts w:ascii="Arial" w:hAnsi="Arial" w:cs="Arial"/>
          <w:b/>
          <w:color w:val="ADAFB2"/>
          <w:sz w:val="24"/>
          <w:szCs w:val="24"/>
        </w:rPr>
        <w:tab/>
        <w:t xml:space="preserve">według standardu Międzynarodowego Funduszu Walutowego GFSM2001 (dane miesięczne obejmujące szczebel centralny, </w:t>
      </w:r>
      <w:r w:rsidR="00D023C3" w:rsidRPr="005923C7">
        <w:rPr>
          <w:rFonts w:ascii="Arial" w:hAnsi="Arial" w:cs="Arial"/>
          <w:b/>
          <w:color w:val="ADAFB2"/>
          <w:sz w:val="24"/>
          <w:szCs w:val="24"/>
        </w:rPr>
        <w:t xml:space="preserve">natomiast </w:t>
      </w:r>
      <w:r w:rsidRPr="005923C7">
        <w:rPr>
          <w:rFonts w:ascii="Arial" w:hAnsi="Arial" w:cs="Arial"/>
          <w:b/>
          <w:color w:val="ADAFB2"/>
          <w:sz w:val="24"/>
          <w:szCs w:val="24"/>
        </w:rPr>
        <w:t>dane roczne obejmujące cały sektor instytucji rządowych i samorządowych),</w:t>
      </w:r>
    </w:p>
    <w:p w:rsidR="00C66D2A" w:rsidRPr="005923C7" w:rsidRDefault="00E64CDB" w:rsidP="001F2255">
      <w:pPr>
        <w:widowControl w:val="0"/>
        <w:tabs>
          <w:tab w:val="left" w:pos="426"/>
        </w:tabs>
        <w:autoSpaceDE w:val="0"/>
        <w:autoSpaceDN w:val="0"/>
        <w:adjustRightInd w:val="0"/>
        <w:spacing w:after="28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>•</w:t>
      </w:r>
      <w:r w:rsidRPr="005923C7">
        <w:rPr>
          <w:rFonts w:ascii="Arial" w:hAnsi="Arial" w:cs="Arial"/>
          <w:b/>
          <w:color w:val="ADAFB2"/>
          <w:sz w:val="24"/>
          <w:szCs w:val="24"/>
        </w:rPr>
        <w:tab/>
        <w:t>według przepisów krajowych (dane miesięczne o</w:t>
      </w:r>
      <w:r w:rsidR="00CA1B2C" w:rsidRPr="005923C7">
        <w:rPr>
          <w:rFonts w:ascii="Arial" w:hAnsi="Arial" w:cs="Arial"/>
          <w:b/>
          <w:color w:val="ADAFB2"/>
          <w:sz w:val="24"/>
          <w:szCs w:val="24"/>
        </w:rPr>
        <w:t> </w:t>
      </w:r>
      <w:r w:rsidRPr="005923C7">
        <w:rPr>
          <w:rFonts w:ascii="Arial" w:hAnsi="Arial" w:cs="Arial"/>
          <w:b/>
          <w:color w:val="ADAFB2"/>
          <w:sz w:val="24"/>
          <w:szCs w:val="24"/>
        </w:rPr>
        <w:t>budżecie państwa</w:t>
      </w:r>
      <w:r w:rsidR="001F2255" w:rsidRPr="005923C7">
        <w:rPr>
          <w:rFonts w:ascii="Arial" w:hAnsi="Arial" w:cs="Arial"/>
          <w:b/>
          <w:color w:val="ADAFB2"/>
          <w:sz w:val="24"/>
          <w:szCs w:val="24"/>
        </w:rPr>
        <w:t xml:space="preserve">, Funduszu Ubezpieczeń Społecznych, Funduszu Emerytalno-Rentowym, Funduszu Pracy, Narodowym Funduszu </w:t>
      </w:r>
      <w:r w:rsidR="00562706" w:rsidRPr="005923C7">
        <w:rPr>
          <w:rFonts w:ascii="Arial" w:hAnsi="Arial" w:cs="Arial"/>
          <w:b/>
          <w:color w:val="ADAFB2"/>
          <w:sz w:val="24"/>
          <w:szCs w:val="24"/>
        </w:rPr>
        <w:t>Zdrowia</w:t>
      </w:r>
      <w:r w:rsidR="001F2255" w:rsidRPr="005923C7">
        <w:rPr>
          <w:rFonts w:ascii="Arial" w:hAnsi="Arial" w:cs="Arial"/>
          <w:b/>
          <w:color w:val="ADAFB2"/>
          <w:sz w:val="24"/>
          <w:szCs w:val="24"/>
        </w:rPr>
        <w:t>)</w:t>
      </w:r>
      <w:r w:rsidRPr="005923C7">
        <w:rPr>
          <w:rFonts w:ascii="Arial" w:hAnsi="Arial" w:cs="Arial"/>
          <w:b/>
          <w:color w:val="ADAFB2"/>
          <w:sz w:val="24"/>
          <w:szCs w:val="24"/>
        </w:rPr>
        <w:t>.</w:t>
      </w:r>
    </w:p>
    <w:p w:rsidR="00973D15" w:rsidRPr="005923C7" w:rsidRDefault="00973D15" w:rsidP="003E667E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:rsidR="00E64CDB" w:rsidRPr="005923C7" w:rsidRDefault="00E64CDB" w:rsidP="00DD73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 xml:space="preserve">Departament Polityki </w:t>
      </w:r>
      <w:r w:rsidR="00C23366" w:rsidRPr="005923C7">
        <w:rPr>
          <w:rFonts w:ascii="Arial" w:hAnsi="Arial" w:cs="Arial"/>
          <w:b/>
          <w:color w:val="ADAFB2"/>
          <w:sz w:val="24"/>
          <w:szCs w:val="24"/>
        </w:rPr>
        <w:t>Makroekonomicznej</w:t>
      </w:r>
    </w:p>
    <w:p w:rsidR="00E210E5" w:rsidRPr="005923C7" w:rsidRDefault="00E64CDB" w:rsidP="00E210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>Departament Długu Publicznego</w:t>
      </w:r>
      <w:r w:rsidR="00E210E5" w:rsidRPr="005923C7">
        <w:rPr>
          <w:rFonts w:ascii="Arial" w:hAnsi="Arial" w:cs="Arial"/>
          <w:b/>
          <w:color w:val="ADAFB2"/>
          <w:sz w:val="24"/>
          <w:szCs w:val="24"/>
        </w:rPr>
        <w:t xml:space="preserve"> </w:t>
      </w:r>
    </w:p>
    <w:p w:rsidR="005774A8" w:rsidRPr="00052018" w:rsidRDefault="005774A8" w:rsidP="00D023C3">
      <w:pPr>
        <w:widowControl w:val="0"/>
        <w:autoSpaceDE w:val="0"/>
        <w:autoSpaceDN w:val="0"/>
        <w:adjustRightInd w:val="0"/>
        <w:spacing w:after="280" w:line="360" w:lineRule="auto"/>
        <w:jc w:val="center"/>
        <w:rPr>
          <w:rFonts w:ascii="Arial" w:hAnsi="Arial" w:cs="Arial"/>
          <w:b/>
          <w:color w:val="ADAFB2"/>
          <w:sz w:val="24"/>
          <w:szCs w:val="24"/>
          <w:highlight w:val="yellow"/>
        </w:rPr>
        <w:sectPr w:rsidR="005774A8" w:rsidRPr="00052018" w:rsidSect="00EC4394">
          <w:footerReference w:type="default" r:id="rId9"/>
          <w:headerReference w:type="first" r:id="rId10"/>
          <w:pgSz w:w="11907" w:h="16839" w:code="9"/>
          <w:pgMar w:top="1418" w:right="992" w:bottom="1134" w:left="3686" w:header="709" w:footer="975" w:gutter="0"/>
          <w:cols w:space="708"/>
          <w:titlePg/>
          <w:docGrid w:linePitch="360"/>
        </w:sectPr>
      </w:pPr>
    </w:p>
    <w:p w:rsidR="00594840" w:rsidRPr="005923C7" w:rsidRDefault="00594840" w:rsidP="0021419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lastRenderedPageBreak/>
        <w:t xml:space="preserve">Mając na uwadze zasadę jawności i przejrzystości finansów publicznych publikujemy Informację kwartalną o stanie finansów publicznych. Niniejszy numer zawiera informacje dotyczące </w:t>
      </w:r>
      <w:r w:rsidRPr="005923C7">
        <w:rPr>
          <w:rFonts w:ascii="Arial" w:hAnsi="Arial" w:cs="Arial"/>
          <w:b/>
          <w:color w:val="333333"/>
          <w:sz w:val="24"/>
          <w:szCs w:val="24"/>
        </w:rPr>
        <w:t>I</w:t>
      </w:r>
      <w:r w:rsidR="0009641C" w:rsidRPr="005923C7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Pr="005923C7">
        <w:rPr>
          <w:rFonts w:ascii="Arial" w:hAnsi="Arial" w:cs="Arial"/>
          <w:b/>
          <w:color w:val="333333"/>
          <w:sz w:val="24"/>
          <w:szCs w:val="24"/>
        </w:rPr>
        <w:t>kwartału 201</w:t>
      </w:r>
      <w:r w:rsidR="004F0702">
        <w:rPr>
          <w:rFonts w:ascii="Arial" w:hAnsi="Arial" w:cs="Arial"/>
          <w:b/>
          <w:color w:val="333333"/>
          <w:sz w:val="24"/>
          <w:szCs w:val="24"/>
        </w:rPr>
        <w:t>9</w:t>
      </w:r>
      <w:r w:rsidR="00C23366" w:rsidRPr="005923C7">
        <w:rPr>
          <w:rFonts w:ascii="Arial" w:hAnsi="Arial" w:cs="Arial"/>
          <w:b/>
          <w:color w:val="333333"/>
          <w:sz w:val="24"/>
          <w:szCs w:val="24"/>
        </w:rPr>
        <w:t> r</w:t>
      </w:r>
      <w:r w:rsidR="0009641C" w:rsidRPr="005923C7">
        <w:rPr>
          <w:rFonts w:ascii="Arial" w:hAnsi="Arial" w:cs="Arial"/>
          <w:b/>
          <w:color w:val="333333"/>
          <w:sz w:val="24"/>
          <w:szCs w:val="24"/>
        </w:rPr>
        <w:t>.</w:t>
      </w:r>
      <w:r w:rsidRPr="005923C7">
        <w:rPr>
          <w:rFonts w:ascii="Arial" w:hAnsi="Arial" w:cs="Arial"/>
          <w:b/>
          <w:color w:val="ADAFB2"/>
          <w:sz w:val="24"/>
          <w:szCs w:val="24"/>
        </w:rPr>
        <w:t xml:space="preserve"> </w:t>
      </w:r>
    </w:p>
    <w:p w:rsidR="008101FD" w:rsidRPr="00052018" w:rsidRDefault="008101FD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:rsidR="00E210E5" w:rsidRPr="00052018" w:rsidRDefault="00E210E5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:rsidR="00E210E5" w:rsidRPr="00052018" w:rsidRDefault="00E210E5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:rsidR="00E210E5" w:rsidRPr="00052018" w:rsidRDefault="00E210E5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:rsidR="00690F9E" w:rsidRPr="00052018" w:rsidRDefault="00690F9E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:rsidR="00E210E5" w:rsidRPr="004F0702" w:rsidRDefault="00E210E5" w:rsidP="00594840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E31837"/>
          <w:sz w:val="28"/>
          <w:szCs w:val="28"/>
          <w:highlight w:val="yellow"/>
        </w:rPr>
      </w:pPr>
      <w:r w:rsidRPr="005923C7">
        <w:rPr>
          <w:rFonts w:ascii="Arial" w:hAnsi="Arial" w:cs="Arial"/>
          <w:b/>
          <w:color w:val="E31837"/>
          <w:sz w:val="28"/>
          <w:szCs w:val="28"/>
        </w:rPr>
        <w:t xml:space="preserve">Podstawowe wskaźniki stanu sektora instytucji </w:t>
      </w:r>
      <w:r w:rsidRPr="00004215">
        <w:rPr>
          <w:rFonts w:ascii="Arial" w:hAnsi="Arial" w:cs="Arial"/>
          <w:b/>
          <w:color w:val="E31837"/>
          <w:sz w:val="28"/>
          <w:szCs w:val="28"/>
        </w:rPr>
        <w:t>rządowych i samorządo</w:t>
      </w:r>
      <w:r w:rsidR="00BC5828" w:rsidRPr="00004215">
        <w:rPr>
          <w:rFonts w:ascii="Arial" w:hAnsi="Arial" w:cs="Arial"/>
          <w:b/>
          <w:color w:val="E31837"/>
          <w:sz w:val="28"/>
          <w:szCs w:val="28"/>
        </w:rPr>
        <w:t xml:space="preserve">wych wg ESA2010 w </w:t>
      </w:r>
      <w:r w:rsidRPr="00004215">
        <w:rPr>
          <w:rFonts w:ascii="Arial" w:hAnsi="Arial" w:cs="Arial"/>
          <w:b/>
          <w:color w:val="E31837"/>
          <w:sz w:val="28"/>
          <w:szCs w:val="28"/>
        </w:rPr>
        <w:t xml:space="preserve">I kw. </w:t>
      </w:r>
      <w:r w:rsidR="007E1B4D" w:rsidRPr="00004215">
        <w:rPr>
          <w:rFonts w:ascii="Arial" w:hAnsi="Arial" w:cs="Arial"/>
          <w:b/>
          <w:color w:val="E31837"/>
          <w:sz w:val="28"/>
          <w:szCs w:val="28"/>
        </w:rPr>
        <w:t>201</w:t>
      </w:r>
      <w:r w:rsidR="007E05E7" w:rsidRPr="00004215">
        <w:rPr>
          <w:rFonts w:ascii="Arial" w:hAnsi="Arial" w:cs="Arial"/>
          <w:b/>
          <w:color w:val="E31837"/>
          <w:sz w:val="28"/>
          <w:szCs w:val="28"/>
        </w:rPr>
        <w:t>9</w:t>
      </w:r>
      <w:r w:rsidRPr="00004215">
        <w:rPr>
          <w:rFonts w:ascii="Arial" w:hAnsi="Arial" w:cs="Arial"/>
          <w:b/>
          <w:color w:val="E31837"/>
          <w:sz w:val="28"/>
          <w:szCs w:val="28"/>
        </w:rPr>
        <w:t> r.</w:t>
      </w:r>
    </w:p>
    <w:p w:rsidR="00E210E5" w:rsidRPr="007140F6" w:rsidRDefault="00E210E5" w:rsidP="00026C8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7140F6">
        <w:rPr>
          <w:rFonts w:ascii="Arial" w:hAnsi="Arial" w:cs="Arial"/>
          <w:b/>
          <w:color w:val="ADAFB2"/>
          <w:sz w:val="24"/>
          <w:szCs w:val="24"/>
        </w:rPr>
        <w:t xml:space="preserve">Wynik </w:t>
      </w:r>
      <w:r w:rsidR="00BC5828" w:rsidRPr="007140F6">
        <w:rPr>
          <w:rFonts w:ascii="Arial" w:hAnsi="Arial" w:cs="Arial"/>
          <w:b/>
          <w:color w:val="ADAFB2"/>
          <w:sz w:val="24"/>
          <w:szCs w:val="24"/>
        </w:rPr>
        <w:t xml:space="preserve">w I kw. </w:t>
      </w:r>
      <w:r w:rsidRPr="007140F6">
        <w:rPr>
          <w:rFonts w:ascii="Arial" w:hAnsi="Arial" w:cs="Arial"/>
          <w:b/>
          <w:color w:val="ADAFB2"/>
          <w:sz w:val="24"/>
          <w:szCs w:val="24"/>
        </w:rPr>
        <w:t xml:space="preserve">wyniósł </w:t>
      </w:r>
      <w:r w:rsidR="000061C6" w:rsidRPr="007140F6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7140F6" w:rsidRPr="007140F6">
        <w:rPr>
          <w:rFonts w:ascii="Arial" w:hAnsi="Arial" w:cs="Arial"/>
          <w:b/>
          <w:color w:val="E31837"/>
          <w:sz w:val="24"/>
          <w:szCs w:val="24"/>
        </w:rPr>
        <w:t xml:space="preserve">14,5 </w:t>
      </w:r>
      <w:r w:rsidR="007E1B4D" w:rsidRPr="007140F6">
        <w:rPr>
          <w:rFonts w:ascii="Arial" w:hAnsi="Arial" w:cs="Arial"/>
          <w:b/>
          <w:color w:val="E31837"/>
          <w:sz w:val="24"/>
          <w:szCs w:val="24"/>
        </w:rPr>
        <w:t xml:space="preserve">mld zł </w:t>
      </w:r>
      <w:r w:rsidR="007140F6" w:rsidRPr="007140F6">
        <w:rPr>
          <w:rFonts w:ascii="Arial" w:hAnsi="Arial" w:cs="Arial"/>
          <w:b/>
          <w:color w:val="E31837"/>
          <w:sz w:val="24"/>
          <w:szCs w:val="24"/>
        </w:rPr>
        <w:t>(2,8</w:t>
      </w:r>
      <w:r w:rsidR="002E22EC" w:rsidRPr="007140F6">
        <w:rPr>
          <w:rFonts w:ascii="Arial" w:hAnsi="Arial" w:cs="Arial"/>
          <w:b/>
          <w:color w:val="E31837"/>
          <w:sz w:val="24"/>
          <w:szCs w:val="24"/>
        </w:rPr>
        <w:t>%PKB)</w:t>
      </w:r>
    </w:p>
    <w:p w:rsidR="00E210E5" w:rsidRPr="004B0BE5" w:rsidRDefault="003F725B" w:rsidP="004B0B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4B0BE5">
        <w:rPr>
          <w:rFonts w:ascii="Arial" w:hAnsi="Arial" w:cs="Arial"/>
          <w:b/>
          <w:color w:val="ADAFB2"/>
          <w:sz w:val="24"/>
          <w:szCs w:val="24"/>
        </w:rPr>
        <w:t>Dł</w:t>
      </w:r>
      <w:r w:rsidR="00E210E5" w:rsidRPr="004B0BE5">
        <w:rPr>
          <w:rFonts w:ascii="Arial" w:hAnsi="Arial" w:cs="Arial"/>
          <w:b/>
          <w:color w:val="ADAFB2"/>
          <w:sz w:val="24"/>
          <w:szCs w:val="24"/>
        </w:rPr>
        <w:t xml:space="preserve">ug EDP </w:t>
      </w:r>
      <w:r w:rsidR="00A700BC" w:rsidRPr="004B0BE5">
        <w:rPr>
          <w:rFonts w:ascii="Arial" w:hAnsi="Arial" w:cs="Arial"/>
          <w:b/>
          <w:color w:val="ADAFB2"/>
          <w:sz w:val="24"/>
          <w:szCs w:val="24"/>
        </w:rPr>
        <w:t xml:space="preserve">na koniec </w:t>
      </w:r>
      <w:r w:rsidR="007E05E7" w:rsidRPr="004B0BE5">
        <w:rPr>
          <w:rFonts w:ascii="Arial" w:hAnsi="Arial" w:cs="Arial"/>
          <w:b/>
          <w:color w:val="ADAFB2"/>
          <w:sz w:val="24"/>
          <w:szCs w:val="24"/>
        </w:rPr>
        <w:t xml:space="preserve">I kw. </w:t>
      </w:r>
      <w:r w:rsidR="00A700BC" w:rsidRPr="004B0BE5">
        <w:rPr>
          <w:rFonts w:ascii="Arial" w:hAnsi="Arial" w:cs="Arial"/>
          <w:b/>
          <w:color w:val="ADAFB2"/>
          <w:sz w:val="24"/>
          <w:szCs w:val="24"/>
        </w:rPr>
        <w:t>201</w:t>
      </w:r>
      <w:r w:rsidR="007E05E7" w:rsidRPr="004B0BE5">
        <w:rPr>
          <w:rFonts w:ascii="Arial" w:hAnsi="Arial" w:cs="Arial"/>
          <w:b/>
          <w:color w:val="ADAFB2"/>
          <w:sz w:val="24"/>
          <w:szCs w:val="24"/>
        </w:rPr>
        <w:t>9</w:t>
      </w:r>
      <w:r w:rsidR="00A700BC" w:rsidRPr="004B0BE5">
        <w:rPr>
          <w:rFonts w:ascii="Arial" w:hAnsi="Arial" w:cs="Arial"/>
          <w:b/>
          <w:color w:val="ADAFB2"/>
          <w:sz w:val="24"/>
          <w:szCs w:val="24"/>
        </w:rPr>
        <w:t xml:space="preserve"> r. </w:t>
      </w:r>
      <w:r w:rsidR="00E210E5" w:rsidRPr="004B0BE5">
        <w:rPr>
          <w:rFonts w:ascii="Arial" w:hAnsi="Arial" w:cs="Arial"/>
          <w:b/>
          <w:color w:val="ADAFB2"/>
          <w:sz w:val="24"/>
          <w:szCs w:val="24"/>
        </w:rPr>
        <w:t xml:space="preserve">wyniósł </w:t>
      </w:r>
      <w:r w:rsidR="004B0BE5" w:rsidRPr="004B0BE5">
        <w:rPr>
          <w:rFonts w:ascii="Arial" w:hAnsi="Arial" w:cs="Arial"/>
          <w:b/>
          <w:color w:val="E31837"/>
          <w:sz w:val="24"/>
          <w:szCs w:val="24"/>
        </w:rPr>
        <w:t>1.054,9</w:t>
      </w:r>
      <w:r w:rsidR="00B74F34" w:rsidRPr="004B0BE5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D55FD4" w:rsidRPr="004B0BE5">
        <w:rPr>
          <w:rFonts w:ascii="Arial" w:hAnsi="Arial" w:cs="Arial"/>
          <w:b/>
          <w:color w:val="E31837"/>
          <w:sz w:val="24"/>
          <w:szCs w:val="24"/>
        </w:rPr>
        <w:t>mld zł (</w:t>
      </w:r>
      <w:r w:rsidR="00BF7964" w:rsidRPr="004B0BE5">
        <w:rPr>
          <w:rFonts w:ascii="Arial" w:hAnsi="Arial" w:cs="Arial"/>
          <w:b/>
          <w:color w:val="E31837"/>
          <w:sz w:val="24"/>
          <w:szCs w:val="24"/>
        </w:rPr>
        <w:t> </w:t>
      </w:r>
      <w:r w:rsidR="00190BCF">
        <w:rPr>
          <w:rFonts w:ascii="Arial" w:hAnsi="Arial" w:cs="Arial"/>
          <w:b/>
          <w:color w:val="E31837"/>
          <w:sz w:val="24"/>
          <w:szCs w:val="24"/>
        </w:rPr>
        <w:t>49,1</w:t>
      </w:r>
      <w:r w:rsidR="00C102A9" w:rsidRPr="004B0BE5">
        <w:rPr>
          <w:rFonts w:ascii="Arial" w:hAnsi="Arial" w:cs="Arial"/>
          <w:b/>
          <w:color w:val="E31837"/>
          <w:sz w:val="24"/>
          <w:szCs w:val="24"/>
        </w:rPr>
        <w:t>% PKB)</w:t>
      </w:r>
    </w:p>
    <w:p w:rsidR="003E0424" w:rsidRPr="004F0702" w:rsidRDefault="003E0424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:rsidR="00E210E5" w:rsidRPr="00977680" w:rsidRDefault="00E210E5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</w:rPr>
      </w:pPr>
    </w:p>
    <w:p w:rsidR="003E0424" w:rsidRPr="00977680" w:rsidRDefault="00594840" w:rsidP="00D80F1C">
      <w:pPr>
        <w:widowControl w:val="0"/>
        <w:autoSpaceDE w:val="0"/>
        <w:autoSpaceDN w:val="0"/>
        <w:adjustRightInd w:val="0"/>
        <w:spacing w:after="280" w:line="360" w:lineRule="auto"/>
        <w:jc w:val="both"/>
        <w:rPr>
          <w:rFonts w:ascii="Arial" w:hAnsi="Arial" w:cs="Arial"/>
          <w:b/>
          <w:color w:val="ADAFB2"/>
        </w:rPr>
      </w:pPr>
      <w:r w:rsidRPr="00977680">
        <w:rPr>
          <w:rFonts w:ascii="Arial" w:hAnsi="Arial" w:cs="Arial"/>
          <w:b/>
          <w:color w:val="ADAFB2"/>
          <w:sz w:val="20"/>
          <w:szCs w:val="20"/>
        </w:rPr>
        <w:t>Niniejszy materiał został opracowany wyłącznie w celach informacyjnych i</w:t>
      </w:r>
      <w:r w:rsidR="00CA1B2C" w:rsidRPr="00977680">
        <w:rPr>
          <w:rFonts w:ascii="Arial" w:hAnsi="Arial" w:cs="Arial"/>
          <w:b/>
          <w:color w:val="ADAFB2"/>
          <w:sz w:val="20"/>
          <w:szCs w:val="20"/>
        </w:rPr>
        <w:t> </w:t>
      </w:r>
      <w:r w:rsidRPr="00977680">
        <w:rPr>
          <w:rFonts w:ascii="Arial" w:hAnsi="Arial" w:cs="Arial"/>
          <w:b/>
          <w:color w:val="ADAFB2"/>
          <w:sz w:val="20"/>
          <w:szCs w:val="20"/>
        </w:rPr>
        <w:t>nie może być traktowany jako oferta lub rekomendacja do zawierania jakichkolwiek transakcji. Informacje zawarte w materiale pochodzą z</w:t>
      </w:r>
      <w:r w:rsidR="00CA1B2C" w:rsidRPr="00977680">
        <w:rPr>
          <w:rFonts w:ascii="Arial" w:hAnsi="Arial" w:cs="Arial"/>
          <w:b/>
          <w:color w:val="ADAFB2"/>
          <w:sz w:val="20"/>
          <w:szCs w:val="20"/>
        </w:rPr>
        <w:t> </w:t>
      </w:r>
      <w:r w:rsidRPr="00977680">
        <w:rPr>
          <w:rFonts w:ascii="Arial" w:hAnsi="Arial" w:cs="Arial"/>
          <w:b/>
          <w:color w:val="ADAFB2"/>
          <w:sz w:val="20"/>
          <w:szCs w:val="20"/>
        </w:rPr>
        <w:t>dostępnych, wiarygodnych źródeł, jednak  Ministerstwo Finansów nie może zagwarantować ich dokładności i pełności. Ministerstwo Finansów nie ponosi odpowiedzialności za skutki decyzji podjętych na podstawie informacji zawartych w niniejszym materiale. Niniejszy materiał może być wykorzystywany do opracowań własnych pod warunkiem powołania się na źródło.</w:t>
      </w:r>
      <w:r w:rsidR="00D80F1C" w:rsidRPr="00977680">
        <w:rPr>
          <w:rFonts w:ascii="Arial" w:hAnsi="Arial" w:cs="Arial"/>
          <w:b/>
          <w:color w:val="ADAFB2"/>
          <w:sz w:val="20"/>
          <w:szCs w:val="20"/>
        </w:rPr>
        <w:t xml:space="preserve"> </w:t>
      </w:r>
    </w:p>
    <w:p w:rsidR="005725A7" w:rsidRPr="004F0702" w:rsidRDefault="005725A7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  <w:sectPr w:rsidR="005725A7" w:rsidRPr="004F0702" w:rsidSect="00EC4394">
          <w:footerReference w:type="first" r:id="rId11"/>
          <w:pgSz w:w="11907" w:h="16839" w:code="9"/>
          <w:pgMar w:top="1418" w:right="992" w:bottom="1135" w:left="3686" w:header="709" w:footer="976" w:gutter="0"/>
          <w:cols w:space="708"/>
          <w:titlePg/>
          <w:docGrid w:linePitch="360"/>
        </w:sectPr>
      </w:pPr>
    </w:p>
    <w:p w:rsidR="003E0424" w:rsidRPr="004F0702" w:rsidRDefault="003E0424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:rsidR="00BF757A" w:rsidRPr="004F0702" w:rsidRDefault="00BF757A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:rsidR="00DE5957" w:rsidRPr="007F3038" w:rsidRDefault="00DE5957" w:rsidP="00DE5957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 w:rsidRPr="007F3038">
        <w:rPr>
          <w:rFonts w:ascii="Arial" w:hAnsi="Arial" w:cs="Arial"/>
          <w:b/>
          <w:color w:val="E31837"/>
          <w:sz w:val="28"/>
          <w:szCs w:val="28"/>
        </w:rPr>
        <w:t>SPIS TREŚCI</w:t>
      </w:r>
    </w:p>
    <w:p w:rsidR="007F3038" w:rsidRDefault="007F3038" w:rsidP="007F3038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noProof/>
          <w:color w:val="ADAFB2"/>
          <w:highlight w:val="yellow"/>
        </w:rPr>
      </w:pPr>
    </w:p>
    <w:p w:rsidR="007F3038" w:rsidRPr="007F3038" w:rsidRDefault="00A3676D" w:rsidP="007F3038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noProof/>
          <w:color w:val="ADAFB2"/>
        </w:rPr>
      </w:pPr>
      <w:r w:rsidRPr="0039404A">
        <w:rPr>
          <w:rStyle w:val="Hipercze"/>
          <w:rFonts w:ascii="Arial" w:hAnsi="Arial" w:cs="Arial"/>
          <w:b/>
          <w:noProof/>
          <w:color w:val="ADAFB2"/>
        </w:rPr>
        <w:fldChar w:fldCharType="begin"/>
      </w:r>
      <w:r w:rsidRPr="0039404A">
        <w:rPr>
          <w:rStyle w:val="Hipercze"/>
          <w:rFonts w:ascii="Arial" w:hAnsi="Arial" w:cs="Arial"/>
          <w:b/>
          <w:noProof/>
          <w:color w:val="ADAFB2"/>
        </w:rPr>
        <w:instrText xml:space="preserve"> TOC \o "1-3" \h \z \u </w:instrText>
      </w:r>
      <w:r w:rsidRPr="0039404A">
        <w:rPr>
          <w:rStyle w:val="Hipercze"/>
          <w:rFonts w:ascii="Arial" w:hAnsi="Arial" w:cs="Arial"/>
          <w:b/>
          <w:noProof/>
          <w:color w:val="ADAFB2"/>
        </w:rPr>
        <w:fldChar w:fldCharType="separate"/>
      </w:r>
      <w:hyperlink w:anchor="_Toc15028616" w:history="1">
        <w:r w:rsidR="007F3038" w:rsidRPr="007F3038">
          <w:rPr>
            <w:rStyle w:val="Hipercze"/>
            <w:rFonts w:ascii="Arial" w:hAnsi="Arial" w:cs="Arial"/>
            <w:b/>
            <w:noProof/>
            <w:color w:val="ADAFB2"/>
          </w:rPr>
          <w:t>1. Wynik, dochody oraz wydatki w I kw. 2019 r.</w:t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tab/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begin"/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instrText xml:space="preserve"> PAGEREF _Toc15028616 \h </w:instrText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separate"/>
        </w:r>
        <w:r w:rsidR="00FF4641">
          <w:rPr>
            <w:rStyle w:val="Hipercze"/>
            <w:rFonts w:ascii="Arial" w:hAnsi="Arial" w:cs="Arial"/>
            <w:b/>
            <w:noProof/>
            <w:webHidden/>
            <w:color w:val="ADAFB2"/>
          </w:rPr>
          <w:t>4</w:t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end"/>
        </w:r>
      </w:hyperlink>
    </w:p>
    <w:p w:rsidR="007F3038" w:rsidRPr="007F3038" w:rsidRDefault="00FF4641" w:rsidP="007F3038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noProof/>
          <w:color w:val="ADAFB2"/>
        </w:rPr>
      </w:pPr>
      <w:hyperlink w:anchor="_Toc15028617" w:history="1">
        <w:r w:rsidR="007F3038" w:rsidRPr="007F3038">
          <w:rPr>
            <w:rStyle w:val="Hipercze"/>
            <w:rFonts w:ascii="Arial" w:hAnsi="Arial" w:cs="Arial"/>
            <w:b/>
            <w:noProof/>
            <w:color w:val="ADAFB2"/>
          </w:rPr>
          <w:t>1.1. Wynik</w:t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tab/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begin"/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instrText xml:space="preserve"> PAGEREF _Toc15028617 \h </w:instrText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separate"/>
        </w:r>
        <w:r>
          <w:rPr>
            <w:rStyle w:val="Hipercze"/>
            <w:rFonts w:ascii="Arial" w:hAnsi="Arial" w:cs="Arial"/>
            <w:b/>
            <w:noProof/>
            <w:webHidden/>
            <w:color w:val="ADAFB2"/>
          </w:rPr>
          <w:t>4</w:t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end"/>
        </w:r>
      </w:hyperlink>
    </w:p>
    <w:p w:rsidR="007F3038" w:rsidRPr="007F3038" w:rsidRDefault="00FF4641" w:rsidP="007F3038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noProof/>
          <w:color w:val="ADAFB2"/>
        </w:rPr>
      </w:pPr>
      <w:hyperlink w:anchor="_Toc15028618" w:history="1">
        <w:r w:rsidR="007F3038" w:rsidRPr="007F3038">
          <w:rPr>
            <w:rStyle w:val="Hipercze"/>
            <w:rFonts w:ascii="Arial" w:hAnsi="Arial" w:cs="Arial"/>
            <w:b/>
            <w:noProof/>
            <w:color w:val="ADAFB2"/>
          </w:rPr>
          <w:t>1.2. Dochody</w:t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tab/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begin"/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instrText xml:space="preserve"> PAGEREF _Toc15028618 \h </w:instrText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separate"/>
        </w:r>
        <w:r>
          <w:rPr>
            <w:rStyle w:val="Hipercze"/>
            <w:rFonts w:ascii="Arial" w:hAnsi="Arial" w:cs="Arial"/>
            <w:b/>
            <w:noProof/>
            <w:webHidden/>
            <w:color w:val="ADAFB2"/>
          </w:rPr>
          <w:t>4</w:t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end"/>
        </w:r>
      </w:hyperlink>
    </w:p>
    <w:p w:rsidR="007F3038" w:rsidRPr="007F3038" w:rsidRDefault="00FF4641" w:rsidP="007F3038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noProof/>
          <w:color w:val="ADAFB2"/>
        </w:rPr>
      </w:pPr>
      <w:hyperlink w:anchor="_Toc15028619" w:history="1">
        <w:r w:rsidR="007F3038" w:rsidRPr="007F3038">
          <w:rPr>
            <w:rStyle w:val="Hipercze"/>
            <w:rFonts w:ascii="Arial" w:hAnsi="Arial" w:cs="Arial"/>
            <w:b/>
            <w:noProof/>
            <w:color w:val="ADAFB2"/>
          </w:rPr>
          <w:t>1.3. Wydatki</w:t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tab/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begin"/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instrText xml:space="preserve"> PAGEREF _Toc15028619 \h </w:instrText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separate"/>
        </w:r>
        <w:r>
          <w:rPr>
            <w:rStyle w:val="Hipercze"/>
            <w:rFonts w:ascii="Arial" w:hAnsi="Arial" w:cs="Arial"/>
            <w:b/>
            <w:noProof/>
            <w:webHidden/>
            <w:color w:val="ADAFB2"/>
          </w:rPr>
          <w:t>5</w:t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end"/>
        </w:r>
      </w:hyperlink>
    </w:p>
    <w:p w:rsidR="007F3038" w:rsidRPr="007F3038" w:rsidRDefault="00FF4641" w:rsidP="007F3038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noProof/>
          <w:color w:val="ADAFB2"/>
        </w:rPr>
      </w:pPr>
      <w:hyperlink w:anchor="_Toc15028620" w:history="1">
        <w:r w:rsidR="007F3038" w:rsidRPr="007F3038">
          <w:rPr>
            <w:rStyle w:val="Hipercze"/>
            <w:rFonts w:ascii="Arial" w:hAnsi="Arial" w:cs="Arial"/>
            <w:b/>
            <w:noProof/>
            <w:color w:val="ADAFB2"/>
          </w:rPr>
          <w:t>2. Dług publiczny oraz potrzeby pożyczkowe</w:t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tab/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begin"/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instrText xml:space="preserve"> PAGEREF _Toc15028620 \h </w:instrText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separate"/>
        </w:r>
        <w:r>
          <w:rPr>
            <w:rStyle w:val="Hipercze"/>
            <w:rFonts w:ascii="Arial" w:hAnsi="Arial" w:cs="Arial"/>
            <w:b/>
            <w:noProof/>
            <w:webHidden/>
            <w:color w:val="ADAFB2"/>
          </w:rPr>
          <w:t>7</w:t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end"/>
        </w:r>
      </w:hyperlink>
    </w:p>
    <w:p w:rsidR="007F3038" w:rsidRPr="007F3038" w:rsidRDefault="00FF4641" w:rsidP="007F3038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noProof/>
          <w:color w:val="ADAFB2"/>
        </w:rPr>
      </w:pPr>
      <w:hyperlink w:anchor="_Toc15028621" w:history="1">
        <w:r w:rsidR="007F3038" w:rsidRPr="007F3038">
          <w:rPr>
            <w:rStyle w:val="Hipercze"/>
            <w:rFonts w:ascii="Arial" w:hAnsi="Arial" w:cs="Arial"/>
            <w:b/>
            <w:noProof/>
            <w:color w:val="ADAFB2"/>
          </w:rPr>
          <w:t>2.1. Dług sektora instytucji rządowych i samorządowych (wg definicji UE)</w:t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tab/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begin"/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instrText xml:space="preserve"> PAGEREF _Toc15028621 \h </w:instrText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separate"/>
        </w:r>
        <w:r>
          <w:rPr>
            <w:rStyle w:val="Hipercze"/>
            <w:rFonts w:ascii="Arial" w:hAnsi="Arial" w:cs="Arial"/>
            <w:b/>
            <w:noProof/>
            <w:webHidden/>
            <w:color w:val="ADAFB2"/>
          </w:rPr>
          <w:t>7</w:t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end"/>
        </w:r>
      </w:hyperlink>
    </w:p>
    <w:p w:rsidR="007F3038" w:rsidRPr="007F3038" w:rsidRDefault="00FF4641" w:rsidP="007F3038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noProof/>
          <w:color w:val="ADAFB2"/>
        </w:rPr>
      </w:pPr>
      <w:hyperlink w:anchor="_Toc15028622" w:history="1">
        <w:r w:rsidR="007F3038" w:rsidRPr="007F3038">
          <w:rPr>
            <w:rStyle w:val="Hipercze"/>
            <w:rFonts w:ascii="Arial" w:hAnsi="Arial" w:cs="Arial"/>
            <w:b/>
            <w:noProof/>
            <w:color w:val="ADAFB2"/>
          </w:rPr>
          <w:t>2.2. Potrzeby pożyczkowe budżetu państwa i ich finansowanie w I kwartale 2019 r.</w:t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tab/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begin"/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instrText xml:space="preserve"> PAGEREF _Toc15028622 \h </w:instrText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separate"/>
        </w:r>
        <w:r>
          <w:rPr>
            <w:rStyle w:val="Hipercze"/>
            <w:rFonts w:ascii="Arial" w:hAnsi="Arial" w:cs="Arial"/>
            <w:b/>
            <w:noProof/>
            <w:webHidden/>
            <w:color w:val="ADAFB2"/>
          </w:rPr>
          <w:t>7</w:t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end"/>
        </w:r>
      </w:hyperlink>
    </w:p>
    <w:p w:rsidR="007F3038" w:rsidRPr="007F3038" w:rsidRDefault="00FF4641" w:rsidP="007F3038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noProof/>
          <w:color w:val="ADAFB2"/>
        </w:rPr>
      </w:pPr>
      <w:hyperlink w:anchor="_Toc15028623" w:history="1">
        <w:r w:rsidR="007F3038" w:rsidRPr="007F3038">
          <w:rPr>
            <w:rStyle w:val="Hipercze"/>
            <w:rFonts w:ascii="Arial" w:hAnsi="Arial" w:cs="Arial"/>
            <w:b/>
            <w:noProof/>
            <w:color w:val="ADAFB2"/>
          </w:rPr>
          <w:t>NOTA METODYCZNA</w:t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tab/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begin"/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instrText xml:space="preserve"> PAGEREF _Toc15028623 \h </w:instrText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separate"/>
        </w:r>
        <w:r>
          <w:rPr>
            <w:rStyle w:val="Hipercze"/>
            <w:rFonts w:ascii="Arial" w:hAnsi="Arial" w:cs="Arial"/>
            <w:b/>
            <w:noProof/>
            <w:webHidden/>
            <w:color w:val="ADAFB2"/>
          </w:rPr>
          <w:t>9</w:t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end"/>
        </w:r>
      </w:hyperlink>
    </w:p>
    <w:p w:rsidR="007F3038" w:rsidRPr="0039404A" w:rsidRDefault="00FF4641" w:rsidP="007F3038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15028624" w:history="1">
        <w:r w:rsidR="007F3038" w:rsidRPr="007F3038">
          <w:rPr>
            <w:rStyle w:val="Hipercze"/>
            <w:rFonts w:ascii="Arial" w:hAnsi="Arial" w:cs="Arial"/>
            <w:b/>
            <w:noProof/>
            <w:color w:val="ADAFB2"/>
          </w:rPr>
          <w:t>ANEKS  STATYSTYCZNY</w:t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tab/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begin"/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instrText xml:space="preserve"> PAGEREF _Toc15028624 \h </w:instrText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separate"/>
        </w:r>
        <w:r>
          <w:rPr>
            <w:rStyle w:val="Hipercze"/>
            <w:rFonts w:ascii="Arial" w:hAnsi="Arial" w:cs="Arial"/>
            <w:b/>
            <w:noProof/>
            <w:webHidden/>
            <w:color w:val="ADAFB2"/>
          </w:rPr>
          <w:t>10</w:t>
        </w:r>
        <w:r w:rsidR="007F3038" w:rsidRPr="007F3038">
          <w:rPr>
            <w:rStyle w:val="Hipercze"/>
            <w:rFonts w:ascii="Arial" w:hAnsi="Arial" w:cs="Arial"/>
            <w:b/>
            <w:noProof/>
            <w:webHidden/>
            <w:color w:val="ADAFB2"/>
          </w:rPr>
          <w:fldChar w:fldCharType="end"/>
        </w:r>
      </w:hyperlink>
    </w:p>
    <w:p w:rsidR="00A3676D" w:rsidRPr="004F0702" w:rsidRDefault="00A3676D" w:rsidP="00D0426F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noProof/>
          <w:color w:val="ADAFB2"/>
          <w:highlight w:val="yellow"/>
        </w:rPr>
      </w:pPr>
      <w:r w:rsidRPr="0039404A">
        <w:rPr>
          <w:rStyle w:val="Hipercze"/>
          <w:rFonts w:ascii="Arial" w:hAnsi="Arial" w:cs="Arial"/>
          <w:b/>
          <w:noProof/>
          <w:color w:val="ADAFB2"/>
        </w:rPr>
        <w:fldChar w:fldCharType="end"/>
      </w:r>
    </w:p>
    <w:p w:rsidR="003A6FCB" w:rsidRPr="004F0702" w:rsidRDefault="003A6FC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:rsidR="003A6FCB" w:rsidRPr="004F0702" w:rsidRDefault="003A6FC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:rsidR="003A6FCB" w:rsidRPr="004F0702" w:rsidRDefault="003A6FC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:rsidR="00157279" w:rsidRPr="004F0702" w:rsidRDefault="00157279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  <w:highlight w:val="yellow"/>
        </w:rPr>
      </w:pPr>
    </w:p>
    <w:p w:rsidR="00157279" w:rsidRPr="004F0702" w:rsidRDefault="00157279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  <w:highlight w:val="yellow"/>
        </w:rPr>
        <w:sectPr w:rsidR="00157279" w:rsidRPr="004F0702" w:rsidSect="00EC4394">
          <w:pgSz w:w="11907" w:h="16839" w:code="9"/>
          <w:pgMar w:top="1418" w:right="992" w:bottom="1135" w:left="3686" w:header="709" w:footer="976" w:gutter="0"/>
          <w:cols w:space="708"/>
          <w:titlePg/>
          <w:docGrid w:linePitch="360"/>
        </w:sectPr>
      </w:pPr>
    </w:p>
    <w:p w:rsidR="0031062E" w:rsidRPr="00977680" w:rsidRDefault="0031062E" w:rsidP="006B7502">
      <w:pPr>
        <w:pStyle w:val="Nagwek1"/>
        <w:spacing w:before="120" w:line="288" w:lineRule="auto"/>
        <w:rPr>
          <w:rFonts w:ascii="Arial" w:hAnsi="Arial" w:cs="Arial"/>
          <w:color w:val="ADAFB2"/>
          <w:sz w:val="28"/>
          <w:szCs w:val="28"/>
        </w:rPr>
      </w:pPr>
      <w:bookmarkStart w:id="1" w:name="_Toc15028616"/>
      <w:r w:rsidRPr="00977680">
        <w:rPr>
          <w:rFonts w:ascii="Arial" w:hAnsi="Arial" w:cs="Arial"/>
          <w:color w:val="ADAFB2"/>
          <w:sz w:val="28"/>
          <w:szCs w:val="28"/>
        </w:rPr>
        <w:lastRenderedPageBreak/>
        <w:t>1.</w:t>
      </w:r>
      <w:r w:rsidR="00EC0826" w:rsidRPr="00977680">
        <w:rPr>
          <w:rFonts w:ascii="Arial" w:hAnsi="Arial" w:cs="Arial"/>
          <w:color w:val="ADAFB2"/>
          <w:sz w:val="28"/>
          <w:szCs w:val="28"/>
        </w:rPr>
        <w:t xml:space="preserve"> </w:t>
      </w:r>
      <w:r w:rsidR="00730D3C" w:rsidRPr="00977680">
        <w:rPr>
          <w:rFonts w:ascii="Arial" w:hAnsi="Arial" w:cs="Arial"/>
          <w:color w:val="ADAFB2"/>
          <w:sz w:val="28"/>
          <w:szCs w:val="28"/>
        </w:rPr>
        <w:t>Wynik, d</w:t>
      </w:r>
      <w:r w:rsidR="000A6CA0" w:rsidRPr="00977680">
        <w:rPr>
          <w:rFonts w:ascii="Arial" w:hAnsi="Arial" w:cs="Arial"/>
          <w:color w:val="ADAFB2"/>
          <w:sz w:val="28"/>
          <w:szCs w:val="28"/>
        </w:rPr>
        <w:t>ochody</w:t>
      </w:r>
      <w:r w:rsidR="00730D3C" w:rsidRPr="00977680">
        <w:rPr>
          <w:rFonts w:ascii="Arial" w:hAnsi="Arial" w:cs="Arial"/>
          <w:color w:val="ADAFB2"/>
          <w:sz w:val="28"/>
          <w:szCs w:val="28"/>
        </w:rPr>
        <w:t xml:space="preserve"> oraz</w:t>
      </w:r>
      <w:r w:rsidR="00E65258" w:rsidRPr="00977680">
        <w:rPr>
          <w:rFonts w:ascii="Arial" w:hAnsi="Arial" w:cs="Arial"/>
          <w:color w:val="ADAFB2"/>
          <w:sz w:val="28"/>
          <w:szCs w:val="28"/>
        </w:rPr>
        <w:t xml:space="preserve"> wydatki </w:t>
      </w:r>
      <w:r w:rsidR="00101324" w:rsidRPr="00977680">
        <w:rPr>
          <w:rFonts w:ascii="Arial" w:hAnsi="Arial" w:cs="Arial"/>
          <w:color w:val="ADAFB2"/>
          <w:sz w:val="28"/>
          <w:szCs w:val="28"/>
        </w:rPr>
        <w:t>w I kw.</w:t>
      </w:r>
      <w:r w:rsidR="000A6CA0" w:rsidRPr="00977680">
        <w:rPr>
          <w:rFonts w:ascii="Arial" w:hAnsi="Arial" w:cs="Arial"/>
          <w:color w:val="ADAFB2"/>
          <w:sz w:val="28"/>
          <w:szCs w:val="28"/>
        </w:rPr>
        <w:t xml:space="preserve"> </w:t>
      </w:r>
      <w:r w:rsidR="0085795C" w:rsidRPr="00977680">
        <w:rPr>
          <w:rFonts w:ascii="Arial" w:hAnsi="Arial" w:cs="Arial"/>
          <w:color w:val="ADAFB2"/>
          <w:sz w:val="28"/>
          <w:szCs w:val="28"/>
        </w:rPr>
        <w:t>201</w:t>
      </w:r>
      <w:r w:rsidR="007E05E7" w:rsidRPr="00977680">
        <w:rPr>
          <w:rFonts w:ascii="Arial" w:hAnsi="Arial" w:cs="Arial"/>
          <w:color w:val="ADAFB2"/>
          <w:sz w:val="28"/>
          <w:szCs w:val="28"/>
        </w:rPr>
        <w:t>9</w:t>
      </w:r>
      <w:r w:rsidR="00730D3C" w:rsidRPr="00977680">
        <w:rPr>
          <w:rFonts w:ascii="Arial" w:hAnsi="Arial" w:cs="Arial"/>
          <w:color w:val="ADAFB2"/>
          <w:sz w:val="28"/>
          <w:szCs w:val="28"/>
        </w:rPr>
        <w:t xml:space="preserve"> r.</w:t>
      </w:r>
      <w:bookmarkEnd w:id="1"/>
    </w:p>
    <w:p w:rsidR="006A5483" w:rsidRPr="00977680" w:rsidRDefault="006A5483" w:rsidP="006B7502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977680">
        <w:rPr>
          <w:rFonts w:ascii="Times New Roman" w:hAnsi="Times New Roman"/>
          <w:bCs/>
          <w:sz w:val="20"/>
          <w:szCs w:val="20"/>
        </w:rPr>
        <w:t xml:space="preserve">Poniżej przedstawione zostały </w:t>
      </w:r>
      <w:r w:rsidR="009D4E91" w:rsidRPr="00977680">
        <w:rPr>
          <w:rFonts w:ascii="Times New Roman" w:hAnsi="Times New Roman"/>
          <w:bCs/>
          <w:sz w:val="20"/>
          <w:szCs w:val="20"/>
        </w:rPr>
        <w:t>podstawow</w:t>
      </w:r>
      <w:r w:rsidRPr="00977680">
        <w:rPr>
          <w:rFonts w:ascii="Times New Roman" w:hAnsi="Times New Roman"/>
          <w:bCs/>
          <w:sz w:val="20"/>
          <w:szCs w:val="20"/>
        </w:rPr>
        <w:t>e informacje na temat sytua</w:t>
      </w:r>
      <w:r w:rsidR="00BC5828" w:rsidRPr="00977680">
        <w:rPr>
          <w:rFonts w:ascii="Times New Roman" w:hAnsi="Times New Roman"/>
          <w:bCs/>
          <w:sz w:val="20"/>
          <w:szCs w:val="20"/>
        </w:rPr>
        <w:t>cji w finansach publicznych w</w:t>
      </w:r>
      <w:r w:rsidR="006678BB">
        <w:rPr>
          <w:rFonts w:ascii="Times New Roman" w:hAnsi="Times New Roman"/>
          <w:bCs/>
          <w:sz w:val="20"/>
          <w:szCs w:val="20"/>
        </w:rPr>
        <w:t> </w:t>
      </w:r>
      <w:r w:rsidR="00BC5828" w:rsidRPr="00977680">
        <w:rPr>
          <w:rFonts w:ascii="Times New Roman" w:hAnsi="Times New Roman"/>
          <w:bCs/>
          <w:sz w:val="20"/>
          <w:szCs w:val="20"/>
        </w:rPr>
        <w:t>I</w:t>
      </w:r>
      <w:r w:rsidR="006678BB">
        <w:rPr>
          <w:rFonts w:ascii="Times New Roman" w:hAnsi="Times New Roman"/>
          <w:bCs/>
          <w:sz w:val="20"/>
          <w:szCs w:val="20"/>
        </w:rPr>
        <w:t> </w:t>
      </w:r>
      <w:r w:rsidR="00323461" w:rsidRPr="00977680">
        <w:rPr>
          <w:rFonts w:ascii="Times New Roman" w:hAnsi="Times New Roman"/>
          <w:bCs/>
          <w:sz w:val="20"/>
          <w:szCs w:val="20"/>
        </w:rPr>
        <w:t>kw.</w:t>
      </w:r>
      <w:r w:rsidR="006678BB">
        <w:rPr>
          <w:rFonts w:ascii="Times New Roman" w:hAnsi="Times New Roman"/>
          <w:bCs/>
          <w:sz w:val="20"/>
          <w:szCs w:val="20"/>
        </w:rPr>
        <w:t> </w:t>
      </w:r>
      <w:r w:rsidR="00323461" w:rsidRPr="00977680">
        <w:rPr>
          <w:rFonts w:ascii="Times New Roman" w:hAnsi="Times New Roman"/>
          <w:bCs/>
          <w:sz w:val="20"/>
          <w:szCs w:val="20"/>
        </w:rPr>
        <w:t>201</w:t>
      </w:r>
      <w:r w:rsidR="007E05E7" w:rsidRPr="00977680">
        <w:rPr>
          <w:rFonts w:ascii="Times New Roman" w:hAnsi="Times New Roman"/>
          <w:bCs/>
          <w:sz w:val="20"/>
          <w:szCs w:val="20"/>
        </w:rPr>
        <w:t>9</w:t>
      </w:r>
      <w:r w:rsidR="006678BB">
        <w:rPr>
          <w:rFonts w:ascii="Times New Roman" w:hAnsi="Times New Roman"/>
          <w:bCs/>
          <w:sz w:val="20"/>
          <w:szCs w:val="20"/>
        </w:rPr>
        <w:t> </w:t>
      </w:r>
      <w:r w:rsidRPr="00977680">
        <w:rPr>
          <w:rFonts w:ascii="Times New Roman" w:hAnsi="Times New Roman"/>
          <w:bCs/>
          <w:sz w:val="20"/>
          <w:szCs w:val="20"/>
        </w:rPr>
        <w:t>r</w:t>
      </w:r>
      <w:r w:rsidR="0072464B" w:rsidRPr="00977680">
        <w:rPr>
          <w:rFonts w:ascii="Times New Roman" w:hAnsi="Times New Roman"/>
          <w:bCs/>
          <w:sz w:val="20"/>
          <w:szCs w:val="20"/>
        </w:rPr>
        <w:t>.</w:t>
      </w:r>
    </w:p>
    <w:p w:rsidR="00D55ED6" w:rsidRPr="00977680" w:rsidRDefault="00D55ED6" w:rsidP="00D55ED6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2" w:name="_Toc15028617"/>
      <w:r w:rsidRPr="00977680">
        <w:rPr>
          <w:rFonts w:ascii="Arial" w:hAnsi="Arial" w:cs="Arial"/>
          <w:i w:val="0"/>
          <w:color w:val="E31837"/>
          <w:sz w:val="20"/>
          <w:szCs w:val="20"/>
        </w:rPr>
        <w:t>1.1. Wynik</w:t>
      </w:r>
      <w:bookmarkEnd w:id="2"/>
      <w:r w:rsidRPr="00977680">
        <w:rPr>
          <w:rFonts w:ascii="Arial" w:hAnsi="Arial" w:cs="Arial"/>
          <w:i w:val="0"/>
          <w:color w:val="E31837"/>
          <w:sz w:val="20"/>
          <w:szCs w:val="20"/>
        </w:rPr>
        <w:t xml:space="preserve"> </w:t>
      </w:r>
    </w:p>
    <w:p w:rsidR="00D55ED6" w:rsidRPr="00977680" w:rsidRDefault="00796336" w:rsidP="00D55ED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 w:cs="Arial"/>
          <w:sz w:val="20"/>
          <w:szCs w:val="20"/>
        </w:rPr>
      </w:pPr>
      <w:r w:rsidRPr="00977680">
        <w:rPr>
          <w:rFonts w:ascii="Times New Roman" w:hAnsi="Times New Roman" w:cs="Arial"/>
          <w:sz w:val="20"/>
          <w:szCs w:val="20"/>
        </w:rPr>
        <w:t>Według danych GUS w</w:t>
      </w:r>
      <w:r w:rsidR="00D55ED6" w:rsidRPr="00977680">
        <w:rPr>
          <w:rFonts w:ascii="Times New Roman" w:hAnsi="Times New Roman" w:cs="Arial"/>
          <w:sz w:val="20"/>
          <w:szCs w:val="20"/>
        </w:rPr>
        <w:t>ynik sektora instytucj</w:t>
      </w:r>
      <w:r w:rsidR="00977680" w:rsidRPr="00977680">
        <w:rPr>
          <w:rFonts w:ascii="Times New Roman" w:hAnsi="Times New Roman" w:cs="Arial"/>
          <w:sz w:val="20"/>
          <w:szCs w:val="20"/>
        </w:rPr>
        <w:t>i rządowych i samorządowych w I</w:t>
      </w:r>
      <w:r w:rsidR="00D55ED6" w:rsidRPr="00977680">
        <w:rPr>
          <w:rFonts w:ascii="Times New Roman" w:hAnsi="Times New Roman" w:cs="Arial"/>
          <w:sz w:val="20"/>
          <w:szCs w:val="20"/>
        </w:rPr>
        <w:t xml:space="preserve"> kw. 20</w:t>
      </w:r>
      <w:r w:rsidR="00977680" w:rsidRPr="00977680">
        <w:rPr>
          <w:rFonts w:ascii="Times New Roman" w:hAnsi="Times New Roman" w:cs="Arial"/>
          <w:sz w:val="20"/>
          <w:szCs w:val="20"/>
        </w:rPr>
        <w:t>19</w:t>
      </w:r>
      <w:r w:rsidR="00D55ED6" w:rsidRPr="00977680">
        <w:rPr>
          <w:rFonts w:ascii="Times New Roman" w:hAnsi="Times New Roman" w:cs="Arial"/>
          <w:sz w:val="20"/>
          <w:szCs w:val="20"/>
        </w:rPr>
        <w:t xml:space="preserve"> r. wyniósł </w:t>
      </w:r>
      <w:r w:rsidR="00977680" w:rsidRPr="00977680">
        <w:rPr>
          <w:rFonts w:ascii="Times New Roman" w:hAnsi="Times New Roman" w:cs="Arial"/>
          <w:sz w:val="20"/>
          <w:szCs w:val="20"/>
        </w:rPr>
        <w:t>14,5</w:t>
      </w:r>
      <w:r w:rsidR="00D55ED6" w:rsidRPr="00977680">
        <w:rPr>
          <w:rFonts w:ascii="Times New Roman" w:hAnsi="Times New Roman" w:cs="Arial"/>
          <w:sz w:val="20"/>
          <w:szCs w:val="20"/>
        </w:rPr>
        <w:t xml:space="preserve"> mld zł</w:t>
      </w:r>
      <w:r w:rsidR="00977680" w:rsidRPr="00977680">
        <w:rPr>
          <w:rFonts w:ascii="Times New Roman" w:hAnsi="Times New Roman" w:cs="Arial"/>
          <w:sz w:val="20"/>
          <w:szCs w:val="20"/>
        </w:rPr>
        <w:t xml:space="preserve"> (2,8</w:t>
      </w:r>
      <w:r w:rsidR="006678BB">
        <w:rPr>
          <w:rFonts w:ascii="Times New Roman" w:hAnsi="Times New Roman" w:cs="Arial"/>
          <w:sz w:val="20"/>
          <w:szCs w:val="20"/>
        </w:rPr>
        <w:t xml:space="preserve"> %PKB) </w:t>
      </w:r>
      <w:r w:rsidR="006678BB" w:rsidRPr="006678BB">
        <w:rPr>
          <w:rFonts w:ascii="Times New Roman" w:hAnsi="Times New Roman" w:cs="Arial"/>
          <w:sz w:val="20"/>
          <w:szCs w:val="20"/>
        </w:rPr>
        <w:t>i</w:t>
      </w:r>
      <w:r w:rsidR="006678BB">
        <w:rPr>
          <w:rFonts w:ascii="Times New Roman" w:hAnsi="Times New Roman" w:cs="Arial"/>
          <w:sz w:val="20"/>
          <w:szCs w:val="20"/>
        </w:rPr>
        <w:t xml:space="preserve"> </w:t>
      </w:r>
      <w:r w:rsidR="006678BB" w:rsidRPr="006678BB">
        <w:rPr>
          <w:rFonts w:ascii="Times New Roman" w:hAnsi="Times New Roman" w:cs="Arial"/>
          <w:sz w:val="20"/>
          <w:szCs w:val="20"/>
        </w:rPr>
        <w:t>w</w:t>
      </w:r>
      <w:r w:rsidR="006678BB">
        <w:rPr>
          <w:rFonts w:ascii="Times New Roman" w:hAnsi="Times New Roman" w:cs="Arial"/>
          <w:sz w:val="20"/>
          <w:szCs w:val="20"/>
        </w:rPr>
        <w:t xml:space="preserve"> </w:t>
      </w:r>
      <w:r w:rsidR="006678BB" w:rsidRPr="006678BB">
        <w:rPr>
          <w:rFonts w:ascii="Times New Roman" w:hAnsi="Times New Roman" w:cs="Arial"/>
          <w:sz w:val="20"/>
          <w:szCs w:val="20"/>
        </w:rPr>
        <w:t>stosunku do I kw. roku poprzedniego uległ poprawie o ok. 6,0 mld zł (</w:t>
      </w:r>
      <w:r w:rsidR="006678BB">
        <w:rPr>
          <w:rFonts w:ascii="Times New Roman" w:hAnsi="Times New Roman" w:cs="Arial"/>
          <w:sz w:val="20"/>
          <w:szCs w:val="20"/>
        </w:rPr>
        <w:t xml:space="preserve">poprawa relacji o 1,1 pkt. proc. </w:t>
      </w:r>
      <w:r w:rsidR="006678BB" w:rsidRPr="006678BB">
        <w:rPr>
          <w:rFonts w:ascii="Times New Roman" w:hAnsi="Times New Roman" w:cs="Arial"/>
          <w:sz w:val="20"/>
          <w:szCs w:val="20"/>
        </w:rPr>
        <w:t>PKB).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D55ED6" w:rsidRPr="00D321D9" w:rsidTr="00415A43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D55ED6" w:rsidRPr="00D321D9" w:rsidRDefault="00D55ED6" w:rsidP="00415A43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r w:rsidRPr="00D321D9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Wyk. </w:t>
            </w:r>
            <w:r w:rsidR="009E157D" w:rsidRPr="00D321D9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1</w:t>
            </w:r>
            <w:r w:rsidRPr="00D321D9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. Wynik sektora instytucji rządowych i samorządowych ( w % PKB).</w:t>
            </w:r>
          </w:p>
        </w:tc>
      </w:tr>
      <w:tr w:rsidR="00D55ED6" w:rsidRPr="00D321D9" w:rsidTr="002A20F0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D55ED6" w:rsidRPr="00D321D9" w:rsidRDefault="00D321D9" w:rsidP="00415A43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D321D9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5F75FE32" wp14:editId="4CA5AD23">
                  <wp:extent cx="2838450" cy="2054225"/>
                  <wp:effectExtent l="0" t="0" r="0" b="3175"/>
                  <wp:docPr id="10" name="Obraz 10" descr="Wykres prezentuje wynik sektora instytucji rządowych i samorządowych ( w % PKB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ED6" w:rsidRPr="00D321D9" w:rsidTr="00415A43">
        <w:tc>
          <w:tcPr>
            <w:tcW w:w="4680" w:type="dxa"/>
          </w:tcPr>
          <w:p w:rsidR="00D55ED6" w:rsidRPr="00D321D9" w:rsidRDefault="00D55ED6" w:rsidP="00415A43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D321D9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</w:t>
            </w:r>
            <w:r w:rsidRPr="00D321D9">
              <w:rPr>
                <w:rFonts w:ascii="Times New Roman" w:hAnsi="Times New Roman" w:cs="Arial"/>
                <w:bCs/>
                <w:color w:val="ADAFB2"/>
                <w:sz w:val="20"/>
                <w:szCs w:val="20"/>
              </w:rPr>
              <w:t>Dane Eurostat, GUS, obliczenia własne</w:t>
            </w:r>
          </w:p>
        </w:tc>
      </w:tr>
    </w:tbl>
    <w:p w:rsidR="002460E7" w:rsidRPr="007D30EF" w:rsidRDefault="002460E7" w:rsidP="006B7502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3" w:name="_Toc15028618"/>
      <w:r w:rsidRPr="00D321D9">
        <w:rPr>
          <w:rFonts w:ascii="Arial" w:hAnsi="Arial" w:cs="Arial"/>
          <w:i w:val="0"/>
          <w:color w:val="E31837"/>
          <w:sz w:val="20"/>
          <w:szCs w:val="20"/>
        </w:rPr>
        <w:t>1.</w:t>
      </w:r>
      <w:r w:rsidR="00D55ED6" w:rsidRPr="00D321D9">
        <w:rPr>
          <w:rFonts w:ascii="Arial" w:hAnsi="Arial" w:cs="Arial"/>
          <w:i w:val="0"/>
          <w:color w:val="E31837"/>
          <w:sz w:val="20"/>
          <w:szCs w:val="20"/>
        </w:rPr>
        <w:t>2</w:t>
      </w:r>
      <w:r w:rsidRPr="00D321D9">
        <w:rPr>
          <w:rFonts w:ascii="Arial" w:hAnsi="Arial" w:cs="Arial"/>
          <w:i w:val="0"/>
          <w:color w:val="E31837"/>
          <w:sz w:val="20"/>
          <w:szCs w:val="20"/>
        </w:rPr>
        <w:t>. Dochody</w:t>
      </w:r>
      <w:bookmarkEnd w:id="3"/>
    </w:p>
    <w:p w:rsidR="00F82DB2" w:rsidRDefault="0043791B" w:rsidP="006B7502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W I</w:t>
      </w:r>
      <w:r w:rsidR="0072464B" w:rsidRPr="007D30EF">
        <w:rPr>
          <w:rFonts w:ascii="Times New Roman" w:hAnsi="Times New Roman"/>
          <w:bCs/>
          <w:sz w:val="20"/>
          <w:szCs w:val="20"/>
        </w:rPr>
        <w:t xml:space="preserve"> kw.</w:t>
      </w:r>
      <w:r>
        <w:rPr>
          <w:rFonts w:ascii="Times New Roman" w:hAnsi="Times New Roman"/>
          <w:bCs/>
          <w:sz w:val="20"/>
          <w:szCs w:val="20"/>
        </w:rPr>
        <w:t xml:space="preserve"> 2019</w:t>
      </w:r>
      <w:r w:rsidR="002826C7" w:rsidRPr="007D30EF">
        <w:rPr>
          <w:rFonts w:ascii="Times New Roman" w:hAnsi="Times New Roman"/>
          <w:bCs/>
          <w:sz w:val="20"/>
          <w:szCs w:val="20"/>
        </w:rPr>
        <w:t xml:space="preserve"> r. dochody sektora</w:t>
      </w:r>
      <w:r w:rsidR="0072464B" w:rsidRPr="007D30EF">
        <w:rPr>
          <w:rFonts w:ascii="Times New Roman" w:hAnsi="Times New Roman"/>
          <w:bCs/>
          <w:sz w:val="20"/>
          <w:szCs w:val="20"/>
        </w:rPr>
        <w:t xml:space="preserve"> instytucji rządowych i </w:t>
      </w:r>
      <w:r w:rsidR="002826C7" w:rsidRPr="007D30EF">
        <w:rPr>
          <w:rFonts w:ascii="Times New Roman" w:hAnsi="Times New Roman"/>
          <w:bCs/>
          <w:sz w:val="20"/>
          <w:szCs w:val="20"/>
        </w:rPr>
        <w:t>samorządowych</w:t>
      </w:r>
      <w:r w:rsidR="0020557E" w:rsidRPr="007D30EF">
        <w:rPr>
          <w:rFonts w:ascii="Times New Roman" w:hAnsi="Times New Roman"/>
          <w:bCs/>
          <w:sz w:val="20"/>
          <w:szCs w:val="20"/>
        </w:rPr>
        <w:t xml:space="preserve"> (</w:t>
      </w:r>
      <w:r w:rsidR="00092DA3" w:rsidRPr="007D30EF">
        <w:rPr>
          <w:rFonts w:ascii="Times New Roman" w:hAnsi="Times New Roman"/>
          <w:bCs/>
          <w:sz w:val="20"/>
          <w:szCs w:val="20"/>
        </w:rPr>
        <w:t xml:space="preserve">ESA2010) wyniosły </w:t>
      </w:r>
      <w:r w:rsidR="007D30EF" w:rsidRPr="007D30EF">
        <w:rPr>
          <w:rFonts w:ascii="Times New Roman" w:hAnsi="Times New Roman"/>
          <w:bCs/>
          <w:sz w:val="20"/>
          <w:szCs w:val="20"/>
        </w:rPr>
        <w:t>222,0</w:t>
      </w:r>
      <w:r w:rsidR="0072464B" w:rsidRPr="007D30EF">
        <w:rPr>
          <w:rFonts w:ascii="Times New Roman" w:hAnsi="Times New Roman"/>
          <w:bCs/>
          <w:sz w:val="20"/>
          <w:szCs w:val="20"/>
        </w:rPr>
        <w:t> </w:t>
      </w:r>
      <w:r w:rsidR="002826C7" w:rsidRPr="007D30EF">
        <w:rPr>
          <w:rFonts w:ascii="Times New Roman" w:hAnsi="Times New Roman"/>
          <w:bCs/>
          <w:sz w:val="20"/>
          <w:szCs w:val="20"/>
        </w:rPr>
        <w:t>ml</w:t>
      </w:r>
      <w:r w:rsidR="00A43C11" w:rsidRPr="007D30EF">
        <w:rPr>
          <w:rFonts w:ascii="Times New Roman" w:hAnsi="Times New Roman"/>
          <w:bCs/>
          <w:sz w:val="20"/>
          <w:szCs w:val="20"/>
        </w:rPr>
        <w:t>d</w:t>
      </w:r>
      <w:r w:rsidR="002826C7" w:rsidRPr="007D30EF">
        <w:rPr>
          <w:rFonts w:ascii="Times New Roman" w:hAnsi="Times New Roman"/>
          <w:bCs/>
          <w:sz w:val="20"/>
          <w:szCs w:val="20"/>
        </w:rPr>
        <w:t xml:space="preserve"> zł i</w:t>
      </w:r>
      <w:r w:rsidR="00F82DB2">
        <w:rPr>
          <w:rFonts w:ascii="Times New Roman" w:hAnsi="Times New Roman"/>
          <w:bCs/>
          <w:sz w:val="20"/>
          <w:szCs w:val="20"/>
        </w:rPr>
        <w:t> </w:t>
      </w:r>
      <w:r w:rsidR="002826C7" w:rsidRPr="007D30EF">
        <w:rPr>
          <w:rFonts w:ascii="Times New Roman" w:hAnsi="Times New Roman"/>
          <w:bCs/>
          <w:sz w:val="20"/>
          <w:szCs w:val="20"/>
        </w:rPr>
        <w:t xml:space="preserve">były </w:t>
      </w:r>
      <w:r w:rsidR="00F82DB2">
        <w:rPr>
          <w:rFonts w:ascii="Times New Roman" w:hAnsi="Times New Roman"/>
          <w:bCs/>
          <w:sz w:val="20"/>
          <w:szCs w:val="20"/>
        </w:rPr>
        <w:t xml:space="preserve">nominalnie </w:t>
      </w:r>
      <w:r w:rsidR="00F0195E" w:rsidRPr="007D30EF">
        <w:rPr>
          <w:rFonts w:ascii="Times New Roman" w:hAnsi="Times New Roman"/>
          <w:bCs/>
          <w:sz w:val="20"/>
          <w:szCs w:val="20"/>
        </w:rPr>
        <w:t>wyższe</w:t>
      </w:r>
      <w:r w:rsidR="002826C7" w:rsidRPr="007D30EF">
        <w:rPr>
          <w:rFonts w:ascii="Times New Roman" w:hAnsi="Times New Roman"/>
          <w:bCs/>
          <w:sz w:val="20"/>
          <w:szCs w:val="20"/>
        </w:rPr>
        <w:t xml:space="preserve"> </w:t>
      </w:r>
      <w:r w:rsidR="00F82DB2">
        <w:rPr>
          <w:rFonts w:ascii="Times New Roman" w:hAnsi="Times New Roman"/>
          <w:bCs/>
          <w:sz w:val="20"/>
          <w:szCs w:val="20"/>
        </w:rPr>
        <w:t>o</w:t>
      </w:r>
      <w:r w:rsidR="0052514A" w:rsidRPr="007D30EF">
        <w:rPr>
          <w:rFonts w:ascii="Times New Roman" w:hAnsi="Times New Roman"/>
          <w:bCs/>
          <w:sz w:val="20"/>
          <w:szCs w:val="20"/>
        </w:rPr>
        <w:t> </w:t>
      </w:r>
      <w:r w:rsidR="007D30EF" w:rsidRPr="007D30EF">
        <w:rPr>
          <w:rFonts w:ascii="Times New Roman" w:hAnsi="Times New Roman"/>
          <w:bCs/>
          <w:sz w:val="20"/>
          <w:szCs w:val="20"/>
        </w:rPr>
        <w:t>9,0</w:t>
      </w:r>
      <w:r w:rsidR="002826C7" w:rsidRPr="007D30EF">
        <w:rPr>
          <w:rFonts w:ascii="Times New Roman" w:hAnsi="Times New Roman"/>
          <w:bCs/>
          <w:sz w:val="20"/>
          <w:szCs w:val="20"/>
        </w:rPr>
        <w:t>%</w:t>
      </w:r>
      <w:r w:rsidR="0095058D" w:rsidRPr="007D30EF">
        <w:rPr>
          <w:rFonts w:ascii="Times New Roman" w:hAnsi="Times New Roman"/>
          <w:bCs/>
          <w:sz w:val="20"/>
          <w:szCs w:val="20"/>
        </w:rPr>
        <w:t> </w:t>
      </w:r>
      <w:r w:rsidR="00F82DB2">
        <w:rPr>
          <w:rFonts w:ascii="Times New Roman" w:hAnsi="Times New Roman"/>
          <w:bCs/>
          <w:sz w:val="20"/>
          <w:szCs w:val="20"/>
        </w:rPr>
        <w:t xml:space="preserve">r/r, odnotowując </w:t>
      </w:r>
      <w:r w:rsidR="00F07090" w:rsidRPr="007D30EF">
        <w:rPr>
          <w:rFonts w:ascii="Times New Roman" w:hAnsi="Times New Roman"/>
          <w:bCs/>
          <w:sz w:val="20"/>
          <w:szCs w:val="20"/>
        </w:rPr>
        <w:t xml:space="preserve">wzrost relacji </w:t>
      </w:r>
      <w:r w:rsidR="00F82DB2">
        <w:rPr>
          <w:rFonts w:ascii="Times New Roman" w:hAnsi="Times New Roman"/>
          <w:bCs/>
          <w:sz w:val="20"/>
          <w:szCs w:val="20"/>
        </w:rPr>
        <w:t xml:space="preserve">do PKB </w:t>
      </w:r>
      <w:r w:rsidR="00F07090" w:rsidRPr="007D30EF">
        <w:rPr>
          <w:rFonts w:ascii="Times New Roman" w:hAnsi="Times New Roman"/>
          <w:bCs/>
          <w:sz w:val="20"/>
          <w:szCs w:val="20"/>
        </w:rPr>
        <w:t xml:space="preserve">o </w:t>
      </w:r>
      <w:r w:rsidR="007D30EF" w:rsidRPr="007D30EF">
        <w:rPr>
          <w:rFonts w:ascii="Times New Roman" w:hAnsi="Times New Roman"/>
          <w:bCs/>
          <w:sz w:val="20"/>
          <w:szCs w:val="20"/>
        </w:rPr>
        <w:t>0,</w:t>
      </w:r>
      <w:r w:rsidR="006678BB">
        <w:rPr>
          <w:rFonts w:ascii="Times New Roman" w:hAnsi="Times New Roman"/>
          <w:bCs/>
          <w:sz w:val="20"/>
          <w:szCs w:val="20"/>
        </w:rPr>
        <w:t>9</w:t>
      </w:r>
      <w:r w:rsidR="00F0195E" w:rsidRPr="007D30EF">
        <w:rPr>
          <w:rFonts w:ascii="Times New Roman" w:hAnsi="Times New Roman"/>
          <w:bCs/>
          <w:sz w:val="20"/>
          <w:szCs w:val="20"/>
        </w:rPr>
        <w:t xml:space="preserve"> p</w:t>
      </w:r>
      <w:r w:rsidR="00F82DB2">
        <w:rPr>
          <w:rFonts w:ascii="Times New Roman" w:hAnsi="Times New Roman"/>
          <w:bCs/>
          <w:sz w:val="20"/>
          <w:szCs w:val="20"/>
        </w:rPr>
        <w:t xml:space="preserve">kt. </w:t>
      </w:r>
      <w:r w:rsidR="00F0195E" w:rsidRPr="007D30EF">
        <w:rPr>
          <w:rFonts w:ascii="Times New Roman" w:hAnsi="Times New Roman"/>
          <w:bCs/>
          <w:sz w:val="20"/>
          <w:szCs w:val="20"/>
        </w:rPr>
        <w:t>p</w:t>
      </w:r>
      <w:r w:rsidR="00F82DB2">
        <w:rPr>
          <w:rFonts w:ascii="Times New Roman" w:hAnsi="Times New Roman"/>
          <w:bCs/>
          <w:sz w:val="20"/>
          <w:szCs w:val="20"/>
        </w:rPr>
        <w:t>roc</w:t>
      </w:r>
      <w:r w:rsidR="003E77B8" w:rsidRPr="007D30EF">
        <w:rPr>
          <w:rFonts w:ascii="Times New Roman" w:hAnsi="Times New Roman"/>
          <w:bCs/>
          <w:sz w:val="20"/>
          <w:szCs w:val="20"/>
        </w:rPr>
        <w:t xml:space="preserve">. </w:t>
      </w:r>
    </w:p>
    <w:p w:rsidR="00562706" w:rsidRPr="007D30EF" w:rsidRDefault="00F82DB2" w:rsidP="006B7502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Największy wpływ we wzrost miały dochody podatkowe (ESA2010), które wzrosły nominalnie o </w:t>
      </w:r>
      <w:r w:rsidR="007D30EF" w:rsidRPr="007D30EF">
        <w:rPr>
          <w:rFonts w:ascii="Times New Roman" w:hAnsi="Times New Roman"/>
          <w:bCs/>
          <w:sz w:val="20"/>
          <w:szCs w:val="20"/>
        </w:rPr>
        <w:t>8,1</w:t>
      </w:r>
      <w:r w:rsidR="003E77B8" w:rsidRPr="007D30EF">
        <w:rPr>
          <w:rFonts w:ascii="Times New Roman" w:hAnsi="Times New Roman"/>
          <w:bCs/>
          <w:sz w:val="20"/>
          <w:szCs w:val="20"/>
        </w:rPr>
        <w:t>% r/r</w:t>
      </w:r>
      <w:r w:rsidR="009D4908">
        <w:rPr>
          <w:rFonts w:ascii="Times New Roman" w:hAnsi="Times New Roman"/>
          <w:bCs/>
          <w:sz w:val="20"/>
          <w:szCs w:val="20"/>
        </w:rPr>
        <w:t xml:space="preserve"> (wzrost </w:t>
      </w:r>
      <w:r w:rsidR="006678BB">
        <w:rPr>
          <w:rFonts w:ascii="Times New Roman" w:hAnsi="Times New Roman"/>
          <w:bCs/>
          <w:sz w:val="20"/>
          <w:szCs w:val="20"/>
        </w:rPr>
        <w:t xml:space="preserve">relacji </w:t>
      </w:r>
      <w:r w:rsidR="009D4908">
        <w:rPr>
          <w:rFonts w:ascii="Times New Roman" w:hAnsi="Times New Roman"/>
          <w:bCs/>
          <w:sz w:val="20"/>
          <w:szCs w:val="20"/>
        </w:rPr>
        <w:t>r/r o 0,3 pkt. proc. PKB).</w:t>
      </w:r>
    </w:p>
    <w:p w:rsidR="00424B41" w:rsidRPr="007D30EF" w:rsidRDefault="005372DF" w:rsidP="00424B41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Poza wzrostem dochodów podatkowych do wzrostu dochodów przyczynił się wzrost o 0,</w:t>
      </w:r>
      <w:r w:rsidR="009D4908">
        <w:rPr>
          <w:rFonts w:ascii="Times New Roman" w:hAnsi="Times New Roman"/>
          <w:bCs/>
          <w:sz w:val="20"/>
          <w:szCs w:val="20"/>
        </w:rPr>
        <w:t>3</w:t>
      </w:r>
      <w:r>
        <w:rPr>
          <w:rFonts w:ascii="Times New Roman" w:hAnsi="Times New Roman"/>
          <w:bCs/>
          <w:sz w:val="20"/>
          <w:szCs w:val="20"/>
        </w:rPr>
        <w:t xml:space="preserve"> pkt. proc. PKB (nominalnie o 8,5% r/r) wzrost dochodów z </w:t>
      </w:r>
      <w:r w:rsidR="00424B41" w:rsidRPr="007D30EF">
        <w:rPr>
          <w:rFonts w:ascii="Times New Roman" w:hAnsi="Times New Roman"/>
          <w:bCs/>
          <w:sz w:val="20"/>
          <w:szCs w:val="20"/>
        </w:rPr>
        <w:t>tytułu składek na ubezpieczenie społeczne</w:t>
      </w:r>
      <w:r>
        <w:rPr>
          <w:rFonts w:ascii="Times New Roman" w:hAnsi="Times New Roman"/>
          <w:bCs/>
          <w:sz w:val="20"/>
          <w:szCs w:val="20"/>
        </w:rPr>
        <w:t xml:space="preserve">, rejestrowanych </w:t>
      </w:r>
      <w:r w:rsidR="0095332B" w:rsidRPr="007D30EF">
        <w:rPr>
          <w:rFonts w:ascii="Times New Roman" w:hAnsi="Times New Roman"/>
          <w:bCs/>
          <w:sz w:val="20"/>
          <w:szCs w:val="20"/>
        </w:rPr>
        <w:t>w </w:t>
      </w:r>
      <w:r w:rsidR="00D95ADB" w:rsidRPr="007D30EF">
        <w:rPr>
          <w:rFonts w:ascii="Times New Roman" w:hAnsi="Times New Roman"/>
          <w:bCs/>
          <w:sz w:val="20"/>
          <w:szCs w:val="20"/>
        </w:rPr>
        <w:t>pods</w:t>
      </w:r>
      <w:r>
        <w:rPr>
          <w:rFonts w:ascii="Times New Roman" w:hAnsi="Times New Roman"/>
          <w:bCs/>
          <w:sz w:val="20"/>
          <w:szCs w:val="20"/>
        </w:rPr>
        <w:t>ektorze ubezpieczeń społecznych. Wzrost był głównie rezultatem dobrej sytuacji na rynku pracy, w</w:t>
      </w:r>
      <w:r w:rsidR="009D4908">
        <w:rPr>
          <w:rFonts w:ascii="Times New Roman" w:hAnsi="Times New Roman"/>
          <w:bCs/>
          <w:sz w:val="20"/>
          <w:szCs w:val="20"/>
        </w:rPr>
        <w:t> </w:t>
      </w:r>
      <w:r>
        <w:rPr>
          <w:rFonts w:ascii="Times New Roman" w:hAnsi="Times New Roman"/>
          <w:bCs/>
          <w:sz w:val="20"/>
          <w:szCs w:val="20"/>
        </w:rPr>
        <w:t xml:space="preserve">wyniku czego </w:t>
      </w:r>
      <w:r w:rsidR="0062692F" w:rsidRPr="0062692F">
        <w:rPr>
          <w:rFonts w:ascii="Times New Roman" w:hAnsi="Times New Roman"/>
          <w:bCs/>
          <w:sz w:val="20"/>
          <w:szCs w:val="20"/>
        </w:rPr>
        <w:t>temp</w:t>
      </w:r>
      <w:r>
        <w:rPr>
          <w:rFonts w:ascii="Times New Roman" w:hAnsi="Times New Roman"/>
          <w:bCs/>
          <w:sz w:val="20"/>
          <w:szCs w:val="20"/>
        </w:rPr>
        <w:t>o</w:t>
      </w:r>
      <w:r w:rsidR="0062692F" w:rsidRPr="0062692F">
        <w:rPr>
          <w:rFonts w:ascii="Times New Roman" w:hAnsi="Times New Roman"/>
          <w:bCs/>
          <w:sz w:val="20"/>
          <w:szCs w:val="20"/>
        </w:rPr>
        <w:t xml:space="preserve"> wzrostu funduszu wynagrodzeń w gospodarce narodowej (bez tzw. jedno</w:t>
      </w:r>
      <w:r w:rsidR="0062692F">
        <w:rPr>
          <w:rFonts w:ascii="Times New Roman" w:hAnsi="Times New Roman"/>
          <w:bCs/>
          <w:sz w:val="20"/>
          <w:szCs w:val="20"/>
        </w:rPr>
        <w:t xml:space="preserve">stek małych) </w:t>
      </w:r>
      <w:r w:rsidR="0062692F">
        <w:rPr>
          <w:rFonts w:ascii="Times New Roman" w:hAnsi="Times New Roman"/>
          <w:bCs/>
          <w:sz w:val="20"/>
          <w:szCs w:val="20"/>
        </w:rPr>
        <w:lastRenderedPageBreak/>
        <w:t>wyn</w:t>
      </w:r>
      <w:r>
        <w:rPr>
          <w:rFonts w:ascii="Times New Roman" w:hAnsi="Times New Roman"/>
          <w:bCs/>
          <w:sz w:val="20"/>
          <w:szCs w:val="20"/>
        </w:rPr>
        <w:t>iosło</w:t>
      </w:r>
      <w:r w:rsidR="0062692F">
        <w:rPr>
          <w:rFonts w:ascii="Times New Roman" w:hAnsi="Times New Roman"/>
          <w:bCs/>
          <w:sz w:val="20"/>
          <w:szCs w:val="20"/>
        </w:rPr>
        <w:t xml:space="preserve"> 9,7</w:t>
      </w:r>
      <w:r w:rsidR="0062692F" w:rsidRPr="0062692F">
        <w:rPr>
          <w:rFonts w:ascii="Times New Roman" w:hAnsi="Times New Roman"/>
          <w:bCs/>
          <w:sz w:val="20"/>
          <w:szCs w:val="20"/>
        </w:rPr>
        <w:t>% r/r.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CE4AD9" w:rsidRPr="004F0702" w:rsidTr="00415A43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CE4AD9" w:rsidRPr="00D321D9" w:rsidRDefault="00CE4AD9" w:rsidP="00D321D9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D321D9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Wyk. </w:t>
            </w:r>
            <w:r w:rsidR="009E157D" w:rsidRPr="00D321D9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2</w:t>
            </w:r>
            <w:r w:rsidRPr="00D321D9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. Struktura dochodów sektora instytucji rządowy</w:t>
            </w:r>
            <w:r w:rsidR="00844B6E" w:rsidRPr="00D321D9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ch i samorządowych w I kw. 201</w:t>
            </w:r>
            <w:r w:rsidR="00D321D9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9</w:t>
            </w:r>
            <w:r w:rsidRPr="00D321D9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 r.</w:t>
            </w:r>
          </w:p>
        </w:tc>
      </w:tr>
      <w:tr w:rsidR="00CE4AD9" w:rsidRPr="004F0702" w:rsidTr="00D77324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CE4AD9" w:rsidRPr="00D321D9" w:rsidRDefault="00D321D9" w:rsidP="00CE4AD9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>
                  <wp:extent cx="2879725" cy="1769110"/>
                  <wp:effectExtent l="0" t="0" r="0" b="2540"/>
                  <wp:docPr id="16" name="Obraz 16" descr="Wykres prezentuje Strukturę dochodów sektora instytucji rządowych i samorządowych w I kw. 2019 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AD9" w:rsidRPr="004F0702" w:rsidTr="00415A43">
        <w:tc>
          <w:tcPr>
            <w:tcW w:w="4680" w:type="dxa"/>
          </w:tcPr>
          <w:p w:rsidR="00CE4AD9" w:rsidRPr="00D321D9" w:rsidRDefault="00CE4AD9" w:rsidP="00CE4AD9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D321D9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Dane Eurostat, GUS, obliczenia własne </w:t>
            </w:r>
          </w:p>
        </w:tc>
      </w:tr>
    </w:tbl>
    <w:p w:rsidR="0043791B" w:rsidRPr="0043791B" w:rsidRDefault="0043791B" w:rsidP="0043791B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43791B">
        <w:rPr>
          <w:rFonts w:ascii="Times New Roman" w:hAnsi="Times New Roman"/>
          <w:bCs/>
          <w:sz w:val="20"/>
          <w:szCs w:val="20"/>
        </w:rPr>
        <w:t>Dochody z tytułu podatku VAT (ESA2010), w I</w:t>
      </w:r>
      <w:r w:rsidR="009D4908">
        <w:rPr>
          <w:rFonts w:ascii="Times New Roman" w:hAnsi="Times New Roman"/>
          <w:bCs/>
          <w:sz w:val="20"/>
          <w:szCs w:val="20"/>
        </w:rPr>
        <w:t> </w:t>
      </w:r>
      <w:r w:rsidRPr="0043791B">
        <w:rPr>
          <w:rFonts w:ascii="Times New Roman" w:hAnsi="Times New Roman"/>
          <w:bCs/>
          <w:sz w:val="20"/>
          <w:szCs w:val="20"/>
        </w:rPr>
        <w:t>kw.</w:t>
      </w:r>
      <w:r w:rsidR="009D4908">
        <w:rPr>
          <w:rFonts w:ascii="Times New Roman" w:hAnsi="Times New Roman"/>
          <w:bCs/>
          <w:sz w:val="20"/>
          <w:szCs w:val="20"/>
        </w:rPr>
        <w:t> </w:t>
      </w:r>
      <w:r w:rsidRPr="0043791B">
        <w:rPr>
          <w:rFonts w:ascii="Times New Roman" w:hAnsi="Times New Roman"/>
          <w:bCs/>
          <w:sz w:val="20"/>
          <w:szCs w:val="20"/>
        </w:rPr>
        <w:t xml:space="preserve">2019 r. były nominalnie wyższe o 6,3% </w:t>
      </w:r>
      <w:r w:rsidR="009D4908">
        <w:rPr>
          <w:rFonts w:ascii="Times New Roman" w:hAnsi="Times New Roman"/>
          <w:bCs/>
          <w:sz w:val="20"/>
          <w:szCs w:val="20"/>
        </w:rPr>
        <w:t>r/r. W </w:t>
      </w:r>
      <w:r w:rsidRPr="0043791B">
        <w:rPr>
          <w:rFonts w:ascii="Times New Roman" w:hAnsi="Times New Roman"/>
          <w:bCs/>
          <w:sz w:val="20"/>
          <w:szCs w:val="20"/>
        </w:rPr>
        <w:t>I</w:t>
      </w:r>
      <w:r w:rsidR="009D4908">
        <w:rPr>
          <w:rFonts w:ascii="Times New Roman" w:hAnsi="Times New Roman"/>
          <w:bCs/>
          <w:sz w:val="20"/>
          <w:szCs w:val="20"/>
        </w:rPr>
        <w:t> </w:t>
      </w:r>
      <w:r w:rsidRPr="0043791B">
        <w:rPr>
          <w:rFonts w:ascii="Times New Roman" w:hAnsi="Times New Roman"/>
          <w:bCs/>
          <w:sz w:val="20"/>
          <w:szCs w:val="20"/>
        </w:rPr>
        <w:t xml:space="preserve">kw. wzrost sprzedaży detalicznej wyniósł 5,4% r/r, a produkcji sprzedanej 8,6% r/r. </w:t>
      </w:r>
    </w:p>
    <w:p w:rsidR="0043791B" w:rsidRPr="0043791B" w:rsidRDefault="0043791B" w:rsidP="0043791B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43791B">
        <w:rPr>
          <w:rFonts w:ascii="Times New Roman" w:hAnsi="Times New Roman"/>
          <w:bCs/>
          <w:sz w:val="20"/>
          <w:szCs w:val="20"/>
        </w:rPr>
        <w:t>Dochody sektora instytucji rządowych i samorządowych z PIT (ESA2010), wyniosły w</w:t>
      </w:r>
      <w:r w:rsidR="009D4908">
        <w:rPr>
          <w:rFonts w:ascii="Times New Roman" w:hAnsi="Times New Roman"/>
          <w:bCs/>
          <w:sz w:val="20"/>
          <w:szCs w:val="20"/>
        </w:rPr>
        <w:t> </w:t>
      </w:r>
      <w:r w:rsidRPr="0043791B">
        <w:rPr>
          <w:rFonts w:ascii="Times New Roman" w:hAnsi="Times New Roman"/>
          <w:bCs/>
          <w:sz w:val="20"/>
          <w:szCs w:val="20"/>
        </w:rPr>
        <w:t>I</w:t>
      </w:r>
      <w:r w:rsidR="009D4908">
        <w:rPr>
          <w:rFonts w:ascii="Times New Roman" w:hAnsi="Times New Roman"/>
          <w:bCs/>
          <w:sz w:val="20"/>
          <w:szCs w:val="20"/>
        </w:rPr>
        <w:t> </w:t>
      </w:r>
      <w:r w:rsidRPr="0043791B">
        <w:rPr>
          <w:rFonts w:ascii="Times New Roman" w:hAnsi="Times New Roman"/>
          <w:bCs/>
          <w:sz w:val="20"/>
          <w:szCs w:val="20"/>
        </w:rPr>
        <w:t>kw.</w:t>
      </w:r>
      <w:r w:rsidR="009D4908">
        <w:rPr>
          <w:rFonts w:ascii="Times New Roman" w:hAnsi="Times New Roman"/>
          <w:bCs/>
          <w:sz w:val="20"/>
          <w:szCs w:val="20"/>
        </w:rPr>
        <w:t> </w:t>
      </w:r>
      <w:r w:rsidRPr="0043791B">
        <w:rPr>
          <w:rFonts w:ascii="Times New Roman" w:hAnsi="Times New Roman"/>
          <w:bCs/>
          <w:sz w:val="20"/>
          <w:szCs w:val="20"/>
        </w:rPr>
        <w:t>2019</w:t>
      </w:r>
      <w:r w:rsidR="009D4908">
        <w:rPr>
          <w:rFonts w:ascii="Times New Roman" w:hAnsi="Times New Roman"/>
          <w:bCs/>
          <w:sz w:val="20"/>
          <w:szCs w:val="20"/>
        </w:rPr>
        <w:t> </w:t>
      </w:r>
      <w:r w:rsidRPr="0043791B">
        <w:rPr>
          <w:rFonts w:ascii="Times New Roman" w:hAnsi="Times New Roman"/>
          <w:bCs/>
          <w:sz w:val="20"/>
          <w:szCs w:val="20"/>
        </w:rPr>
        <w:t xml:space="preserve">r. 25,3 mld zł i były </w:t>
      </w:r>
      <w:r w:rsidR="009D4908">
        <w:rPr>
          <w:rFonts w:ascii="Times New Roman" w:hAnsi="Times New Roman"/>
          <w:bCs/>
          <w:sz w:val="20"/>
          <w:szCs w:val="20"/>
        </w:rPr>
        <w:t xml:space="preserve">nominalnie </w:t>
      </w:r>
      <w:r w:rsidRPr="0043791B">
        <w:rPr>
          <w:rFonts w:ascii="Times New Roman" w:hAnsi="Times New Roman"/>
          <w:bCs/>
          <w:sz w:val="20"/>
          <w:szCs w:val="20"/>
        </w:rPr>
        <w:t>wyższe o</w:t>
      </w:r>
      <w:r w:rsidR="009D4908">
        <w:rPr>
          <w:rFonts w:ascii="Times New Roman" w:hAnsi="Times New Roman"/>
          <w:bCs/>
          <w:sz w:val="20"/>
          <w:szCs w:val="20"/>
        </w:rPr>
        <w:t xml:space="preserve"> 1,6% r/r. Niewielki wzrost jest </w:t>
      </w:r>
      <w:r w:rsidRPr="0043791B">
        <w:rPr>
          <w:rFonts w:ascii="Times New Roman" w:hAnsi="Times New Roman"/>
          <w:bCs/>
          <w:sz w:val="20"/>
          <w:szCs w:val="20"/>
        </w:rPr>
        <w:t>skutkiem niższych wpływów podatku pobieranego wg skali podatkowej (spadek o 6,4% r/r), co było związane z dokonywaniem przez urzędy skarbowe szybszych zwrotów podatku w</w:t>
      </w:r>
      <w:r w:rsidR="009D4908">
        <w:rPr>
          <w:rFonts w:ascii="Times New Roman" w:hAnsi="Times New Roman"/>
          <w:bCs/>
          <w:sz w:val="20"/>
          <w:szCs w:val="20"/>
        </w:rPr>
        <w:t> </w:t>
      </w:r>
      <w:r w:rsidRPr="0043791B">
        <w:rPr>
          <w:rFonts w:ascii="Times New Roman" w:hAnsi="Times New Roman"/>
          <w:bCs/>
          <w:sz w:val="20"/>
          <w:szCs w:val="20"/>
        </w:rPr>
        <w:t xml:space="preserve">ramach rozliczenia rocznego za 2018 r. W 2019 r. podatnicy korzystali z systemu internetowego rozliczenia podatku </w:t>
      </w:r>
      <w:proofErr w:type="spellStart"/>
      <w:r w:rsidRPr="0043791B">
        <w:rPr>
          <w:rFonts w:ascii="Times New Roman" w:hAnsi="Times New Roman"/>
          <w:bCs/>
          <w:sz w:val="20"/>
          <w:szCs w:val="20"/>
        </w:rPr>
        <w:t>ePIT</w:t>
      </w:r>
      <w:proofErr w:type="spellEnd"/>
      <w:r w:rsidRPr="0043791B">
        <w:rPr>
          <w:rFonts w:ascii="Times New Roman" w:hAnsi="Times New Roman"/>
          <w:bCs/>
          <w:sz w:val="20"/>
          <w:szCs w:val="20"/>
        </w:rPr>
        <w:t>, co przyspieszyło złożenie zeznania oraz skróciło oczekiwanie na zwrot podatku. Nominalne tempo wzrostu przeciętnego funduszu wynagrodzeń w gospodarce narodowej oraz emerytur i</w:t>
      </w:r>
      <w:r w:rsidR="009D4908">
        <w:rPr>
          <w:rFonts w:ascii="Times New Roman" w:hAnsi="Times New Roman"/>
          <w:bCs/>
          <w:sz w:val="20"/>
          <w:szCs w:val="20"/>
        </w:rPr>
        <w:t> </w:t>
      </w:r>
      <w:r w:rsidRPr="0043791B">
        <w:rPr>
          <w:rFonts w:ascii="Times New Roman" w:hAnsi="Times New Roman"/>
          <w:bCs/>
          <w:sz w:val="20"/>
          <w:szCs w:val="20"/>
        </w:rPr>
        <w:t>rent w I kw. 2019 r. wyniosło 8,4% r/r. Wciąż wysokie były dochody podatkowe od działalności gospodarczej: w przypadku wpływów z 19% podatku wzrost wyniósł 16,8% r/r, a dla podatku od przychodów ewidencjonowanych 21,9% r/r.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43791B" w:rsidRPr="0043791B" w:rsidTr="00A51C86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43791B" w:rsidRPr="0043791B" w:rsidRDefault="0043791B" w:rsidP="0043791B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43791B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lastRenderedPageBreak/>
              <w:t xml:space="preserve"> Wyk. 3. Dynamika memoriałowych wpływów z podatku VAT (r/r).</w:t>
            </w:r>
          </w:p>
        </w:tc>
      </w:tr>
      <w:tr w:rsidR="0043791B" w:rsidRPr="0043791B" w:rsidTr="00A51C86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43791B" w:rsidRPr="0043791B" w:rsidRDefault="0043791B" w:rsidP="0043791B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43791B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67226CF4" wp14:editId="2EBAB52B">
                  <wp:extent cx="2838450" cy="2035810"/>
                  <wp:effectExtent l="0" t="0" r="0" b="0"/>
                  <wp:docPr id="7" name="Obraz 7" descr="Wykres prezentuje dynamikę memoriałowych wpływów z podatku VAT (r/r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03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91B" w:rsidRPr="0043791B" w:rsidTr="00A51C86">
        <w:tc>
          <w:tcPr>
            <w:tcW w:w="4680" w:type="dxa"/>
          </w:tcPr>
          <w:p w:rsidR="0043791B" w:rsidRPr="0043791B" w:rsidRDefault="0043791B" w:rsidP="0043791B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43791B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</w:t>
            </w:r>
            <w:r w:rsidRPr="0043791B">
              <w:rPr>
                <w:rFonts w:ascii="Times New Roman" w:hAnsi="Times New Roman" w:cs="Arial"/>
                <w:bCs/>
                <w:color w:val="ADAFB2"/>
                <w:sz w:val="20"/>
                <w:szCs w:val="20"/>
              </w:rPr>
              <w:t>MF</w:t>
            </w:r>
          </w:p>
        </w:tc>
      </w:tr>
    </w:tbl>
    <w:p w:rsidR="0043791B" w:rsidRPr="0043791B" w:rsidRDefault="0043791B" w:rsidP="0043791B">
      <w:pPr>
        <w:widowControl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43791B">
        <w:rPr>
          <w:rFonts w:ascii="Times New Roman" w:hAnsi="Times New Roman"/>
          <w:bCs/>
          <w:sz w:val="20"/>
          <w:szCs w:val="20"/>
        </w:rPr>
        <w:t>Dochody sektora instytucji rządowych i samorządowych z CIT (ESA2010) wyniosły w I kw. 2019 r. 19,1 mld zł i były wyższe o 23,6% r/r. Wpływy od banków i pozostałych instytucji finansowych spadły o 1,1% r/r, a wpływy od pozostałych przedsiębiorstw wzrosły o 30,8% r/r. Wysokie wpływy z podatku CIT wynikają z dokonania przez podatników rocznego rozliczenia za 201</w:t>
      </w:r>
      <w:r w:rsidR="009D4908">
        <w:rPr>
          <w:rFonts w:ascii="Times New Roman" w:hAnsi="Times New Roman"/>
          <w:bCs/>
          <w:sz w:val="20"/>
          <w:szCs w:val="20"/>
        </w:rPr>
        <w:t>8</w:t>
      </w:r>
      <w:r w:rsidRPr="0043791B">
        <w:rPr>
          <w:rFonts w:ascii="Times New Roman" w:hAnsi="Times New Roman"/>
          <w:bCs/>
          <w:sz w:val="20"/>
          <w:szCs w:val="20"/>
        </w:rPr>
        <w:t xml:space="preserve"> r., które było korzystne dla sektora finansów publicznych. W I kw. 2019 r. według GUS wynik finansowy brutto przedsiębiorstw niefinansowych zmniejszył się o 5,0% r/r, a zysk brutto tych podmiotów wzrósł o 0,2% r/r. Wynik finansowy brutto banków w pierwszym kwartale 2019 r. spadł o</w:t>
      </w:r>
      <w:r w:rsidR="009D4908">
        <w:rPr>
          <w:rFonts w:ascii="Times New Roman" w:hAnsi="Times New Roman"/>
          <w:bCs/>
          <w:sz w:val="20"/>
          <w:szCs w:val="20"/>
        </w:rPr>
        <w:t> </w:t>
      </w:r>
      <w:r w:rsidRPr="0043791B">
        <w:rPr>
          <w:rFonts w:ascii="Times New Roman" w:hAnsi="Times New Roman"/>
          <w:bCs/>
          <w:sz w:val="20"/>
          <w:szCs w:val="20"/>
        </w:rPr>
        <w:t xml:space="preserve">9,3% r/r. </w:t>
      </w:r>
    </w:p>
    <w:p w:rsidR="0043791B" w:rsidRPr="0043791B" w:rsidRDefault="0043791B" w:rsidP="0043791B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43791B">
        <w:rPr>
          <w:rFonts w:ascii="Times New Roman" w:hAnsi="Times New Roman"/>
          <w:bCs/>
          <w:sz w:val="20"/>
          <w:szCs w:val="20"/>
        </w:rPr>
        <w:t>Dochody z akcyzy, (ESA2010), wyniosły w I</w:t>
      </w:r>
      <w:r w:rsidR="009D4908">
        <w:rPr>
          <w:rFonts w:ascii="Times New Roman" w:hAnsi="Times New Roman"/>
          <w:bCs/>
          <w:sz w:val="20"/>
          <w:szCs w:val="20"/>
        </w:rPr>
        <w:t> </w:t>
      </w:r>
      <w:r w:rsidRPr="0043791B">
        <w:rPr>
          <w:rFonts w:ascii="Times New Roman" w:hAnsi="Times New Roman"/>
          <w:bCs/>
          <w:sz w:val="20"/>
          <w:szCs w:val="20"/>
        </w:rPr>
        <w:t>kw.</w:t>
      </w:r>
      <w:r w:rsidR="009D4908">
        <w:rPr>
          <w:rFonts w:ascii="Times New Roman" w:hAnsi="Times New Roman"/>
          <w:bCs/>
          <w:sz w:val="20"/>
          <w:szCs w:val="20"/>
        </w:rPr>
        <w:t> </w:t>
      </w:r>
      <w:r w:rsidRPr="0043791B">
        <w:rPr>
          <w:rFonts w:ascii="Times New Roman" w:hAnsi="Times New Roman"/>
          <w:bCs/>
          <w:sz w:val="20"/>
          <w:szCs w:val="20"/>
        </w:rPr>
        <w:t>2019</w:t>
      </w:r>
      <w:r w:rsidR="009D4908">
        <w:rPr>
          <w:rFonts w:ascii="Times New Roman" w:hAnsi="Times New Roman"/>
          <w:bCs/>
          <w:sz w:val="20"/>
          <w:szCs w:val="20"/>
        </w:rPr>
        <w:t> </w:t>
      </w:r>
      <w:r w:rsidRPr="0043791B">
        <w:rPr>
          <w:rFonts w:ascii="Times New Roman" w:hAnsi="Times New Roman"/>
          <w:bCs/>
          <w:sz w:val="20"/>
          <w:szCs w:val="20"/>
        </w:rPr>
        <w:t>r. 16,8 mld zł i były wyższe o 5,3% r/r. Dynamika wpływów z podatku akcyzowego była wysoka, mimo wprowadzenia od 1 stycznia 2019 r. obniżonej o 75% stawki podatku na energię elektryczną. Było to możliwe dzięki wysokim dochodom z podatku od paliw silnikowych (wzrost o 4,9% r/r) oraz od wyrobów tytoniowych (wzrost o 14,1% r/r) i alkoholu etylowego (wzrost o 17,7% r/r). Wpływy z podatku od energii elektrycznej spadły o 63,3% r/r, ale ich udział w akcyzie ogółem wyniósł tylko 1,5% (w I kw. 2018 r. było to 4,2%.</w:t>
      </w:r>
    </w:p>
    <w:p w:rsidR="0043791B" w:rsidRPr="0043791B" w:rsidRDefault="0043791B" w:rsidP="0043791B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43791B">
        <w:rPr>
          <w:rFonts w:ascii="Times New Roman" w:hAnsi="Times New Roman"/>
          <w:bCs/>
          <w:sz w:val="20"/>
          <w:szCs w:val="20"/>
        </w:rPr>
        <w:t>Pozostałe dochody sektora instytucji rządowych i samorządowych w</w:t>
      </w:r>
      <w:r w:rsidR="009D4908">
        <w:rPr>
          <w:rFonts w:ascii="Times New Roman" w:hAnsi="Times New Roman"/>
          <w:bCs/>
          <w:sz w:val="20"/>
          <w:szCs w:val="20"/>
        </w:rPr>
        <w:t xml:space="preserve"> I kw. 2019 r. wzrosły </w:t>
      </w:r>
      <w:r w:rsidRPr="0043791B">
        <w:rPr>
          <w:rFonts w:ascii="Times New Roman" w:hAnsi="Times New Roman"/>
          <w:bCs/>
          <w:sz w:val="20"/>
          <w:szCs w:val="20"/>
        </w:rPr>
        <w:t>nominalnie o </w:t>
      </w:r>
      <w:r w:rsidR="009D4908">
        <w:rPr>
          <w:rFonts w:ascii="Times New Roman" w:hAnsi="Times New Roman"/>
          <w:bCs/>
          <w:sz w:val="20"/>
          <w:szCs w:val="20"/>
        </w:rPr>
        <w:t>15,1</w:t>
      </w:r>
      <w:r w:rsidRPr="0043791B">
        <w:rPr>
          <w:rFonts w:ascii="Times New Roman" w:hAnsi="Times New Roman"/>
          <w:bCs/>
          <w:sz w:val="20"/>
          <w:szCs w:val="20"/>
        </w:rPr>
        <w:t>% r/r.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43791B" w:rsidRPr="0043791B" w:rsidTr="00A51C86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43791B" w:rsidRPr="0043791B" w:rsidRDefault="0043791B" w:rsidP="0043791B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43791B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lastRenderedPageBreak/>
              <w:t>Wyk. 4. Wpływy z podatku VAT (memoriałowe) w relacji do PKB.</w:t>
            </w:r>
          </w:p>
        </w:tc>
      </w:tr>
      <w:tr w:rsidR="0043791B" w:rsidRPr="0043791B" w:rsidTr="00A51C86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43791B" w:rsidRPr="0043791B" w:rsidRDefault="0043791B" w:rsidP="0043791B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43791B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56049897" wp14:editId="095EBADE">
                  <wp:extent cx="2838450" cy="2035810"/>
                  <wp:effectExtent l="0" t="0" r="0" b="0"/>
                  <wp:docPr id="8" name="Obraz 8" descr="Wykres prezentuje wpływy z podatku VAT (memoriałowe) w relacji do PK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03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91B" w:rsidRPr="0043791B" w:rsidTr="00A51C86">
        <w:tc>
          <w:tcPr>
            <w:tcW w:w="4680" w:type="dxa"/>
          </w:tcPr>
          <w:p w:rsidR="0043791B" w:rsidRPr="0043791B" w:rsidRDefault="0043791B" w:rsidP="0043791B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43791B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</w:t>
            </w:r>
            <w:r w:rsidRPr="0043791B">
              <w:rPr>
                <w:rFonts w:ascii="Times New Roman" w:hAnsi="Times New Roman" w:cs="Arial"/>
                <w:bCs/>
                <w:color w:val="ADAFB2"/>
                <w:sz w:val="20"/>
                <w:szCs w:val="20"/>
              </w:rPr>
              <w:t>MF</w:t>
            </w:r>
          </w:p>
        </w:tc>
      </w:tr>
    </w:tbl>
    <w:p w:rsidR="0078543D" w:rsidRDefault="00FE2837" w:rsidP="006B7502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925C6C">
        <w:rPr>
          <w:rFonts w:ascii="Times New Roman" w:hAnsi="Times New Roman"/>
          <w:bCs/>
          <w:sz w:val="20"/>
          <w:szCs w:val="20"/>
        </w:rPr>
        <w:t xml:space="preserve">Z pozostałych dochodów, największą dynamikę zanotowały </w:t>
      </w:r>
      <w:r w:rsidR="005F459E" w:rsidRPr="00925C6C">
        <w:rPr>
          <w:rFonts w:ascii="Times New Roman" w:hAnsi="Times New Roman"/>
          <w:bCs/>
          <w:sz w:val="20"/>
          <w:szCs w:val="20"/>
        </w:rPr>
        <w:t xml:space="preserve">dochody z tytułu transferów </w:t>
      </w:r>
      <w:r w:rsidR="000B2EB1" w:rsidRPr="00925C6C">
        <w:rPr>
          <w:rFonts w:ascii="Times New Roman" w:hAnsi="Times New Roman"/>
          <w:bCs/>
          <w:sz w:val="20"/>
          <w:szCs w:val="20"/>
        </w:rPr>
        <w:t>kapitałowych</w:t>
      </w:r>
      <w:r w:rsidR="0052514A" w:rsidRPr="00925C6C">
        <w:rPr>
          <w:rFonts w:ascii="Times New Roman" w:hAnsi="Times New Roman"/>
          <w:bCs/>
          <w:sz w:val="20"/>
          <w:szCs w:val="20"/>
        </w:rPr>
        <w:t xml:space="preserve"> (</w:t>
      </w:r>
      <w:r w:rsidRPr="00925C6C">
        <w:rPr>
          <w:rFonts w:ascii="Times New Roman" w:hAnsi="Times New Roman"/>
          <w:bCs/>
          <w:sz w:val="20"/>
          <w:szCs w:val="20"/>
        </w:rPr>
        <w:t>wzrost</w:t>
      </w:r>
      <w:r w:rsidR="0052514A" w:rsidRPr="00925C6C">
        <w:rPr>
          <w:rFonts w:ascii="Times New Roman" w:hAnsi="Times New Roman"/>
          <w:bCs/>
          <w:sz w:val="20"/>
          <w:szCs w:val="20"/>
        </w:rPr>
        <w:t xml:space="preserve"> aż o </w:t>
      </w:r>
      <w:r w:rsidR="0004545E" w:rsidRPr="00925C6C">
        <w:rPr>
          <w:rFonts w:ascii="Times New Roman" w:hAnsi="Times New Roman"/>
          <w:bCs/>
          <w:sz w:val="20"/>
          <w:szCs w:val="20"/>
        </w:rPr>
        <w:t>1</w:t>
      </w:r>
      <w:r w:rsidR="00704EEE" w:rsidRPr="00925C6C">
        <w:rPr>
          <w:rFonts w:ascii="Times New Roman" w:hAnsi="Times New Roman"/>
          <w:bCs/>
          <w:sz w:val="20"/>
          <w:szCs w:val="20"/>
        </w:rPr>
        <w:t>79,5</w:t>
      </w:r>
      <w:r w:rsidR="001D1B9F" w:rsidRPr="00925C6C">
        <w:rPr>
          <w:rFonts w:ascii="Times New Roman" w:hAnsi="Times New Roman"/>
          <w:bCs/>
          <w:sz w:val="20"/>
          <w:szCs w:val="20"/>
        </w:rPr>
        <w:t>%</w:t>
      </w:r>
      <w:r w:rsidR="003F6C6C" w:rsidRPr="00925C6C">
        <w:rPr>
          <w:rFonts w:ascii="Times New Roman" w:hAnsi="Times New Roman"/>
          <w:bCs/>
          <w:sz w:val="20"/>
          <w:szCs w:val="20"/>
        </w:rPr>
        <w:t> </w:t>
      </w:r>
      <w:r w:rsidR="0078543D">
        <w:rPr>
          <w:rFonts w:ascii="Times New Roman" w:hAnsi="Times New Roman"/>
          <w:bCs/>
          <w:sz w:val="20"/>
          <w:szCs w:val="20"/>
        </w:rPr>
        <w:t xml:space="preserve"> r/r).</w:t>
      </w:r>
      <w:r w:rsidR="00C1170E" w:rsidRPr="00925C6C">
        <w:rPr>
          <w:rFonts w:ascii="Times New Roman" w:hAnsi="Times New Roman"/>
          <w:bCs/>
          <w:sz w:val="20"/>
          <w:szCs w:val="20"/>
        </w:rPr>
        <w:t xml:space="preserve"> </w:t>
      </w:r>
      <w:r w:rsidR="0078543D" w:rsidRPr="0078543D">
        <w:rPr>
          <w:rFonts w:ascii="Times New Roman" w:hAnsi="Times New Roman"/>
          <w:bCs/>
          <w:sz w:val="20"/>
          <w:szCs w:val="20"/>
        </w:rPr>
        <w:t>Wysokie tempo transferów kapitałowych sugeruje, iż nastąpiło znaczące przyspieszenie absorbcji środków unijnych.</w:t>
      </w:r>
    </w:p>
    <w:p w:rsidR="00EF223A" w:rsidRPr="00D65A3D" w:rsidRDefault="00903C82" w:rsidP="006B7502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4" w:name="_Toc15028619"/>
      <w:r w:rsidRPr="00D65A3D">
        <w:rPr>
          <w:rFonts w:ascii="Arial" w:hAnsi="Arial" w:cs="Arial"/>
          <w:i w:val="0"/>
          <w:color w:val="E31837"/>
          <w:sz w:val="20"/>
          <w:szCs w:val="20"/>
        </w:rPr>
        <w:t>1.</w:t>
      </w:r>
      <w:r w:rsidR="00D55ED6" w:rsidRPr="00D65A3D">
        <w:rPr>
          <w:rFonts w:ascii="Arial" w:hAnsi="Arial" w:cs="Arial"/>
          <w:i w:val="0"/>
          <w:color w:val="E31837"/>
          <w:sz w:val="20"/>
          <w:szCs w:val="20"/>
        </w:rPr>
        <w:t>3</w:t>
      </w:r>
      <w:r w:rsidRPr="00D65A3D">
        <w:rPr>
          <w:rFonts w:ascii="Arial" w:hAnsi="Arial" w:cs="Arial"/>
          <w:i w:val="0"/>
          <w:color w:val="E31837"/>
          <w:sz w:val="20"/>
          <w:szCs w:val="20"/>
        </w:rPr>
        <w:t>. Wydatki</w:t>
      </w:r>
      <w:bookmarkEnd w:id="4"/>
    </w:p>
    <w:p w:rsidR="006678BB" w:rsidRDefault="00E62A46" w:rsidP="006B7502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E62A46">
        <w:rPr>
          <w:rFonts w:ascii="Times New Roman" w:hAnsi="Times New Roman"/>
          <w:bCs/>
          <w:sz w:val="20"/>
          <w:szCs w:val="20"/>
        </w:rPr>
        <w:t>W I</w:t>
      </w:r>
      <w:r w:rsidR="00F15FF6" w:rsidRPr="00E62A46">
        <w:rPr>
          <w:rFonts w:ascii="Times New Roman" w:hAnsi="Times New Roman"/>
          <w:bCs/>
          <w:sz w:val="20"/>
          <w:szCs w:val="20"/>
        </w:rPr>
        <w:t xml:space="preserve"> kw</w:t>
      </w:r>
      <w:r w:rsidR="003B2E14" w:rsidRPr="00E62A46">
        <w:rPr>
          <w:rFonts w:ascii="Times New Roman" w:hAnsi="Times New Roman"/>
          <w:bCs/>
          <w:sz w:val="20"/>
          <w:szCs w:val="20"/>
        </w:rPr>
        <w:t>.</w:t>
      </w:r>
      <w:r w:rsidRPr="00E62A46">
        <w:rPr>
          <w:rFonts w:ascii="Times New Roman" w:hAnsi="Times New Roman"/>
          <w:bCs/>
          <w:sz w:val="20"/>
          <w:szCs w:val="20"/>
        </w:rPr>
        <w:t xml:space="preserve"> 2019</w:t>
      </w:r>
      <w:r w:rsidR="00F15FF6" w:rsidRPr="00E62A46">
        <w:rPr>
          <w:rFonts w:ascii="Times New Roman" w:hAnsi="Times New Roman"/>
          <w:bCs/>
          <w:sz w:val="20"/>
          <w:szCs w:val="20"/>
        </w:rPr>
        <w:t xml:space="preserve"> r. wydatki sektora instytucji rządowych i</w:t>
      </w:r>
      <w:r w:rsidR="00F142BF" w:rsidRPr="00E62A46">
        <w:rPr>
          <w:rFonts w:ascii="Times New Roman" w:hAnsi="Times New Roman"/>
          <w:bCs/>
          <w:sz w:val="20"/>
          <w:szCs w:val="20"/>
        </w:rPr>
        <w:t> </w:t>
      </w:r>
      <w:r w:rsidR="00F15FF6" w:rsidRPr="00E62A46">
        <w:rPr>
          <w:rFonts w:ascii="Times New Roman" w:hAnsi="Times New Roman"/>
          <w:bCs/>
          <w:sz w:val="20"/>
          <w:szCs w:val="20"/>
        </w:rPr>
        <w:t>samorządowych (ES</w:t>
      </w:r>
      <w:r w:rsidR="00AF066D" w:rsidRPr="00E62A46">
        <w:rPr>
          <w:rFonts w:ascii="Times New Roman" w:hAnsi="Times New Roman"/>
          <w:bCs/>
          <w:sz w:val="20"/>
          <w:szCs w:val="20"/>
        </w:rPr>
        <w:t xml:space="preserve">A2010) wyniosły </w:t>
      </w:r>
      <w:r w:rsidRPr="00E62A46">
        <w:rPr>
          <w:rFonts w:ascii="Times New Roman" w:hAnsi="Times New Roman"/>
          <w:bCs/>
          <w:sz w:val="20"/>
          <w:szCs w:val="20"/>
        </w:rPr>
        <w:t>207,5</w:t>
      </w:r>
      <w:r w:rsidR="003B2E14" w:rsidRPr="00E62A46">
        <w:rPr>
          <w:rFonts w:ascii="Times New Roman" w:hAnsi="Times New Roman"/>
          <w:bCs/>
          <w:sz w:val="20"/>
          <w:szCs w:val="20"/>
        </w:rPr>
        <w:t> </w:t>
      </w:r>
      <w:r w:rsidR="0020557E" w:rsidRPr="00E62A46">
        <w:rPr>
          <w:rFonts w:ascii="Times New Roman" w:hAnsi="Times New Roman"/>
          <w:bCs/>
          <w:sz w:val="20"/>
          <w:szCs w:val="20"/>
        </w:rPr>
        <w:t>mld zł i</w:t>
      </w:r>
      <w:r w:rsidR="009D4908">
        <w:rPr>
          <w:rFonts w:ascii="Times New Roman" w:hAnsi="Times New Roman"/>
          <w:bCs/>
          <w:sz w:val="20"/>
          <w:szCs w:val="20"/>
        </w:rPr>
        <w:t> </w:t>
      </w:r>
      <w:r w:rsidR="0020557E" w:rsidRPr="00E62A46">
        <w:rPr>
          <w:rFonts w:ascii="Times New Roman" w:hAnsi="Times New Roman"/>
          <w:bCs/>
          <w:sz w:val="20"/>
          <w:szCs w:val="20"/>
        </w:rPr>
        <w:t xml:space="preserve">były </w:t>
      </w:r>
      <w:r w:rsidR="009D4908">
        <w:rPr>
          <w:rFonts w:ascii="Times New Roman" w:hAnsi="Times New Roman"/>
          <w:bCs/>
          <w:sz w:val="20"/>
          <w:szCs w:val="20"/>
        </w:rPr>
        <w:t xml:space="preserve">nominalnie wyższe </w:t>
      </w:r>
      <w:r w:rsidR="006678BB">
        <w:rPr>
          <w:rFonts w:ascii="Times New Roman" w:hAnsi="Times New Roman"/>
          <w:bCs/>
          <w:sz w:val="20"/>
          <w:szCs w:val="20"/>
        </w:rPr>
        <w:t xml:space="preserve">o 6,3% </w:t>
      </w:r>
      <w:r w:rsidR="003B2E14" w:rsidRPr="00E62A46">
        <w:rPr>
          <w:rFonts w:ascii="Times New Roman" w:hAnsi="Times New Roman"/>
          <w:bCs/>
          <w:sz w:val="20"/>
          <w:szCs w:val="20"/>
        </w:rPr>
        <w:t>r/r</w:t>
      </w:r>
      <w:r w:rsidR="00F15FF6" w:rsidRPr="00E62A46">
        <w:rPr>
          <w:rFonts w:ascii="Times New Roman" w:hAnsi="Times New Roman"/>
          <w:bCs/>
          <w:sz w:val="20"/>
          <w:szCs w:val="20"/>
        </w:rPr>
        <w:t xml:space="preserve"> </w:t>
      </w:r>
      <w:r w:rsidR="006678BB">
        <w:rPr>
          <w:rFonts w:ascii="Times New Roman" w:hAnsi="Times New Roman"/>
          <w:bCs/>
          <w:sz w:val="20"/>
          <w:szCs w:val="20"/>
        </w:rPr>
        <w:t>(spadek relacji r/r o 0,2 pkt. proc. PKB)</w:t>
      </w:r>
    </w:p>
    <w:p w:rsidR="00EF223A" w:rsidRPr="00E62A46" w:rsidRDefault="00F15FF6" w:rsidP="006B7502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E62A46">
        <w:rPr>
          <w:rFonts w:ascii="Times New Roman" w:hAnsi="Times New Roman"/>
          <w:bCs/>
          <w:sz w:val="20"/>
          <w:szCs w:val="20"/>
        </w:rPr>
        <w:t>Największy udział w wydatkach sektora instytucji rządowych i</w:t>
      </w:r>
      <w:r w:rsidR="00F142BF" w:rsidRPr="00E62A46">
        <w:rPr>
          <w:rFonts w:ascii="Times New Roman" w:hAnsi="Times New Roman"/>
          <w:bCs/>
          <w:sz w:val="20"/>
          <w:szCs w:val="20"/>
        </w:rPr>
        <w:t> </w:t>
      </w:r>
      <w:r w:rsidRPr="00E62A46">
        <w:rPr>
          <w:rFonts w:ascii="Times New Roman" w:hAnsi="Times New Roman"/>
          <w:bCs/>
          <w:sz w:val="20"/>
          <w:szCs w:val="20"/>
        </w:rPr>
        <w:t xml:space="preserve">samorządowych mają świadczenia społeczne, wydatki na wynagrodzenia (łącznie ze składkami) oraz wydatki na </w:t>
      </w:r>
      <w:r w:rsidR="000106DF" w:rsidRPr="00E62A46">
        <w:rPr>
          <w:rFonts w:ascii="Times New Roman" w:hAnsi="Times New Roman"/>
          <w:bCs/>
          <w:sz w:val="20"/>
          <w:szCs w:val="20"/>
        </w:rPr>
        <w:t>zakup towarów i usług (zużycie pośrednie)</w:t>
      </w:r>
      <w:r w:rsidRPr="00E62A46">
        <w:rPr>
          <w:rFonts w:ascii="Times New Roman" w:hAnsi="Times New Roman"/>
          <w:bCs/>
          <w:sz w:val="20"/>
          <w:szCs w:val="20"/>
        </w:rPr>
        <w:t>.</w:t>
      </w:r>
    </w:p>
    <w:p w:rsidR="00266236" w:rsidRPr="00D32822" w:rsidRDefault="00D32822" w:rsidP="009E157D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D32822">
        <w:rPr>
          <w:rFonts w:ascii="Times New Roman" w:hAnsi="Times New Roman"/>
          <w:bCs/>
          <w:sz w:val="20"/>
          <w:szCs w:val="20"/>
        </w:rPr>
        <w:t>W I</w:t>
      </w:r>
      <w:r w:rsidR="004F2B88" w:rsidRPr="00D32822">
        <w:rPr>
          <w:rFonts w:ascii="Times New Roman" w:hAnsi="Times New Roman"/>
          <w:bCs/>
          <w:sz w:val="20"/>
          <w:szCs w:val="20"/>
        </w:rPr>
        <w:t xml:space="preserve"> kw. 201</w:t>
      </w:r>
      <w:r w:rsidRPr="00D32822">
        <w:rPr>
          <w:rFonts w:ascii="Times New Roman" w:hAnsi="Times New Roman"/>
          <w:bCs/>
          <w:sz w:val="20"/>
          <w:szCs w:val="20"/>
        </w:rPr>
        <w:t>9</w:t>
      </w:r>
      <w:r w:rsidR="009E157D" w:rsidRPr="00D32822">
        <w:rPr>
          <w:rFonts w:ascii="Times New Roman" w:hAnsi="Times New Roman"/>
          <w:bCs/>
          <w:sz w:val="20"/>
          <w:szCs w:val="20"/>
        </w:rPr>
        <w:t xml:space="preserve"> r. świadczenia socjalne wzrosły nominalnie o </w:t>
      </w:r>
      <w:r w:rsidRPr="00D32822">
        <w:rPr>
          <w:rFonts w:ascii="Times New Roman" w:hAnsi="Times New Roman"/>
          <w:bCs/>
          <w:sz w:val="20"/>
          <w:szCs w:val="20"/>
        </w:rPr>
        <w:t>4,9</w:t>
      </w:r>
      <w:r w:rsidR="009E157D" w:rsidRPr="00D32822">
        <w:rPr>
          <w:rFonts w:ascii="Times New Roman" w:hAnsi="Times New Roman"/>
          <w:bCs/>
          <w:sz w:val="20"/>
          <w:szCs w:val="20"/>
        </w:rPr>
        <w:t>% r/r,</w:t>
      </w:r>
      <w:r w:rsidR="009E157D" w:rsidRPr="00D32822">
        <w:t xml:space="preserve"> </w:t>
      </w:r>
      <w:r w:rsidR="009E157D" w:rsidRPr="00D32822">
        <w:rPr>
          <w:rFonts w:ascii="Times New Roman" w:hAnsi="Times New Roman"/>
          <w:bCs/>
          <w:sz w:val="20"/>
          <w:szCs w:val="20"/>
        </w:rPr>
        <w:t xml:space="preserve">tj. </w:t>
      </w:r>
      <w:r w:rsidR="006678BB">
        <w:rPr>
          <w:rFonts w:ascii="Times New Roman" w:hAnsi="Times New Roman"/>
          <w:bCs/>
          <w:sz w:val="20"/>
          <w:szCs w:val="20"/>
        </w:rPr>
        <w:t xml:space="preserve">nieco </w:t>
      </w:r>
      <w:r w:rsidR="00AF066D" w:rsidRPr="00D32822">
        <w:rPr>
          <w:rFonts w:ascii="Times New Roman" w:hAnsi="Times New Roman"/>
          <w:bCs/>
          <w:sz w:val="20"/>
          <w:szCs w:val="20"/>
        </w:rPr>
        <w:t>poniżej</w:t>
      </w:r>
      <w:r w:rsidR="009E157D" w:rsidRPr="00D32822">
        <w:rPr>
          <w:rFonts w:ascii="Times New Roman" w:hAnsi="Times New Roman"/>
          <w:bCs/>
          <w:sz w:val="20"/>
          <w:szCs w:val="20"/>
        </w:rPr>
        <w:t xml:space="preserve"> tempa wzrostu przeciętnego kwartalnego funduszu</w:t>
      </w:r>
      <w:r w:rsidR="00000BC6" w:rsidRPr="00D32822">
        <w:rPr>
          <w:rFonts w:ascii="Times New Roman" w:hAnsi="Times New Roman"/>
          <w:bCs/>
          <w:sz w:val="20"/>
          <w:szCs w:val="20"/>
        </w:rPr>
        <w:t xml:space="preserve"> emerytur i </w:t>
      </w:r>
      <w:r w:rsidR="009E157D" w:rsidRPr="00D32822">
        <w:rPr>
          <w:rFonts w:ascii="Times New Roman" w:hAnsi="Times New Roman"/>
          <w:bCs/>
          <w:sz w:val="20"/>
          <w:szCs w:val="20"/>
        </w:rPr>
        <w:t xml:space="preserve">rent (ok. </w:t>
      </w:r>
      <w:r w:rsidR="00AF066D" w:rsidRPr="00D32822">
        <w:rPr>
          <w:rFonts w:ascii="Times New Roman" w:hAnsi="Times New Roman"/>
          <w:bCs/>
          <w:sz w:val="20"/>
          <w:szCs w:val="20"/>
        </w:rPr>
        <w:t>5</w:t>
      </w:r>
      <w:r w:rsidRPr="00D32822">
        <w:rPr>
          <w:rFonts w:ascii="Times New Roman" w:hAnsi="Times New Roman"/>
          <w:bCs/>
          <w:sz w:val="20"/>
          <w:szCs w:val="20"/>
        </w:rPr>
        <w:t>,3</w:t>
      </w:r>
      <w:r w:rsidR="009E157D" w:rsidRPr="00D32822">
        <w:rPr>
          <w:rFonts w:ascii="Times New Roman" w:hAnsi="Times New Roman"/>
          <w:bCs/>
          <w:sz w:val="20"/>
          <w:szCs w:val="20"/>
        </w:rPr>
        <w:t>% r/r), który ma największy udział w tej kategorii.</w:t>
      </w:r>
      <w:r w:rsidR="00776A04" w:rsidRPr="00D32822">
        <w:rPr>
          <w:rFonts w:ascii="Times New Roman" w:hAnsi="Times New Roman"/>
          <w:bCs/>
          <w:sz w:val="20"/>
          <w:szCs w:val="20"/>
        </w:rPr>
        <w:t xml:space="preserve"> 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CE4AD9" w:rsidRPr="00D321D9" w:rsidTr="00415A43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CE4AD9" w:rsidRPr="00D321D9" w:rsidRDefault="00CE4AD9" w:rsidP="004B0BE5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r w:rsidRPr="00D321D9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lastRenderedPageBreak/>
              <w:t xml:space="preserve">Wyk. </w:t>
            </w:r>
            <w:r w:rsidR="004B0BE5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5</w:t>
            </w:r>
            <w:r w:rsidRPr="00D321D9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. Struktura wydatków sektora instytucji rządowych i samorządowych w I kw. 201</w:t>
            </w:r>
            <w:r w:rsidR="00D321D9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9</w:t>
            </w:r>
            <w:r w:rsidRPr="00D321D9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CE4AD9" w:rsidRPr="00D321D9" w:rsidTr="00D55ED6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CE4AD9" w:rsidRPr="00D321D9" w:rsidRDefault="00D321D9" w:rsidP="00CE4AD9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D321D9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5487742F" wp14:editId="6B810B89">
                  <wp:extent cx="2879725" cy="1793240"/>
                  <wp:effectExtent l="0" t="0" r="0" b="0"/>
                  <wp:docPr id="17" name="Obraz 17" descr="Wykres prezentuje strukturę wydatków sektora instytucji rządowych i samorządowych w I kw. 2019 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179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AD9" w:rsidRPr="00D321D9" w:rsidTr="00415A43">
        <w:tc>
          <w:tcPr>
            <w:tcW w:w="4680" w:type="dxa"/>
          </w:tcPr>
          <w:p w:rsidR="00CE4AD9" w:rsidRPr="00D321D9" w:rsidRDefault="00CE4AD9" w:rsidP="00CE4AD9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D321D9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Dane Eurostat, GUS, obliczenia własne </w:t>
            </w:r>
          </w:p>
        </w:tc>
      </w:tr>
    </w:tbl>
    <w:p w:rsidR="00F76424" w:rsidRPr="00161969" w:rsidRDefault="003B6037" w:rsidP="00D55ED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D321D9">
        <w:rPr>
          <w:rFonts w:ascii="Times New Roman" w:hAnsi="Times New Roman"/>
          <w:bCs/>
          <w:sz w:val="20"/>
          <w:szCs w:val="20"/>
        </w:rPr>
        <w:t>W I kw. 2019 r. odnotowano istotny wz</w:t>
      </w:r>
      <w:r w:rsidR="0094645D" w:rsidRPr="00D321D9">
        <w:rPr>
          <w:rFonts w:ascii="Times New Roman" w:hAnsi="Times New Roman"/>
          <w:bCs/>
          <w:sz w:val="20"/>
          <w:szCs w:val="20"/>
        </w:rPr>
        <w:t>rost wy</w:t>
      </w:r>
      <w:r w:rsidR="00F76424" w:rsidRPr="00D321D9">
        <w:rPr>
          <w:rFonts w:ascii="Times New Roman" w:hAnsi="Times New Roman"/>
          <w:bCs/>
          <w:sz w:val="20"/>
          <w:szCs w:val="20"/>
        </w:rPr>
        <w:t>datków na zużycie pośrednie (</w:t>
      </w:r>
      <w:r w:rsidR="00161969" w:rsidRPr="00D321D9">
        <w:rPr>
          <w:rFonts w:ascii="Times New Roman" w:hAnsi="Times New Roman"/>
          <w:bCs/>
          <w:sz w:val="20"/>
          <w:szCs w:val="20"/>
        </w:rPr>
        <w:t>10</w:t>
      </w:r>
      <w:r w:rsidR="002D2C1E" w:rsidRPr="00D321D9">
        <w:rPr>
          <w:rFonts w:ascii="Times New Roman" w:hAnsi="Times New Roman"/>
          <w:bCs/>
          <w:sz w:val="20"/>
          <w:szCs w:val="20"/>
        </w:rPr>
        <w:t>,5</w:t>
      </w:r>
      <w:r w:rsidR="00F76424" w:rsidRPr="00D321D9">
        <w:rPr>
          <w:rFonts w:ascii="Times New Roman" w:hAnsi="Times New Roman"/>
          <w:bCs/>
          <w:sz w:val="20"/>
          <w:szCs w:val="20"/>
        </w:rPr>
        <w:t>% r/r) oraz koszt</w:t>
      </w:r>
      <w:r w:rsidRPr="00D321D9">
        <w:rPr>
          <w:rFonts w:ascii="Times New Roman" w:hAnsi="Times New Roman"/>
          <w:bCs/>
          <w:sz w:val="20"/>
          <w:szCs w:val="20"/>
        </w:rPr>
        <w:t>ów</w:t>
      </w:r>
      <w:r w:rsidR="00F76424" w:rsidRPr="00D321D9">
        <w:rPr>
          <w:rFonts w:ascii="Times New Roman" w:hAnsi="Times New Roman"/>
          <w:bCs/>
          <w:sz w:val="20"/>
          <w:szCs w:val="20"/>
        </w:rPr>
        <w:t xml:space="preserve"> pracy</w:t>
      </w:r>
      <w:r w:rsidR="00F76424" w:rsidRPr="00161969">
        <w:rPr>
          <w:rFonts w:ascii="Times New Roman" w:hAnsi="Times New Roman"/>
          <w:bCs/>
          <w:sz w:val="20"/>
          <w:szCs w:val="20"/>
        </w:rPr>
        <w:t xml:space="preserve"> (</w:t>
      </w:r>
      <w:r w:rsidR="00161969" w:rsidRPr="00161969">
        <w:rPr>
          <w:rFonts w:ascii="Times New Roman" w:hAnsi="Times New Roman"/>
          <w:bCs/>
          <w:sz w:val="20"/>
          <w:szCs w:val="20"/>
        </w:rPr>
        <w:t>7,2</w:t>
      </w:r>
      <w:r w:rsidR="0094645D" w:rsidRPr="00161969">
        <w:rPr>
          <w:rFonts w:ascii="Times New Roman" w:hAnsi="Times New Roman"/>
          <w:bCs/>
          <w:sz w:val="20"/>
          <w:szCs w:val="20"/>
        </w:rPr>
        <w:t>% r/r)</w:t>
      </w:r>
      <w:r>
        <w:rPr>
          <w:rFonts w:ascii="Times New Roman" w:hAnsi="Times New Roman"/>
          <w:bCs/>
          <w:sz w:val="20"/>
          <w:szCs w:val="20"/>
        </w:rPr>
        <w:t>, który przyczynił się do wzrostu spożycia publicznego o 8,4% r/r, nie obserwowanego od 2016 r.</w:t>
      </w:r>
    </w:p>
    <w:p w:rsidR="00682D29" w:rsidRPr="0058169D" w:rsidRDefault="007D349F" w:rsidP="00D55ED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58169D">
        <w:rPr>
          <w:rFonts w:ascii="Times New Roman" w:hAnsi="Times New Roman"/>
          <w:bCs/>
          <w:sz w:val="20"/>
          <w:szCs w:val="20"/>
        </w:rPr>
        <w:t xml:space="preserve">Dynamika wydatków inwestycyjnych pierwszy raz od początku 2017 r. nie osiągnęła poziomu dwucyfrowego  </w:t>
      </w:r>
      <w:r w:rsidR="0050706F" w:rsidRPr="0058169D">
        <w:rPr>
          <w:rFonts w:ascii="Times New Roman" w:hAnsi="Times New Roman"/>
          <w:bCs/>
          <w:sz w:val="20"/>
          <w:szCs w:val="20"/>
        </w:rPr>
        <w:t xml:space="preserve">(wzrost nominalnie o </w:t>
      </w:r>
      <w:r w:rsidRPr="0058169D">
        <w:rPr>
          <w:rFonts w:ascii="Times New Roman" w:hAnsi="Times New Roman"/>
          <w:bCs/>
          <w:sz w:val="20"/>
          <w:szCs w:val="20"/>
        </w:rPr>
        <w:t>7</w:t>
      </w:r>
      <w:r w:rsidR="0050706F" w:rsidRPr="0058169D">
        <w:rPr>
          <w:rFonts w:ascii="Times New Roman" w:hAnsi="Times New Roman"/>
          <w:bCs/>
          <w:sz w:val="20"/>
          <w:szCs w:val="20"/>
        </w:rPr>
        <w:t>,4</w:t>
      </w:r>
      <w:r w:rsidR="00F76424" w:rsidRPr="0058169D">
        <w:rPr>
          <w:rFonts w:ascii="Times New Roman" w:hAnsi="Times New Roman"/>
          <w:bCs/>
          <w:sz w:val="20"/>
          <w:szCs w:val="20"/>
        </w:rPr>
        <w:t>% r/r).</w:t>
      </w:r>
      <w:r w:rsidR="00781699" w:rsidRPr="0058169D">
        <w:rPr>
          <w:rFonts w:ascii="Times New Roman" w:hAnsi="Times New Roman"/>
          <w:bCs/>
          <w:sz w:val="20"/>
          <w:szCs w:val="20"/>
        </w:rPr>
        <w:t xml:space="preserve"> </w:t>
      </w:r>
      <w:r w:rsidR="003B6037" w:rsidRPr="003B6037">
        <w:rPr>
          <w:rFonts w:ascii="Times New Roman" w:hAnsi="Times New Roman"/>
          <w:bCs/>
          <w:sz w:val="20"/>
          <w:szCs w:val="20"/>
        </w:rPr>
        <w:t>Wzrost ten wynikał głównie z dwucyfrowego wzrostu wydatków inwestycyjnych w jednostkach samorządu terytorialnego (w ujęci</w:t>
      </w:r>
      <w:r w:rsidR="003B6037">
        <w:rPr>
          <w:rFonts w:ascii="Times New Roman" w:hAnsi="Times New Roman"/>
          <w:bCs/>
          <w:sz w:val="20"/>
          <w:szCs w:val="20"/>
        </w:rPr>
        <w:t xml:space="preserve">u kasowym wzrost o 33,8% r/r). </w:t>
      </w:r>
      <w:r w:rsidR="005C6992" w:rsidRPr="0058169D">
        <w:rPr>
          <w:rFonts w:ascii="Times New Roman" w:hAnsi="Times New Roman"/>
          <w:bCs/>
          <w:sz w:val="20"/>
          <w:szCs w:val="20"/>
        </w:rPr>
        <w:t>Jednocześnie</w:t>
      </w:r>
      <w:r w:rsidR="001A4160" w:rsidRPr="0058169D">
        <w:rPr>
          <w:rFonts w:ascii="Times New Roman" w:hAnsi="Times New Roman"/>
          <w:bCs/>
          <w:sz w:val="20"/>
          <w:szCs w:val="20"/>
        </w:rPr>
        <w:t xml:space="preserve"> odnotowano spadek wydatków</w:t>
      </w:r>
      <w:r w:rsidR="005C6992" w:rsidRPr="0058169D">
        <w:rPr>
          <w:rFonts w:ascii="Times New Roman" w:hAnsi="Times New Roman"/>
          <w:bCs/>
          <w:sz w:val="20"/>
          <w:szCs w:val="20"/>
        </w:rPr>
        <w:t xml:space="preserve"> </w:t>
      </w:r>
      <w:r w:rsidR="0058169D">
        <w:rPr>
          <w:rFonts w:ascii="Times New Roman" w:hAnsi="Times New Roman"/>
          <w:bCs/>
          <w:sz w:val="20"/>
          <w:szCs w:val="20"/>
        </w:rPr>
        <w:t xml:space="preserve">w </w:t>
      </w:r>
      <w:r w:rsidR="005C6992" w:rsidRPr="0058169D">
        <w:rPr>
          <w:rFonts w:ascii="Times New Roman" w:hAnsi="Times New Roman"/>
          <w:bCs/>
          <w:sz w:val="20"/>
          <w:szCs w:val="20"/>
        </w:rPr>
        <w:t>zakresie infrastruktury kolejowej.</w:t>
      </w:r>
    </w:p>
    <w:p w:rsidR="00424B41" w:rsidRPr="004F0702" w:rsidRDefault="00424B41">
      <w:pPr>
        <w:spacing w:after="0" w:line="240" w:lineRule="auto"/>
        <w:rPr>
          <w:rFonts w:ascii="Times New Roman" w:hAnsi="Times New Roman"/>
          <w:bCs/>
          <w:sz w:val="20"/>
          <w:szCs w:val="20"/>
          <w:highlight w:val="yellow"/>
        </w:rPr>
      </w:pPr>
      <w:r w:rsidRPr="004F0702">
        <w:rPr>
          <w:rFonts w:ascii="Times New Roman" w:hAnsi="Times New Roman"/>
          <w:bCs/>
          <w:sz w:val="20"/>
          <w:szCs w:val="20"/>
          <w:highlight w:val="yellow"/>
        </w:rPr>
        <w:br w:type="page"/>
      </w:r>
    </w:p>
    <w:p w:rsidR="00D321D9" w:rsidRPr="005C5661" w:rsidRDefault="00D321D9" w:rsidP="00D321D9">
      <w:pPr>
        <w:pStyle w:val="Nagwek1"/>
        <w:spacing w:before="120" w:line="288" w:lineRule="auto"/>
      </w:pPr>
      <w:bookmarkStart w:id="5" w:name="_Toc378241155"/>
      <w:bookmarkStart w:id="6" w:name="_Toc472594681"/>
      <w:bookmarkStart w:id="7" w:name="_Toc536019015"/>
      <w:bookmarkStart w:id="8" w:name="_Toc15028620"/>
      <w:r>
        <w:rPr>
          <w:rFonts w:ascii="Arial" w:hAnsi="Arial" w:cs="Arial"/>
          <w:color w:val="ADAFB2"/>
          <w:sz w:val="28"/>
          <w:szCs w:val="28"/>
        </w:rPr>
        <w:lastRenderedPageBreak/>
        <w:t>2</w:t>
      </w:r>
      <w:r w:rsidRPr="005C5661">
        <w:rPr>
          <w:rFonts w:ascii="Arial" w:hAnsi="Arial" w:cs="Arial"/>
          <w:color w:val="ADAFB2"/>
          <w:sz w:val="28"/>
          <w:szCs w:val="28"/>
        </w:rPr>
        <w:t xml:space="preserve">. </w:t>
      </w:r>
      <w:bookmarkEnd w:id="5"/>
      <w:r w:rsidRPr="005C5661">
        <w:rPr>
          <w:rFonts w:ascii="Arial" w:hAnsi="Arial" w:cs="Arial"/>
          <w:color w:val="ADAFB2"/>
          <w:sz w:val="28"/>
          <w:szCs w:val="28"/>
        </w:rPr>
        <w:t>Dług publiczny oraz potrzeby pożyczkowe</w:t>
      </w:r>
      <w:bookmarkEnd w:id="6"/>
      <w:bookmarkEnd w:id="7"/>
      <w:bookmarkEnd w:id="8"/>
    </w:p>
    <w:p w:rsidR="00D321D9" w:rsidRPr="007F3038" w:rsidRDefault="00D321D9" w:rsidP="007F3038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9" w:name="_Toc472594682"/>
      <w:bookmarkStart w:id="10" w:name="_Toc536019016"/>
      <w:bookmarkStart w:id="11" w:name="_Toc15028621"/>
      <w:r w:rsidRPr="007F3038">
        <w:rPr>
          <w:rFonts w:ascii="Arial" w:hAnsi="Arial" w:cs="Arial"/>
          <w:i w:val="0"/>
          <w:color w:val="E31837"/>
          <w:sz w:val="20"/>
          <w:szCs w:val="20"/>
        </w:rPr>
        <w:t>2.1. Dług sektora instytucji rządowych i samorządowych (wg definicji UE)</w:t>
      </w:r>
      <w:bookmarkEnd w:id="9"/>
      <w:bookmarkEnd w:id="10"/>
      <w:bookmarkEnd w:id="11"/>
    </w:p>
    <w:p w:rsidR="00D321D9" w:rsidRPr="0061515D" w:rsidRDefault="00D321D9" w:rsidP="00D321D9">
      <w:pPr>
        <w:widowControl w:val="0"/>
        <w:autoSpaceDE w:val="0"/>
        <w:autoSpaceDN w:val="0"/>
        <w:adjustRightInd w:val="0"/>
        <w:spacing w:before="120" w:after="6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 w:cs="Arial"/>
          <w:sz w:val="20"/>
          <w:szCs w:val="20"/>
        </w:rPr>
        <w:t>Na koniec I kwartału 201</w:t>
      </w:r>
      <w:r>
        <w:rPr>
          <w:rFonts w:ascii="Times New Roman" w:hAnsi="Times New Roman" w:cs="Arial"/>
          <w:sz w:val="20"/>
          <w:szCs w:val="20"/>
        </w:rPr>
        <w:t>9</w:t>
      </w:r>
      <w:r w:rsidRPr="0061515D">
        <w:rPr>
          <w:rFonts w:ascii="Times New Roman" w:hAnsi="Times New Roman" w:cs="Arial"/>
          <w:sz w:val="20"/>
          <w:szCs w:val="20"/>
        </w:rPr>
        <w:t xml:space="preserve"> r. dług sektora instytucji rządowych i samorządowych (dług EDP) stanowiący jeden z elementów kryterium fiskalnego z </w:t>
      </w:r>
      <w:proofErr w:type="spellStart"/>
      <w:r w:rsidRPr="0061515D">
        <w:rPr>
          <w:rFonts w:ascii="Times New Roman" w:hAnsi="Times New Roman" w:cs="Arial"/>
          <w:sz w:val="20"/>
          <w:szCs w:val="20"/>
        </w:rPr>
        <w:t>Maastricht</w:t>
      </w:r>
      <w:proofErr w:type="spellEnd"/>
      <w:r w:rsidRPr="0061515D">
        <w:rPr>
          <w:rFonts w:ascii="Times New Roman" w:hAnsi="Times New Roman" w:cs="Arial"/>
          <w:sz w:val="20"/>
          <w:szCs w:val="20"/>
        </w:rPr>
        <w:t xml:space="preserve"> wyniósł 1.0</w:t>
      </w:r>
      <w:r>
        <w:rPr>
          <w:rFonts w:ascii="Times New Roman" w:hAnsi="Times New Roman" w:cs="Arial"/>
          <w:sz w:val="20"/>
          <w:szCs w:val="20"/>
        </w:rPr>
        <w:t>54</w:t>
      </w:r>
      <w:r w:rsidRPr="0061515D">
        <w:rPr>
          <w:rFonts w:ascii="Times New Roman" w:hAnsi="Times New Roman" w:cs="Arial"/>
          <w:sz w:val="20"/>
          <w:szCs w:val="20"/>
        </w:rPr>
        <w:t>,</w:t>
      </w:r>
      <w:r>
        <w:rPr>
          <w:rFonts w:ascii="Times New Roman" w:hAnsi="Times New Roman" w:cs="Arial"/>
          <w:sz w:val="20"/>
          <w:szCs w:val="20"/>
        </w:rPr>
        <w:t>9 mld zł, co oznaczało wzrost</w:t>
      </w:r>
      <w:r w:rsidRPr="00E051BD">
        <w:rPr>
          <w:rFonts w:ascii="Times New Roman" w:hAnsi="Times New Roman"/>
          <w:sz w:val="20"/>
          <w:szCs w:val="20"/>
        </w:rPr>
        <w:t xml:space="preserve"> o </w:t>
      </w:r>
      <w:r>
        <w:rPr>
          <w:rFonts w:ascii="Times New Roman" w:hAnsi="Times New Roman"/>
          <w:sz w:val="20"/>
          <w:szCs w:val="20"/>
        </w:rPr>
        <w:t>20</w:t>
      </w:r>
      <w:r w:rsidRPr="00E051BD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5</w:t>
      </w:r>
      <w:r w:rsidRPr="00E051BD">
        <w:rPr>
          <w:rFonts w:ascii="Times New Roman" w:hAnsi="Times New Roman"/>
          <w:sz w:val="20"/>
          <w:szCs w:val="20"/>
        </w:rPr>
        <w:t xml:space="preserve"> mld zł (</w:t>
      </w:r>
      <w:r>
        <w:rPr>
          <w:rFonts w:ascii="Times New Roman" w:hAnsi="Times New Roman"/>
          <w:sz w:val="20"/>
          <w:szCs w:val="20"/>
        </w:rPr>
        <w:t>2,0</w:t>
      </w:r>
      <w:r w:rsidRPr="00E051BD">
        <w:rPr>
          <w:rFonts w:ascii="Times New Roman" w:hAnsi="Times New Roman"/>
          <w:sz w:val="20"/>
          <w:szCs w:val="20"/>
        </w:rPr>
        <w:t>%) w porównaniu z końcem 201</w:t>
      </w:r>
      <w:r>
        <w:rPr>
          <w:rFonts w:ascii="Times New Roman" w:hAnsi="Times New Roman"/>
          <w:sz w:val="20"/>
          <w:szCs w:val="20"/>
        </w:rPr>
        <w:t>8</w:t>
      </w:r>
      <w:r w:rsidRPr="00E051BD">
        <w:rPr>
          <w:rFonts w:ascii="Times New Roman" w:hAnsi="Times New Roman"/>
          <w:sz w:val="20"/>
          <w:szCs w:val="20"/>
        </w:rPr>
        <w:t> r.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D321D9" w:rsidRPr="0061515D" w:rsidTr="005016A5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D321D9" w:rsidRPr="0061515D" w:rsidRDefault="00D321D9" w:rsidP="005016A5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61515D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Wyk. 6. Dług EDP</w:t>
            </w:r>
          </w:p>
        </w:tc>
      </w:tr>
      <w:tr w:rsidR="00D321D9" w:rsidRPr="0061515D" w:rsidTr="005016A5">
        <w:tblPrEx>
          <w:tblCellMar>
            <w:left w:w="70" w:type="dxa"/>
            <w:right w:w="70" w:type="dxa"/>
          </w:tblCellMar>
        </w:tblPrEx>
        <w:trPr>
          <w:trHeight w:val="3307"/>
        </w:trPr>
        <w:tc>
          <w:tcPr>
            <w:tcW w:w="4680" w:type="dxa"/>
            <w:tcBorders>
              <w:top w:val="single" w:sz="8" w:space="0" w:color="ADAFB2"/>
            </w:tcBorders>
          </w:tcPr>
          <w:p w:rsidR="00D321D9" w:rsidRPr="0061515D" w:rsidRDefault="00D321D9" w:rsidP="005016A5">
            <w:pPr>
              <w:keepNext/>
              <w:spacing w:before="120" w:after="120" w:line="288" w:lineRule="auto"/>
              <w:ind w:left="-108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A5404E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0C320F1A" wp14:editId="777A2060">
                  <wp:extent cx="2927350" cy="2051050"/>
                  <wp:effectExtent l="0" t="0" r="0" b="0"/>
                  <wp:docPr id="4" name="Obraz 4" descr="Wykres prezentuje dług ED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0" cy="205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1D9" w:rsidRPr="0061515D" w:rsidTr="005016A5">
        <w:tc>
          <w:tcPr>
            <w:tcW w:w="4680" w:type="dxa"/>
          </w:tcPr>
          <w:p w:rsidR="00D321D9" w:rsidRPr="0061515D" w:rsidRDefault="00D321D9" w:rsidP="005016A5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61515D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>Źródło: MF</w:t>
            </w:r>
          </w:p>
        </w:tc>
      </w:tr>
    </w:tbl>
    <w:p w:rsidR="00D321D9" w:rsidRPr="0061515D" w:rsidRDefault="00D321D9" w:rsidP="00D321D9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>Na dług EDP złożyło się zadłużenie podsektorów:</w:t>
      </w:r>
    </w:p>
    <w:p w:rsidR="00D321D9" w:rsidRPr="0061515D" w:rsidRDefault="00D321D9" w:rsidP="00D321D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>rządowego 9</w:t>
      </w:r>
      <w:r>
        <w:rPr>
          <w:rFonts w:ascii="Times New Roman" w:hAnsi="Times New Roman"/>
          <w:sz w:val="20"/>
          <w:szCs w:val="20"/>
        </w:rPr>
        <w:t>74,0</w:t>
      </w:r>
      <w:r w:rsidRPr="0061515D">
        <w:rPr>
          <w:rFonts w:ascii="Times New Roman" w:hAnsi="Times New Roman"/>
          <w:sz w:val="20"/>
          <w:szCs w:val="20"/>
        </w:rPr>
        <w:t xml:space="preserve"> mld zł  (</w:t>
      </w:r>
      <w:r>
        <w:rPr>
          <w:rFonts w:ascii="Times New Roman" w:hAnsi="Times New Roman"/>
          <w:sz w:val="20"/>
          <w:szCs w:val="20"/>
        </w:rPr>
        <w:t>wzrost</w:t>
      </w:r>
      <w:r w:rsidRPr="0061515D">
        <w:rPr>
          <w:rFonts w:ascii="Times New Roman" w:hAnsi="Times New Roman"/>
          <w:sz w:val="20"/>
          <w:szCs w:val="20"/>
        </w:rPr>
        <w:t xml:space="preserve"> o </w:t>
      </w:r>
      <w:r>
        <w:rPr>
          <w:rFonts w:ascii="Times New Roman" w:hAnsi="Times New Roman"/>
          <w:sz w:val="20"/>
          <w:szCs w:val="20"/>
        </w:rPr>
        <w:t>20,9</w:t>
      </w:r>
      <w:r w:rsidRPr="0061515D">
        <w:rPr>
          <w:rFonts w:ascii="Times New Roman" w:hAnsi="Times New Roman"/>
          <w:sz w:val="20"/>
          <w:szCs w:val="20"/>
        </w:rPr>
        <w:t xml:space="preserve"> mld zł w I kwartale 201</w:t>
      </w:r>
      <w:r>
        <w:rPr>
          <w:rFonts w:ascii="Times New Roman" w:hAnsi="Times New Roman"/>
          <w:sz w:val="20"/>
          <w:szCs w:val="20"/>
        </w:rPr>
        <w:t>9</w:t>
      </w:r>
      <w:r w:rsidRPr="0061515D">
        <w:rPr>
          <w:rFonts w:ascii="Times New Roman" w:hAnsi="Times New Roman"/>
          <w:sz w:val="20"/>
          <w:szCs w:val="20"/>
        </w:rPr>
        <w:t xml:space="preserve"> r.),</w:t>
      </w:r>
    </w:p>
    <w:p w:rsidR="00D321D9" w:rsidRPr="0061515D" w:rsidRDefault="00D321D9" w:rsidP="00D321D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 xml:space="preserve">samorządowego </w:t>
      </w:r>
      <w:r>
        <w:rPr>
          <w:rFonts w:ascii="Times New Roman" w:hAnsi="Times New Roman"/>
          <w:sz w:val="20"/>
          <w:szCs w:val="20"/>
        </w:rPr>
        <w:t>80,9</w:t>
      </w:r>
      <w:r w:rsidRPr="0061515D">
        <w:rPr>
          <w:rFonts w:ascii="Times New Roman" w:hAnsi="Times New Roman"/>
          <w:sz w:val="20"/>
          <w:szCs w:val="20"/>
        </w:rPr>
        <w:t> mld zł, (</w:t>
      </w:r>
      <w:r>
        <w:rPr>
          <w:rFonts w:ascii="Times New Roman" w:hAnsi="Times New Roman"/>
          <w:sz w:val="20"/>
          <w:szCs w:val="20"/>
        </w:rPr>
        <w:t>spadek</w:t>
      </w:r>
      <w:r w:rsidRPr="0061515D">
        <w:rPr>
          <w:rFonts w:ascii="Times New Roman" w:hAnsi="Times New Roman"/>
          <w:sz w:val="20"/>
          <w:szCs w:val="20"/>
        </w:rPr>
        <w:t xml:space="preserve"> o </w:t>
      </w:r>
      <w:r>
        <w:rPr>
          <w:rFonts w:ascii="Times New Roman" w:hAnsi="Times New Roman"/>
          <w:sz w:val="20"/>
          <w:szCs w:val="20"/>
        </w:rPr>
        <w:t>0,4</w:t>
      </w:r>
      <w:r w:rsidRPr="0061515D">
        <w:rPr>
          <w:rFonts w:ascii="Times New Roman" w:hAnsi="Times New Roman"/>
          <w:sz w:val="20"/>
          <w:szCs w:val="20"/>
        </w:rPr>
        <w:t xml:space="preserve"> mld zł w I kwartale 201</w:t>
      </w:r>
      <w:r>
        <w:rPr>
          <w:rFonts w:ascii="Times New Roman" w:hAnsi="Times New Roman"/>
          <w:sz w:val="20"/>
          <w:szCs w:val="20"/>
        </w:rPr>
        <w:t>9</w:t>
      </w:r>
      <w:r w:rsidRPr="0061515D">
        <w:rPr>
          <w:rFonts w:ascii="Times New Roman" w:hAnsi="Times New Roman"/>
          <w:sz w:val="20"/>
          <w:szCs w:val="20"/>
        </w:rPr>
        <w:t xml:space="preserve"> r.),</w:t>
      </w:r>
    </w:p>
    <w:p w:rsidR="00D321D9" w:rsidRPr="0061515D" w:rsidRDefault="00D321D9" w:rsidP="00D321D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>podsektor funduszy ubezpieczeń nie posiadał zadłużenia.</w:t>
      </w:r>
    </w:p>
    <w:p w:rsidR="00D321D9" w:rsidRPr="0061515D" w:rsidRDefault="00D321D9" w:rsidP="00D321D9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 xml:space="preserve">Zmiana długu EDP w </w:t>
      </w:r>
      <w:r>
        <w:rPr>
          <w:rFonts w:ascii="Times New Roman" w:hAnsi="Times New Roman"/>
          <w:sz w:val="20"/>
          <w:szCs w:val="20"/>
        </w:rPr>
        <w:t>I</w:t>
      </w:r>
      <w:r w:rsidRPr="0061515D">
        <w:rPr>
          <w:rFonts w:ascii="Times New Roman" w:hAnsi="Times New Roman"/>
          <w:sz w:val="20"/>
          <w:szCs w:val="20"/>
        </w:rPr>
        <w:t xml:space="preserve"> kwartale 201</w:t>
      </w:r>
      <w:r>
        <w:rPr>
          <w:rFonts w:ascii="Times New Roman" w:hAnsi="Times New Roman"/>
          <w:sz w:val="20"/>
          <w:szCs w:val="20"/>
        </w:rPr>
        <w:t>9</w:t>
      </w:r>
      <w:r w:rsidRPr="0061515D">
        <w:rPr>
          <w:rFonts w:ascii="Times New Roman" w:hAnsi="Times New Roman"/>
          <w:sz w:val="20"/>
          <w:szCs w:val="20"/>
        </w:rPr>
        <w:t xml:space="preserve"> r. wynikała głównie ze zmian zadłużenia SP. Ponadto innymi znaczącymi czynnikami były:</w:t>
      </w:r>
    </w:p>
    <w:p w:rsidR="00D321D9" w:rsidRPr="0061515D" w:rsidRDefault="00D321D9" w:rsidP="00D321D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spadek</w:t>
      </w:r>
      <w:r w:rsidRPr="0061515D">
        <w:rPr>
          <w:rFonts w:ascii="Times New Roman" w:hAnsi="Times New Roman"/>
          <w:sz w:val="20"/>
          <w:szCs w:val="20"/>
        </w:rPr>
        <w:t xml:space="preserve"> zadłużenia Krajowego Funduszu Drogowego (o </w:t>
      </w:r>
      <w:r>
        <w:rPr>
          <w:rFonts w:ascii="Times New Roman" w:hAnsi="Times New Roman"/>
          <w:sz w:val="20"/>
          <w:szCs w:val="20"/>
        </w:rPr>
        <w:t>0,2</w:t>
      </w:r>
      <w:r w:rsidRPr="0061515D">
        <w:rPr>
          <w:rFonts w:ascii="Times New Roman" w:hAnsi="Times New Roman"/>
          <w:sz w:val="20"/>
          <w:szCs w:val="20"/>
        </w:rPr>
        <w:t xml:space="preserve"> mld zł),</w:t>
      </w:r>
    </w:p>
    <w:p w:rsidR="00D321D9" w:rsidRPr="0061515D" w:rsidRDefault="00D321D9" w:rsidP="00D321D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A1E5A"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 xml:space="preserve">mniejszenie </w:t>
      </w:r>
      <w:r w:rsidRPr="003A1E5A">
        <w:rPr>
          <w:rFonts w:ascii="Times New Roman" w:hAnsi="Times New Roman"/>
          <w:sz w:val="20"/>
          <w:szCs w:val="20"/>
        </w:rPr>
        <w:t xml:space="preserve">stanu portfela skarbowych papierów wartościowych (SPW) posiadanych przez Bankowy Fundusz Gwarancyjny (wraz z funduszami ochrony środków gwarantowanych) o </w:t>
      </w:r>
      <w:r>
        <w:rPr>
          <w:rFonts w:ascii="Times New Roman" w:hAnsi="Times New Roman"/>
          <w:sz w:val="20"/>
          <w:szCs w:val="20"/>
        </w:rPr>
        <w:t>0,</w:t>
      </w:r>
      <w:r w:rsidRPr="003A1E5A">
        <w:rPr>
          <w:rFonts w:ascii="Times New Roman" w:hAnsi="Times New Roman"/>
          <w:sz w:val="20"/>
          <w:szCs w:val="20"/>
        </w:rPr>
        <w:t xml:space="preserve">9 mln zł oraz </w:t>
      </w:r>
      <w:r>
        <w:rPr>
          <w:rFonts w:ascii="Times New Roman" w:hAnsi="Times New Roman"/>
          <w:sz w:val="20"/>
          <w:szCs w:val="20"/>
        </w:rPr>
        <w:t>wzrost</w:t>
      </w:r>
      <w:r w:rsidRPr="003A1E5A">
        <w:rPr>
          <w:rFonts w:ascii="Times New Roman" w:hAnsi="Times New Roman"/>
          <w:sz w:val="20"/>
          <w:szCs w:val="20"/>
        </w:rPr>
        <w:t xml:space="preserve"> w przypadku fu</w:t>
      </w:r>
      <w:r>
        <w:rPr>
          <w:rFonts w:ascii="Times New Roman" w:hAnsi="Times New Roman"/>
          <w:sz w:val="20"/>
          <w:szCs w:val="20"/>
        </w:rPr>
        <w:t>nduszy umiejscowionych w BGK (w </w:t>
      </w:r>
      <w:r w:rsidRPr="003A1E5A">
        <w:rPr>
          <w:rFonts w:ascii="Times New Roman" w:hAnsi="Times New Roman"/>
          <w:sz w:val="20"/>
          <w:szCs w:val="20"/>
        </w:rPr>
        <w:t xml:space="preserve">tym KFD) o </w:t>
      </w:r>
      <w:r>
        <w:rPr>
          <w:rFonts w:ascii="Times New Roman" w:hAnsi="Times New Roman"/>
          <w:sz w:val="20"/>
          <w:szCs w:val="20"/>
        </w:rPr>
        <w:t>0,8</w:t>
      </w:r>
      <w:r w:rsidRPr="003A1E5A">
        <w:rPr>
          <w:rFonts w:ascii="Times New Roman" w:hAnsi="Times New Roman"/>
          <w:sz w:val="20"/>
          <w:szCs w:val="20"/>
        </w:rPr>
        <w:t xml:space="preserve"> mln zł, co łącznie spowodowało </w:t>
      </w:r>
      <w:r>
        <w:rPr>
          <w:rFonts w:ascii="Times New Roman" w:hAnsi="Times New Roman"/>
          <w:sz w:val="20"/>
          <w:szCs w:val="20"/>
        </w:rPr>
        <w:t>wzrost</w:t>
      </w:r>
      <w:r w:rsidRPr="003A1E5A">
        <w:rPr>
          <w:rFonts w:ascii="Times New Roman" w:hAnsi="Times New Roman"/>
          <w:sz w:val="20"/>
          <w:szCs w:val="20"/>
        </w:rPr>
        <w:t xml:space="preserve"> długu EDP w wyniku </w:t>
      </w:r>
      <w:r>
        <w:rPr>
          <w:rFonts w:ascii="Times New Roman" w:hAnsi="Times New Roman"/>
          <w:sz w:val="20"/>
          <w:szCs w:val="20"/>
        </w:rPr>
        <w:t>spadku</w:t>
      </w:r>
      <w:r w:rsidRPr="003A1E5A">
        <w:rPr>
          <w:rFonts w:ascii="Times New Roman" w:hAnsi="Times New Roman"/>
          <w:sz w:val="20"/>
          <w:szCs w:val="20"/>
        </w:rPr>
        <w:t xml:space="preserve"> konsolidacji wzajemnych zobowiązań sektora</w:t>
      </w:r>
      <w:r w:rsidRPr="0061515D">
        <w:rPr>
          <w:rFonts w:ascii="Times New Roman" w:hAnsi="Times New Roman"/>
          <w:sz w:val="20"/>
          <w:szCs w:val="20"/>
        </w:rPr>
        <w:t>,</w:t>
      </w:r>
    </w:p>
    <w:p w:rsidR="00D321D9" w:rsidRPr="003A1E5A" w:rsidRDefault="00D321D9" w:rsidP="00D321D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5404E">
        <w:rPr>
          <w:rFonts w:ascii="Times New Roman" w:hAnsi="Times New Roman"/>
          <w:sz w:val="20"/>
          <w:szCs w:val="20"/>
        </w:rPr>
        <w:t xml:space="preserve">spadek zadłużenia wynikający z wyceny transakcji </w:t>
      </w:r>
      <w:r w:rsidRPr="00A5404E">
        <w:rPr>
          <w:rFonts w:ascii="Times New Roman" w:hAnsi="Times New Roman"/>
          <w:sz w:val="20"/>
          <w:szCs w:val="20"/>
        </w:rPr>
        <w:lastRenderedPageBreak/>
        <w:t>CIRS w rezultacie zmian kursów walut obcych</w:t>
      </w:r>
      <w:r w:rsidRPr="003A1E5A">
        <w:rPr>
          <w:rFonts w:ascii="Times New Roman" w:hAnsi="Times New Roman"/>
          <w:sz w:val="20"/>
          <w:szCs w:val="20"/>
        </w:rPr>
        <w:t xml:space="preserve"> (o 0,</w:t>
      </w:r>
      <w:r>
        <w:rPr>
          <w:rFonts w:ascii="Times New Roman" w:hAnsi="Times New Roman"/>
          <w:sz w:val="20"/>
          <w:szCs w:val="20"/>
        </w:rPr>
        <w:t>2</w:t>
      </w:r>
      <w:r w:rsidRPr="003A1E5A">
        <w:rPr>
          <w:rFonts w:ascii="Times New Roman" w:hAnsi="Times New Roman"/>
          <w:sz w:val="20"/>
          <w:szCs w:val="20"/>
        </w:rPr>
        <w:t xml:space="preserve"> mld zł).</w:t>
      </w:r>
    </w:p>
    <w:p w:rsidR="00D321D9" w:rsidRPr="0061515D" w:rsidRDefault="00D321D9" w:rsidP="00D321D9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 xml:space="preserve">Największy udział w </w:t>
      </w:r>
      <w:r w:rsidRPr="0061515D">
        <w:rPr>
          <w:rFonts w:ascii="Times New Roman" w:hAnsi="Times New Roman" w:cs="Arial"/>
          <w:sz w:val="20"/>
          <w:szCs w:val="20"/>
        </w:rPr>
        <w:t xml:space="preserve">długu sektora instytucji rządowych i samorządowych miał </w:t>
      </w:r>
      <w:r w:rsidRPr="0061515D">
        <w:rPr>
          <w:rFonts w:ascii="Times New Roman" w:hAnsi="Times New Roman"/>
          <w:sz w:val="20"/>
          <w:szCs w:val="20"/>
        </w:rPr>
        <w:t>dług Skarbu Państwa (SP).</w:t>
      </w:r>
    </w:p>
    <w:p w:rsidR="00D321D9" w:rsidRPr="0061515D" w:rsidRDefault="00D321D9" w:rsidP="00D321D9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>Na koniec I kw. 201</w:t>
      </w:r>
      <w:r>
        <w:rPr>
          <w:rFonts w:ascii="Times New Roman" w:hAnsi="Times New Roman"/>
          <w:sz w:val="20"/>
          <w:szCs w:val="20"/>
        </w:rPr>
        <w:t>9</w:t>
      </w:r>
      <w:r w:rsidRPr="0061515D">
        <w:rPr>
          <w:rFonts w:ascii="Times New Roman" w:hAnsi="Times New Roman"/>
          <w:sz w:val="20"/>
          <w:szCs w:val="20"/>
        </w:rPr>
        <w:t xml:space="preserve"> r. dług SP wyniósł 9</w:t>
      </w:r>
      <w:r>
        <w:rPr>
          <w:rFonts w:ascii="Times New Roman" w:hAnsi="Times New Roman"/>
          <w:sz w:val="20"/>
          <w:szCs w:val="20"/>
        </w:rPr>
        <w:t>79</w:t>
      </w:r>
      <w:r w:rsidRPr="0061515D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0</w:t>
      </w:r>
      <w:r w:rsidRPr="0061515D">
        <w:rPr>
          <w:rFonts w:ascii="Times New Roman" w:hAnsi="Times New Roman"/>
          <w:sz w:val="20"/>
          <w:szCs w:val="20"/>
        </w:rPr>
        <w:t xml:space="preserve"> mld zł, co oznaczało </w:t>
      </w:r>
      <w:r>
        <w:rPr>
          <w:rFonts w:ascii="Times New Roman" w:hAnsi="Times New Roman"/>
          <w:sz w:val="20"/>
          <w:szCs w:val="20"/>
        </w:rPr>
        <w:t>wzrost</w:t>
      </w:r>
      <w:r w:rsidRPr="0061515D">
        <w:rPr>
          <w:rFonts w:ascii="Times New Roman" w:hAnsi="Times New Roman"/>
          <w:sz w:val="20"/>
          <w:szCs w:val="20"/>
        </w:rPr>
        <w:t xml:space="preserve"> o </w:t>
      </w:r>
      <w:r>
        <w:rPr>
          <w:rFonts w:ascii="Times New Roman" w:hAnsi="Times New Roman"/>
          <w:sz w:val="20"/>
          <w:szCs w:val="20"/>
        </w:rPr>
        <w:t>24,7</w:t>
      </w:r>
      <w:r w:rsidRPr="0061515D">
        <w:rPr>
          <w:rFonts w:ascii="Times New Roman" w:hAnsi="Times New Roman"/>
          <w:sz w:val="20"/>
          <w:szCs w:val="20"/>
        </w:rPr>
        <w:t xml:space="preserve"> mld zł (</w:t>
      </w:r>
      <w:r>
        <w:rPr>
          <w:rFonts w:ascii="Times New Roman" w:hAnsi="Times New Roman"/>
          <w:sz w:val="20"/>
          <w:szCs w:val="20"/>
        </w:rPr>
        <w:t>2,6</w:t>
      </w:r>
      <w:r w:rsidRPr="0061515D">
        <w:rPr>
          <w:rFonts w:ascii="Times New Roman" w:hAnsi="Times New Roman"/>
          <w:sz w:val="20"/>
          <w:szCs w:val="20"/>
        </w:rPr>
        <w:t>%) względem poprzedniego kwartału.</w:t>
      </w:r>
    </w:p>
    <w:p w:rsidR="00D321D9" w:rsidRPr="0061515D" w:rsidRDefault="00D321D9" w:rsidP="00D321D9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Wzrost</w:t>
      </w:r>
      <w:r w:rsidRPr="0061515D">
        <w:rPr>
          <w:rFonts w:ascii="Times New Roman" w:hAnsi="Times New Roman"/>
          <w:sz w:val="20"/>
          <w:szCs w:val="20"/>
        </w:rPr>
        <w:t xml:space="preserve"> długu SP w I kw. 201</w:t>
      </w:r>
      <w:r>
        <w:rPr>
          <w:rFonts w:ascii="Times New Roman" w:hAnsi="Times New Roman"/>
          <w:sz w:val="20"/>
          <w:szCs w:val="20"/>
        </w:rPr>
        <w:t>9</w:t>
      </w:r>
      <w:r w:rsidRPr="0061515D">
        <w:rPr>
          <w:rFonts w:ascii="Times New Roman" w:hAnsi="Times New Roman"/>
          <w:sz w:val="20"/>
          <w:szCs w:val="20"/>
        </w:rPr>
        <w:t xml:space="preserve"> r. był przede wszystkim wypadkową:</w:t>
      </w:r>
    </w:p>
    <w:p w:rsidR="00D321D9" w:rsidRPr="0061515D" w:rsidRDefault="00D321D9" w:rsidP="00D321D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>potrzeb pożyczkowych netto budżetu państwa (</w:t>
      </w:r>
      <w:r>
        <w:rPr>
          <w:rFonts w:ascii="Times New Roman" w:hAnsi="Times New Roman"/>
          <w:sz w:val="20"/>
          <w:szCs w:val="20"/>
        </w:rPr>
        <w:t xml:space="preserve">-5,4 </w:t>
      </w:r>
      <w:r w:rsidRPr="0061515D">
        <w:rPr>
          <w:rFonts w:ascii="Times New Roman" w:hAnsi="Times New Roman"/>
          <w:sz w:val="20"/>
          <w:szCs w:val="20"/>
        </w:rPr>
        <w:t>mld zł),</w:t>
      </w:r>
    </w:p>
    <w:p w:rsidR="00D321D9" w:rsidRPr="0061515D" w:rsidRDefault="00D321D9" w:rsidP="00D321D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większenia</w:t>
      </w:r>
      <w:r w:rsidRPr="0061515D">
        <w:rPr>
          <w:rFonts w:ascii="Times New Roman" w:hAnsi="Times New Roman"/>
          <w:sz w:val="20"/>
          <w:szCs w:val="20"/>
        </w:rPr>
        <w:t xml:space="preserve"> stanu środków na rachunkach budżetowych (</w:t>
      </w:r>
      <w:r>
        <w:rPr>
          <w:rFonts w:ascii="Times New Roman" w:hAnsi="Times New Roman"/>
          <w:sz w:val="20"/>
          <w:szCs w:val="20"/>
        </w:rPr>
        <w:t>27,7</w:t>
      </w:r>
      <w:r w:rsidRPr="0061515D">
        <w:rPr>
          <w:rFonts w:ascii="Times New Roman" w:hAnsi="Times New Roman"/>
          <w:sz w:val="20"/>
          <w:szCs w:val="20"/>
        </w:rPr>
        <w:t xml:space="preserve"> mld zł),</w:t>
      </w:r>
    </w:p>
    <w:p w:rsidR="00D321D9" w:rsidRPr="0061515D" w:rsidRDefault="00D321D9" w:rsidP="00D321D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88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>różnic kursowych (</w:t>
      </w:r>
      <w:r>
        <w:rPr>
          <w:rFonts w:ascii="Times New Roman" w:hAnsi="Times New Roman"/>
          <w:sz w:val="20"/>
          <w:szCs w:val="20"/>
        </w:rPr>
        <w:t>1,3</w:t>
      </w:r>
      <w:r w:rsidRPr="0061515D">
        <w:rPr>
          <w:rFonts w:ascii="Times New Roman" w:hAnsi="Times New Roman"/>
          <w:sz w:val="20"/>
          <w:szCs w:val="20"/>
        </w:rPr>
        <w:t xml:space="preserve"> mld zł).</w:t>
      </w:r>
    </w:p>
    <w:p w:rsidR="00D321D9" w:rsidRPr="0061515D" w:rsidRDefault="00D321D9" w:rsidP="00D321D9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>Na koniec I kw. 201</w:t>
      </w:r>
      <w:r>
        <w:rPr>
          <w:rFonts w:ascii="Times New Roman" w:hAnsi="Times New Roman"/>
          <w:sz w:val="20"/>
          <w:szCs w:val="20"/>
        </w:rPr>
        <w:t>9</w:t>
      </w:r>
      <w:r w:rsidRPr="0061515D">
        <w:rPr>
          <w:rFonts w:ascii="Times New Roman" w:hAnsi="Times New Roman"/>
          <w:sz w:val="20"/>
          <w:szCs w:val="20"/>
        </w:rPr>
        <w:t xml:space="preserve"> r. udział długu w walutach obcych w całym długu SP wyniósł </w:t>
      </w:r>
      <w:r>
        <w:rPr>
          <w:rFonts w:ascii="Times New Roman" w:hAnsi="Times New Roman"/>
          <w:sz w:val="20"/>
          <w:szCs w:val="20"/>
        </w:rPr>
        <w:t>28,9</w:t>
      </w:r>
      <w:r w:rsidRPr="0061515D">
        <w:rPr>
          <w:rFonts w:ascii="Times New Roman" w:hAnsi="Times New Roman"/>
          <w:sz w:val="20"/>
          <w:szCs w:val="20"/>
        </w:rPr>
        <w:t xml:space="preserve">%, tj. </w:t>
      </w:r>
      <w:r>
        <w:rPr>
          <w:rFonts w:ascii="Times New Roman" w:hAnsi="Times New Roman"/>
          <w:sz w:val="20"/>
          <w:szCs w:val="20"/>
        </w:rPr>
        <w:t xml:space="preserve">spadł o 0,4 pp. </w:t>
      </w:r>
      <w:r w:rsidRPr="0061515D">
        <w:rPr>
          <w:rFonts w:ascii="Times New Roman" w:hAnsi="Times New Roman"/>
          <w:sz w:val="20"/>
          <w:szCs w:val="20"/>
        </w:rPr>
        <w:t>w stosunku do poprzedniego kwartału.</w:t>
      </w:r>
    </w:p>
    <w:p w:rsidR="00D321D9" w:rsidRDefault="00D321D9" w:rsidP="00D321D9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>Udział długu wobec nierezydentów w długu ogółem na koniec I kw. 201</w:t>
      </w:r>
      <w:r>
        <w:rPr>
          <w:rFonts w:ascii="Times New Roman" w:hAnsi="Times New Roman"/>
          <w:sz w:val="20"/>
          <w:szCs w:val="20"/>
        </w:rPr>
        <w:t>9</w:t>
      </w:r>
      <w:r w:rsidRPr="0061515D">
        <w:rPr>
          <w:rFonts w:ascii="Times New Roman" w:hAnsi="Times New Roman"/>
          <w:sz w:val="20"/>
          <w:szCs w:val="20"/>
        </w:rPr>
        <w:t xml:space="preserve"> r. wyniósł 4</w:t>
      </w:r>
      <w:r>
        <w:rPr>
          <w:rFonts w:ascii="Times New Roman" w:hAnsi="Times New Roman"/>
          <w:sz w:val="20"/>
          <w:szCs w:val="20"/>
        </w:rPr>
        <w:t>4,7</w:t>
      </w:r>
      <w:r w:rsidRPr="0061515D">
        <w:rPr>
          <w:rFonts w:ascii="Times New Roman" w:hAnsi="Times New Roman"/>
          <w:sz w:val="20"/>
          <w:szCs w:val="20"/>
        </w:rPr>
        <w:t xml:space="preserve">% wobec </w:t>
      </w:r>
      <w:r>
        <w:rPr>
          <w:rFonts w:ascii="Times New Roman" w:hAnsi="Times New Roman"/>
          <w:sz w:val="20"/>
          <w:szCs w:val="20"/>
        </w:rPr>
        <w:t>47,3</w:t>
      </w:r>
      <w:r w:rsidRPr="0061515D">
        <w:rPr>
          <w:rFonts w:ascii="Times New Roman" w:hAnsi="Times New Roman"/>
          <w:sz w:val="20"/>
          <w:szCs w:val="20"/>
        </w:rPr>
        <w:t>% na</w:t>
      </w:r>
      <w:r w:rsidRPr="0061515D">
        <w:t xml:space="preserve"> </w:t>
      </w:r>
      <w:r>
        <w:rPr>
          <w:rFonts w:ascii="Times New Roman" w:hAnsi="Times New Roman"/>
          <w:sz w:val="20"/>
          <w:szCs w:val="20"/>
        </w:rPr>
        <w:t>koniec poprzedniego kwartału.</w:t>
      </w:r>
    </w:p>
    <w:p w:rsidR="002209A3" w:rsidRPr="004F0702" w:rsidRDefault="002209A3" w:rsidP="002209A3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321D9" w:rsidRPr="007F3038" w:rsidRDefault="00D321D9" w:rsidP="007F3038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12" w:name="_Toc15028622"/>
      <w:r w:rsidRPr="007F3038">
        <w:rPr>
          <w:rFonts w:ascii="Arial" w:hAnsi="Arial" w:cs="Arial"/>
          <w:i w:val="0"/>
          <w:color w:val="E31837"/>
          <w:sz w:val="20"/>
          <w:szCs w:val="20"/>
        </w:rPr>
        <w:t>2.2. Potrzeby pożyczkowe budżetu państwa</w:t>
      </w:r>
      <w:r w:rsidRPr="007F3038">
        <w:rPr>
          <w:rFonts w:ascii="Arial" w:hAnsi="Arial" w:cs="Arial"/>
          <w:i w:val="0"/>
          <w:color w:val="E31837"/>
          <w:sz w:val="20"/>
          <w:szCs w:val="20"/>
        </w:rPr>
        <w:br/>
        <w:t>i ich finansowanie w I kwartale 2019 r.</w:t>
      </w:r>
      <w:bookmarkEnd w:id="12"/>
    </w:p>
    <w:p w:rsidR="00D321D9" w:rsidRPr="00AC0CA7" w:rsidRDefault="00D321D9" w:rsidP="00D321D9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AC0CA7">
        <w:rPr>
          <w:rFonts w:ascii="Times New Roman" w:hAnsi="Times New Roman"/>
          <w:sz w:val="20"/>
          <w:szCs w:val="20"/>
        </w:rPr>
        <w:t>Saldo potrzeb pożyczkowych netto budżetu państwa było ujemne i ukształtowało się na poziomie 5,4 mld zł, w tym:</w:t>
      </w:r>
    </w:p>
    <w:p w:rsidR="00D321D9" w:rsidRPr="00AC0CA7" w:rsidRDefault="00D321D9" w:rsidP="00D321D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AC0CA7">
        <w:rPr>
          <w:rFonts w:ascii="Times New Roman" w:hAnsi="Times New Roman"/>
          <w:sz w:val="20"/>
          <w:szCs w:val="20"/>
        </w:rPr>
        <w:t>deficyt budżetu państwa</w:t>
      </w:r>
      <w:r>
        <w:rPr>
          <w:rFonts w:ascii="Times New Roman" w:hAnsi="Times New Roman"/>
          <w:sz w:val="20"/>
          <w:szCs w:val="20"/>
        </w:rPr>
        <w:t xml:space="preserve"> wyniósł</w:t>
      </w:r>
      <w:r w:rsidRPr="00AC0CA7">
        <w:rPr>
          <w:rFonts w:ascii="Times New Roman" w:hAnsi="Times New Roman"/>
          <w:sz w:val="20"/>
          <w:szCs w:val="20"/>
        </w:rPr>
        <w:t xml:space="preserve"> 4,5 mld zł,</w:t>
      </w:r>
    </w:p>
    <w:p w:rsidR="00D321D9" w:rsidRPr="00AC0CA7" w:rsidRDefault="00D321D9" w:rsidP="00D321D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AC0CA7">
        <w:rPr>
          <w:rFonts w:ascii="Times New Roman" w:hAnsi="Times New Roman"/>
          <w:sz w:val="20"/>
          <w:szCs w:val="20"/>
        </w:rPr>
        <w:t>pozostałe pozycje wpływały na pomniejszenie potrzeb w wysokości 9,9 mld zł, w tym: zarządzanie środkami europejskimi (5,0 mld zł), zarządzani</w:t>
      </w:r>
      <w:r>
        <w:rPr>
          <w:rFonts w:ascii="Times New Roman" w:hAnsi="Times New Roman"/>
          <w:sz w:val="20"/>
          <w:szCs w:val="20"/>
        </w:rPr>
        <w:t>e</w:t>
      </w:r>
      <w:r w:rsidRPr="00AC0CA7">
        <w:rPr>
          <w:rFonts w:ascii="Times New Roman" w:hAnsi="Times New Roman"/>
          <w:sz w:val="20"/>
          <w:szCs w:val="20"/>
        </w:rPr>
        <w:t xml:space="preserve"> płynnością sektora finansów publicznych (4,4 mld zł) oraz saldo pozostałych przychodów i rozchodów (0,4 mld zł)</w:t>
      </w:r>
      <w:r>
        <w:rPr>
          <w:rFonts w:ascii="Times New Roman" w:hAnsi="Times New Roman"/>
          <w:sz w:val="20"/>
          <w:szCs w:val="20"/>
        </w:rPr>
        <w:t>.</w:t>
      </w:r>
    </w:p>
    <w:p w:rsidR="00D321D9" w:rsidRPr="00D321D9" w:rsidRDefault="00D321D9" w:rsidP="00D321D9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962535">
        <w:rPr>
          <w:rFonts w:ascii="Times New Roman" w:hAnsi="Times New Roman"/>
          <w:sz w:val="20"/>
          <w:szCs w:val="20"/>
        </w:rPr>
        <w:t xml:space="preserve">Wartość długu przypadającego do wykupu w omawianym okresie wyniosła wg kapitału 31,7 mld zł, w tym krajowego 24,1 mld zł, a zagranicznego 7,5 mld zł. </w:t>
      </w:r>
      <w:r w:rsidRPr="00D321D9">
        <w:rPr>
          <w:rFonts w:ascii="Times New Roman" w:hAnsi="Times New Roman"/>
          <w:sz w:val="20"/>
          <w:szCs w:val="20"/>
        </w:rPr>
        <w:t>Potrzeby pożyczkowe brutto</w:t>
      </w:r>
      <w:r w:rsidRPr="0027793D">
        <w:rPr>
          <w:rFonts w:ascii="Times New Roman" w:hAnsi="Times New Roman"/>
          <w:sz w:val="20"/>
          <w:szCs w:val="20"/>
        </w:rPr>
        <w:t xml:space="preserve">, tj. suma potrzeb netto </w:t>
      </w:r>
      <w:r w:rsidRPr="004279C0">
        <w:rPr>
          <w:rFonts w:ascii="Times New Roman" w:hAnsi="Times New Roman"/>
          <w:sz w:val="20"/>
          <w:szCs w:val="20"/>
        </w:rPr>
        <w:t>i długu przypadającego do wykupu, wyniosły 26,3 mld zł. Po uwzględnieniu przedterminowych odkupów, wykup długu wyniósł 32,0 mld zł (w tym krajowego 24,5 mld zł  i zagranicznego 7,5 mld zł).</w:t>
      </w:r>
    </w:p>
    <w:p w:rsidR="00D321D9" w:rsidRPr="00D93A1A" w:rsidRDefault="00D321D9" w:rsidP="00D321D9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D93A1A">
        <w:rPr>
          <w:rFonts w:ascii="Times New Roman" w:hAnsi="Times New Roman"/>
          <w:sz w:val="20"/>
          <w:szCs w:val="20"/>
        </w:rPr>
        <w:t xml:space="preserve">Finansowanie potrzeb pożyczkowych było następujące: </w:t>
      </w:r>
    </w:p>
    <w:p w:rsidR="00D321D9" w:rsidRPr="00D93A1A" w:rsidRDefault="00D321D9" w:rsidP="00D321D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93A1A">
        <w:rPr>
          <w:rFonts w:ascii="Times New Roman" w:hAnsi="Times New Roman"/>
          <w:sz w:val="20"/>
          <w:szCs w:val="20"/>
        </w:rPr>
        <w:t>na rynku krajowym środki pozyskano z emisji:</w:t>
      </w:r>
    </w:p>
    <w:p w:rsidR="00D321D9" w:rsidRPr="00D93A1A" w:rsidRDefault="00D321D9" w:rsidP="00D321D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D93A1A">
        <w:rPr>
          <w:rFonts w:ascii="Times New Roman" w:hAnsi="Times New Roman"/>
          <w:sz w:val="20"/>
          <w:szCs w:val="20"/>
        </w:rPr>
        <w:lastRenderedPageBreak/>
        <w:t>obligacji hurtowych: 42,</w:t>
      </w:r>
      <w:r>
        <w:rPr>
          <w:rFonts w:ascii="Times New Roman" w:hAnsi="Times New Roman"/>
          <w:sz w:val="20"/>
          <w:szCs w:val="20"/>
        </w:rPr>
        <w:t>1</w:t>
      </w:r>
      <w:r w:rsidRPr="00D93A1A">
        <w:rPr>
          <w:rFonts w:ascii="Times New Roman" w:hAnsi="Times New Roman"/>
          <w:sz w:val="20"/>
          <w:szCs w:val="20"/>
        </w:rPr>
        <w:t> mld zł,</w:t>
      </w:r>
    </w:p>
    <w:p w:rsidR="00D321D9" w:rsidRPr="00D93A1A" w:rsidRDefault="00D321D9" w:rsidP="00D321D9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D93A1A">
        <w:rPr>
          <w:rFonts w:ascii="Times New Roman" w:hAnsi="Times New Roman"/>
          <w:sz w:val="20"/>
          <w:szCs w:val="20"/>
        </w:rPr>
        <w:t>obligacji detalicznych: 3,1 mld zł,</w:t>
      </w:r>
    </w:p>
    <w:p w:rsidR="00D321D9" w:rsidRPr="00D93A1A" w:rsidRDefault="00D321D9" w:rsidP="00D321D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88" w:lineRule="auto"/>
        <w:ind w:left="284" w:hanging="284"/>
        <w:jc w:val="both"/>
        <w:rPr>
          <w:rFonts w:ascii="Times New Roman" w:hAnsi="Times New Roman" w:cs="Arial"/>
          <w:sz w:val="20"/>
          <w:szCs w:val="20"/>
        </w:rPr>
      </w:pPr>
      <w:r w:rsidRPr="00D93A1A">
        <w:rPr>
          <w:rFonts w:ascii="Times New Roman" w:hAnsi="Times New Roman"/>
          <w:sz w:val="20"/>
          <w:szCs w:val="20"/>
        </w:rPr>
        <w:t>n</w:t>
      </w:r>
      <w:r w:rsidRPr="00D93A1A">
        <w:rPr>
          <w:rFonts w:ascii="Times New Roman" w:hAnsi="Times New Roman" w:cs="Arial"/>
          <w:sz w:val="20"/>
          <w:szCs w:val="20"/>
        </w:rPr>
        <w:t xml:space="preserve">a rynkach </w:t>
      </w:r>
      <w:r w:rsidRPr="00D93A1A">
        <w:rPr>
          <w:rFonts w:ascii="Times New Roman" w:hAnsi="Times New Roman"/>
          <w:sz w:val="20"/>
          <w:szCs w:val="20"/>
        </w:rPr>
        <w:t>zagranicznych</w:t>
      </w:r>
      <w:r w:rsidRPr="00D93A1A">
        <w:rPr>
          <w:rFonts w:ascii="Times New Roman" w:hAnsi="Times New Roman" w:cs="Arial"/>
          <w:sz w:val="20"/>
          <w:szCs w:val="20"/>
        </w:rPr>
        <w:t xml:space="preserve"> środki pozyskano z:</w:t>
      </w:r>
    </w:p>
    <w:p w:rsidR="00D321D9" w:rsidRPr="00D93A1A" w:rsidRDefault="00D321D9" w:rsidP="00D321D9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rPr>
          <w:rFonts w:ascii="Times New Roman" w:hAnsi="Times New Roman"/>
          <w:sz w:val="20"/>
          <w:szCs w:val="20"/>
        </w:rPr>
      </w:pPr>
      <w:r w:rsidRPr="00D93A1A">
        <w:rPr>
          <w:rFonts w:ascii="Times New Roman" w:hAnsi="Times New Roman"/>
          <w:sz w:val="20"/>
          <w:szCs w:val="20"/>
        </w:rPr>
        <w:t>emisji obligacji: 8,</w:t>
      </w:r>
      <w:r>
        <w:rPr>
          <w:rFonts w:ascii="Times New Roman" w:hAnsi="Times New Roman"/>
          <w:sz w:val="20"/>
          <w:szCs w:val="20"/>
        </w:rPr>
        <w:t>5</w:t>
      </w:r>
      <w:r w:rsidRPr="00D93A1A">
        <w:rPr>
          <w:rFonts w:ascii="Times New Roman" w:hAnsi="Times New Roman"/>
          <w:sz w:val="20"/>
          <w:szCs w:val="20"/>
        </w:rPr>
        <w:t xml:space="preserve"> mld zł (2,0 mld EUR),</w:t>
      </w:r>
    </w:p>
    <w:p w:rsidR="00D321D9" w:rsidRPr="00D93A1A" w:rsidRDefault="00D321D9" w:rsidP="00D321D9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D93A1A">
        <w:rPr>
          <w:rFonts w:ascii="Times New Roman" w:hAnsi="Times New Roman"/>
          <w:sz w:val="20"/>
          <w:szCs w:val="20"/>
        </w:rPr>
        <w:t>kredytów w międzynarodowych instytucjach finansowych</w:t>
      </w:r>
      <w:r w:rsidRPr="00D93A1A">
        <w:rPr>
          <w:rFonts w:ascii="Times New Roman" w:hAnsi="Times New Roman" w:cs="Arial"/>
          <w:sz w:val="20"/>
          <w:szCs w:val="20"/>
        </w:rPr>
        <w:t>: 0,5</w:t>
      </w:r>
      <w:r>
        <w:rPr>
          <w:rFonts w:ascii="Times New Roman" w:hAnsi="Times New Roman" w:cs="Arial"/>
          <w:sz w:val="20"/>
          <w:szCs w:val="20"/>
        </w:rPr>
        <w:t>8</w:t>
      </w:r>
      <w:r w:rsidRPr="00D93A1A">
        <w:rPr>
          <w:rFonts w:ascii="Times New Roman" w:hAnsi="Times New Roman" w:cs="Arial"/>
          <w:sz w:val="20"/>
          <w:szCs w:val="20"/>
        </w:rPr>
        <w:t> mld zł (0,1</w:t>
      </w:r>
      <w:r>
        <w:rPr>
          <w:rFonts w:ascii="Times New Roman" w:hAnsi="Times New Roman" w:cs="Arial"/>
          <w:sz w:val="20"/>
          <w:szCs w:val="20"/>
        </w:rPr>
        <w:t>4</w:t>
      </w:r>
      <w:r w:rsidRPr="00D93A1A">
        <w:rPr>
          <w:rFonts w:ascii="Times New Roman" w:hAnsi="Times New Roman" w:cs="Arial"/>
          <w:sz w:val="20"/>
          <w:szCs w:val="20"/>
        </w:rPr>
        <w:t> mld EUR)</w:t>
      </w:r>
      <w:r w:rsidRPr="00D93A1A">
        <w:rPr>
          <w:rFonts w:ascii="Times New Roman" w:hAnsi="Times New Roman"/>
          <w:sz w:val="20"/>
          <w:szCs w:val="20"/>
        </w:rPr>
        <w:t>.</w:t>
      </w:r>
    </w:p>
    <w:p w:rsidR="00D321D9" w:rsidRPr="00521157" w:rsidRDefault="00D321D9" w:rsidP="00D321D9">
      <w:pPr>
        <w:tabs>
          <w:tab w:val="num" w:pos="284"/>
        </w:tabs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521157">
        <w:rPr>
          <w:rFonts w:ascii="Times New Roman" w:hAnsi="Times New Roman"/>
          <w:sz w:val="20"/>
          <w:szCs w:val="20"/>
        </w:rPr>
        <w:t>W I kw. 2019 r. nastąpił:</w:t>
      </w:r>
    </w:p>
    <w:p w:rsidR="00D321D9" w:rsidRPr="00521157" w:rsidRDefault="00D321D9" w:rsidP="00D321D9">
      <w:pPr>
        <w:pStyle w:val="Akapitzlist"/>
        <w:numPr>
          <w:ilvl w:val="0"/>
          <w:numId w:val="7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21157">
        <w:rPr>
          <w:rFonts w:ascii="Times New Roman" w:hAnsi="Times New Roman"/>
          <w:sz w:val="20"/>
          <w:szCs w:val="20"/>
        </w:rPr>
        <w:t>w zakresie sytuacji płynnościowej budżetu państwa:</w:t>
      </w:r>
    </w:p>
    <w:p w:rsidR="00D321D9" w:rsidRPr="00521157" w:rsidRDefault="00D321D9" w:rsidP="00D321D9">
      <w:pPr>
        <w:pStyle w:val="Akapitzlist"/>
        <w:spacing w:before="60" w:after="120" w:line="288" w:lineRule="auto"/>
        <w:ind w:left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21157">
        <w:rPr>
          <w:rFonts w:ascii="Times New Roman" w:hAnsi="Times New Roman"/>
          <w:sz w:val="20"/>
          <w:szCs w:val="20"/>
        </w:rPr>
        <w:t xml:space="preserve">wzrost środków na rachunkach budżetowych o 27,7 mld zł do 63,7 mld zł, </w:t>
      </w:r>
    </w:p>
    <w:p w:rsidR="00D321D9" w:rsidRPr="00773550" w:rsidRDefault="00D321D9" w:rsidP="00D321D9">
      <w:pPr>
        <w:pStyle w:val="Akapitzlist"/>
        <w:numPr>
          <w:ilvl w:val="0"/>
          <w:numId w:val="7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73550">
        <w:rPr>
          <w:rFonts w:ascii="Times New Roman" w:hAnsi="Times New Roman"/>
          <w:sz w:val="20"/>
          <w:szCs w:val="20"/>
        </w:rPr>
        <w:t>w zakresie struktury podmiotowej zadłużenia na rynku krajowym:</w:t>
      </w:r>
    </w:p>
    <w:p w:rsidR="00D321D9" w:rsidRPr="00773550" w:rsidRDefault="00D321D9" w:rsidP="00D321D9">
      <w:pPr>
        <w:pStyle w:val="Akapitzlist"/>
        <w:spacing w:before="60" w:after="120" w:line="288" w:lineRule="auto"/>
        <w:ind w:left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73550">
        <w:rPr>
          <w:rFonts w:ascii="Times New Roman" w:hAnsi="Times New Roman"/>
          <w:sz w:val="20"/>
          <w:szCs w:val="20"/>
        </w:rPr>
        <w:t xml:space="preserve">wzrost zadłużenia wobec banków o 37,5 mld zł, przy spadku zadłużenia wobec nierezydentów o 15,6 mld zł oraz krajowego sektora </w:t>
      </w:r>
      <w:proofErr w:type="spellStart"/>
      <w:r w:rsidRPr="00773550">
        <w:rPr>
          <w:rFonts w:ascii="Times New Roman" w:hAnsi="Times New Roman"/>
          <w:sz w:val="20"/>
          <w:szCs w:val="20"/>
        </w:rPr>
        <w:t>pozabankowego</w:t>
      </w:r>
      <w:proofErr w:type="spellEnd"/>
      <w:r w:rsidRPr="00773550">
        <w:rPr>
          <w:rFonts w:ascii="Times New Roman" w:hAnsi="Times New Roman"/>
          <w:sz w:val="20"/>
          <w:szCs w:val="20"/>
        </w:rPr>
        <w:t xml:space="preserve"> o 0,9 mld zł,</w:t>
      </w:r>
    </w:p>
    <w:p w:rsidR="00D321D9" w:rsidRPr="003F312F" w:rsidRDefault="00D321D9" w:rsidP="00D321D9">
      <w:pPr>
        <w:pStyle w:val="Akapitzlist"/>
        <w:numPr>
          <w:ilvl w:val="0"/>
          <w:numId w:val="7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F312F">
        <w:rPr>
          <w:rFonts w:ascii="Times New Roman" w:hAnsi="Times New Roman"/>
          <w:sz w:val="20"/>
          <w:szCs w:val="20"/>
        </w:rPr>
        <w:t>na rynku polskich obligacji:</w:t>
      </w:r>
    </w:p>
    <w:p w:rsidR="00D321D9" w:rsidRPr="003F312F" w:rsidRDefault="00D321D9" w:rsidP="00D321D9">
      <w:pPr>
        <w:widowControl w:val="0"/>
        <w:numPr>
          <w:ilvl w:val="0"/>
          <w:numId w:val="1"/>
        </w:numPr>
        <w:tabs>
          <w:tab w:val="clear" w:pos="360"/>
        </w:tabs>
        <w:spacing w:before="60" w:after="120" w:line="288" w:lineRule="auto"/>
        <w:ind w:left="568" w:hanging="284"/>
        <w:jc w:val="both"/>
        <w:rPr>
          <w:rFonts w:ascii="Times New Roman" w:hAnsi="Times New Roman"/>
          <w:sz w:val="20"/>
          <w:szCs w:val="20"/>
        </w:rPr>
      </w:pPr>
      <w:r w:rsidRPr="003F312F">
        <w:rPr>
          <w:rFonts w:ascii="Times New Roman" w:hAnsi="Times New Roman"/>
          <w:sz w:val="20"/>
          <w:szCs w:val="20"/>
        </w:rPr>
        <w:t xml:space="preserve">na rynku krajowym: wzrost rentowności na krótkim końcu krzywej dochodowości, </w:t>
      </w:r>
      <w:r>
        <w:rPr>
          <w:rFonts w:ascii="Times New Roman" w:hAnsi="Times New Roman"/>
          <w:sz w:val="20"/>
          <w:szCs w:val="20"/>
        </w:rPr>
        <w:t xml:space="preserve">lekki </w:t>
      </w:r>
      <w:r w:rsidRPr="003F312F">
        <w:rPr>
          <w:rFonts w:ascii="Times New Roman" w:hAnsi="Times New Roman"/>
          <w:sz w:val="20"/>
          <w:szCs w:val="20"/>
        </w:rPr>
        <w:t>spadek na środku oraz stabilizacja dochodowości na długim końcu krzywej - na koniec kwartału rentowności</w:t>
      </w:r>
      <w:r w:rsidRPr="003F312F" w:rsidDel="0064738C">
        <w:rPr>
          <w:rFonts w:ascii="Times New Roman" w:hAnsi="Times New Roman"/>
          <w:sz w:val="20"/>
          <w:szCs w:val="20"/>
        </w:rPr>
        <w:t xml:space="preserve"> </w:t>
      </w:r>
      <w:r w:rsidRPr="003F312F">
        <w:rPr>
          <w:rFonts w:ascii="Times New Roman" w:hAnsi="Times New Roman"/>
          <w:sz w:val="20"/>
          <w:szCs w:val="20"/>
        </w:rPr>
        <w:t xml:space="preserve">obligacji 2-, 5- i 10-letnich wyniosły odpowiednio 1,7% (+0,4 </w:t>
      </w:r>
      <w:proofErr w:type="spellStart"/>
      <w:r w:rsidRPr="003F312F">
        <w:rPr>
          <w:rFonts w:ascii="Times New Roman" w:hAnsi="Times New Roman"/>
          <w:sz w:val="20"/>
          <w:szCs w:val="20"/>
        </w:rPr>
        <w:t>p.p</w:t>
      </w:r>
      <w:proofErr w:type="spellEnd"/>
      <w:r w:rsidRPr="003F312F">
        <w:rPr>
          <w:rFonts w:ascii="Times New Roman" w:hAnsi="Times New Roman"/>
          <w:sz w:val="20"/>
          <w:szCs w:val="20"/>
        </w:rPr>
        <w:t xml:space="preserve">.), 2,2% (-0,1 </w:t>
      </w:r>
      <w:proofErr w:type="spellStart"/>
      <w:r w:rsidRPr="003F312F">
        <w:rPr>
          <w:rFonts w:ascii="Times New Roman" w:hAnsi="Times New Roman"/>
          <w:sz w:val="20"/>
          <w:szCs w:val="20"/>
        </w:rPr>
        <w:t>p.p</w:t>
      </w:r>
      <w:proofErr w:type="spellEnd"/>
      <w:r w:rsidRPr="003F312F">
        <w:rPr>
          <w:rFonts w:ascii="Times New Roman" w:hAnsi="Times New Roman"/>
          <w:sz w:val="20"/>
          <w:szCs w:val="20"/>
        </w:rPr>
        <w:t>.) oraz 2,8% (</w:t>
      </w:r>
      <w:proofErr w:type="spellStart"/>
      <w:r w:rsidRPr="003F312F">
        <w:rPr>
          <w:rFonts w:ascii="Times New Roman" w:hAnsi="Times New Roman"/>
          <w:sz w:val="20"/>
          <w:szCs w:val="20"/>
        </w:rPr>
        <w:t>bz</w:t>
      </w:r>
      <w:proofErr w:type="spellEnd"/>
      <w:r w:rsidRPr="003F312F">
        <w:rPr>
          <w:rFonts w:ascii="Times New Roman" w:hAnsi="Times New Roman"/>
          <w:sz w:val="20"/>
          <w:szCs w:val="20"/>
        </w:rPr>
        <w:t>),</w:t>
      </w:r>
    </w:p>
    <w:p w:rsidR="00D321D9" w:rsidRPr="003322F4" w:rsidRDefault="00D321D9" w:rsidP="00D321D9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3322F4">
        <w:rPr>
          <w:rFonts w:ascii="Times New Roman" w:hAnsi="Times New Roman"/>
          <w:sz w:val="20"/>
          <w:szCs w:val="20"/>
        </w:rPr>
        <w:t>na rynku obligacji w euro: spadek rentowności wzdłuż całej krzywej dochodowości: na koniec kwartału rentowności obligacji 2-, 5- i 10-letnich wyniosły odpowie</w:t>
      </w:r>
      <w:r w:rsidRPr="003322F4">
        <w:rPr>
          <w:rFonts w:ascii="Times New Roman" w:hAnsi="Times New Roman"/>
          <w:sz w:val="20"/>
          <w:szCs w:val="20"/>
        </w:rPr>
        <w:softHyphen/>
        <w:t>dnio -0,1% (</w:t>
      </w:r>
      <w:proofErr w:type="spellStart"/>
      <w:r>
        <w:rPr>
          <w:rFonts w:ascii="Times New Roman" w:hAnsi="Times New Roman"/>
          <w:sz w:val="20"/>
          <w:szCs w:val="20"/>
        </w:rPr>
        <w:t>bz</w:t>
      </w:r>
      <w:proofErr w:type="spellEnd"/>
      <w:r w:rsidRPr="003322F4">
        <w:rPr>
          <w:rFonts w:ascii="Times New Roman" w:hAnsi="Times New Roman"/>
          <w:sz w:val="20"/>
          <w:szCs w:val="20"/>
        </w:rPr>
        <w:t xml:space="preserve">), 0,2% (-0,3 </w:t>
      </w:r>
      <w:proofErr w:type="spellStart"/>
      <w:r w:rsidRPr="003322F4">
        <w:rPr>
          <w:rFonts w:ascii="Times New Roman" w:hAnsi="Times New Roman"/>
          <w:sz w:val="20"/>
          <w:szCs w:val="20"/>
        </w:rPr>
        <w:t>p.p</w:t>
      </w:r>
      <w:proofErr w:type="spellEnd"/>
      <w:r w:rsidRPr="003322F4">
        <w:rPr>
          <w:rFonts w:ascii="Times New Roman" w:hAnsi="Times New Roman"/>
          <w:sz w:val="20"/>
          <w:szCs w:val="20"/>
        </w:rPr>
        <w:t xml:space="preserve">.) oraz 0,8% (-0,3 </w:t>
      </w:r>
      <w:proofErr w:type="spellStart"/>
      <w:r w:rsidRPr="003322F4">
        <w:rPr>
          <w:rFonts w:ascii="Times New Roman" w:hAnsi="Times New Roman"/>
          <w:sz w:val="20"/>
          <w:szCs w:val="20"/>
        </w:rPr>
        <w:t>p.p</w:t>
      </w:r>
      <w:proofErr w:type="spellEnd"/>
      <w:r w:rsidRPr="003322F4">
        <w:rPr>
          <w:rFonts w:ascii="Times New Roman" w:hAnsi="Times New Roman"/>
          <w:sz w:val="20"/>
          <w:szCs w:val="20"/>
        </w:rPr>
        <w:t xml:space="preserve">.). </w:t>
      </w:r>
    </w:p>
    <w:tbl>
      <w:tblPr>
        <w:tblpPr w:leftFromText="141" w:rightFromText="141" w:vertAnchor="text" w:horzAnchor="page" w:tblpX="1567" w:tblpY="111"/>
        <w:tblW w:w="4553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38"/>
      </w:tblGrid>
      <w:tr w:rsidR="00D321D9" w:rsidRPr="004F0702" w:rsidTr="00D321D9">
        <w:trPr>
          <w:gridAfter w:val="1"/>
          <w:wAfter w:w="38" w:type="dxa"/>
          <w:trHeight w:val="611"/>
        </w:trPr>
        <w:tc>
          <w:tcPr>
            <w:tcW w:w="4515" w:type="dxa"/>
          </w:tcPr>
          <w:p w:rsidR="00D321D9" w:rsidRPr="00D321D9" w:rsidRDefault="00D321D9" w:rsidP="004B0BE5">
            <w:pPr>
              <w:pStyle w:val="A1"/>
              <w:keepNext/>
              <w:spacing w:after="0" w:line="288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D321D9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Wyk.</w:t>
            </w:r>
            <w:r w:rsidR="004B0BE5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7</w:t>
            </w:r>
            <w:r w:rsidRPr="00D321D9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. Rentowności SPW – rynek wtórny</w:t>
            </w:r>
          </w:p>
        </w:tc>
      </w:tr>
      <w:tr w:rsidR="00D321D9" w:rsidRPr="004F0702" w:rsidTr="00D321D9">
        <w:tblPrEx>
          <w:tblCellMar>
            <w:left w:w="70" w:type="dxa"/>
            <w:right w:w="70" w:type="dxa"/>
          </w:tblCellMar>
        </w:tblPrEx>
        <w:trPr>
          <w:trHeight w:val="1736"/>
        </w:trPr>
        <w:tc>
          <w:tcPr>
            <w:tcW w:w="4553" w:type="dxa"/>
            <w:gridSpan w:val="2"/>
          </w:tcPr>
          <w:p w:rsidR="00D321D9" w:rsidRPr="004F0702" w:rsidRDefault="00D321D9" w:rsidP="00D321D9">
            <w:pPr>
              <w:pStyle w:val="A1"/>
              <w:keepNext/>
              <w:spacing w:before="60" w:after="60" w:line="288" w:lineRule="auto"/>
              <w:ind w:left="-108" w:firstLine="0"/>
              <w:jc w:val="center"/>
              <w:rPr>
                <w:b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324AAFBC" wp14:editId="764485BA">
                  <wp:extent cx="2802255" cy="2017395"/>
                  <wp:effectExtent l="0" t="0" r="0" b="1905"/>
                  <wp:docPr id="5" name="Obraz 3" descr="Wykres prezentuje rentowności SPW – rynek wtór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255" cy="201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1D9" w:rsidRPr="004F0702" w:rsidTr="00D321D9">
        <w:trPr>
          <w:gridAfter w:val="1"/>
          <w:wAfter w:w="38" w:type="dxa"/>
          <w:trHeight w:val="144"/>
        </w:trPr>
        <w:tc>
          <w:tcPr>
            <w:tcW w:w="4515" w:type="dxa"/>
          </w:tcPr>
          <w:p w:rsidR="00D321D9" w:rsidRPr="004F0702" w:rsidRDefault="00D321D9" w:rsidP="00D321D9">
            <w:pPr>
              <w:keepNext/>
              <w:spacing w:before="120" w:after="60" w:line="288" w:lineRule="auto"/>
              <w:rPr>
                <w:i/>
                <w:color w:val="E31837"/>
                <w:sz w:val="20"/>
                <w:szCs w:val="20"/>
                <w:highlight w:val="yellow"/>
              </w:rPr>
            </w:pPr>
            <w:r w:rsidRPr="00D321D9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>Źródło: MF</w:t>
            </w:r>
          </w:p>
        </w:tc>
      </w:tr>
    </w:tbl>
    <w:p w:rsidR="00BD7445" w:rsidRPr="00D55FD4" w:rsidRDefault="00BD7445" w:rsidP="00BD7445">
      <w:pPr>
        <w:widowControl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D84F5D" w:rsidRDefault="00D84F5D" w:rsidP="00EC0826">
      <w:pPr>
        <w:widowControl w:val="0"/>
        <w:spacing w:after="120"/>
        <w:jc w:val="both"/>
        <w:rPr>
          <w:rFonts w:ascii="Arial" w:hAnsi="Arial" w:cs="Arial"/>
          <w:sz w:val="18"/>
          <w:szCs w:val="18"/>
        </w:rPr>
        <w:sectPr w:rsidR="00D84F5D" w:rsidSect="005725A7">
          <w:headerReference w:type="first" r:id="rId19"/>
          <w:pgSz w:w="11907" w:h="16839" w:code="9"/>
          <w:pgMar w:top="1701" w:right="992" w:bottom="1418" w:left="1134" w:header="709" w:footer="975" w:gutter="0"/>
          <w:cols w:num="2" w:space="709"/>
          <w:titlePg/>
          <w:docGrid w:linePitch="360"/>
        </w:sectPr>
      </w:pPr>
    </w:p>
    <w:p w:rsidR="003262D7" w:rsidRPr="003262D7" w:rsidRDefault="003262D7" w:rsidP="003262D7">
      <w:pPr>
        <w:pStyle w:val="Nagwek1"/>
        <w:spacing w:after="240"/>
        <w:rPr>
          <w:rFonts w:ascii="Arial" w:hAnsi="Arial" w:cs="Arial"/>
          <w:bCs w:val="0"/>
          <w:color w:val="E31837"/>
          <w:kern w:val="0"/>
          <w:sz w:val="28"/>
          <w:szCs w:val="28"/>
        </w:rPr>
      </w:pPr>
      <w:bookmarkStart w:id="13" w:name="_Toc15028623"/>
      <w:r w:rsidRPr="003262D7">
        <w:rPr>
          <w:rFonts w:ascii="Arial" w:hAnsi="Arial" w:cs="Arial"/>
          <w:bCs w:val="0"/>
          <w:color w:val="E31837"/>
          <w:kern w:val="0"/>
          <w:sz w:val="28"/>
          <w:szCs w:val="28"/>
        </w:rPr>
        <w:lastRenderedPageBreak/>
        <w:t>NO</w:t>
      </w:r>
      <w:r w:rsidRPr="00D1237C">
        <w:rPr>
          <w:rFonts w:ascii="Arial" w:hAnsi="Arial" w:cs="Arial"/>
          <w:bCs w:val="0"/>
          <w:color w:val="E31837"/>
          <w:kern w:val="0"/>
          <w:sz w:val="28"/>
          <w:szCs w:val="28"/>
        </w:rPr>
        <w:t xml:space="preserve">TA </w:t>
      </w:r>
      <w:r w:rsidRPr="003262D7">
        <w:rPr>
          <w:rFonts w:ascii="Arial" w:hAnsi="Arial" w:cs="Arial"/>
          <w:bCs w:val="0"/>
          <w:color w:val="E31837"/>
          <w:kern w:val="0"/>
          <w:sz w:val="28"/>
          <w:szCs w:val="28"/>
        </w:rPr>
        <w:t>METODYCZNA</w:t>
      </w:r>
      <w:bookmarkEnd w:id="13"/>
    </w:p>
    <w:p w:rsidR="003262D7" w:rsidRPr="00D1237C" w:rsidRDefault="003262D7" w:rsidP="00975613">
      <w:pPr>
        <w:widowControl w:val="0"/>
        <w:autoSpaceDE w:val="0"/>
        <w:autoSpaceDN w:val="0"/>
        <w:adjustRightInd w:val="0"/>
        <w:spacing w:before="360" w:after="12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 w:rsidRPr="00D1237C">
        <w:rPr>
          <w:rFonts w:ascii="Arial" w:hAnsi="Arial" w:cs="Arial"/>
          <w:b/>
          <w:color w:val="E31837"/>
          <w:sz w:val="24"/>
          <w:szCs w:val="24"/>
        </w:rPr>
        <w:t>Budżet państwa</w:t>
      </w:r>
    </w:p>
    <w:p w:rsidR="003262D7" w:rsidRPr="007837F6" w:rsidRDefault="003262D7" w:rsidP="00975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837F6">
        <w:rPr>
          <w:rFonts w:ascii="Arial" w:hAnsi="Arial" w:cs="Arial"/>
          <w:b/>
          <w:color w:val="ADAFB2"/>
          <w:sz w:val="20"/>
          <w:szCs w:val="20"/>
        </w:rPr>
        <w:t>Dane o budżecie państwa prezentowane są zgodnie z krajową metodol</w:t>
      </w:r>
      <w:r>
        <w:rPr>
          <w:rFonts w:ascii="Arial" w:hAnsi="Arial" w:cs="Arial"/>
          <w:b/>
          <w:color w:val="ADAFB2"/>
          <w:sz w:val="20"/>
          <w:szCs w:val="20"/>
        </w:rPr>
        <w:t>ogią, tj. w układzie kasowym (z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>pewnymi wyjątkami) i  zgodnie z definicjami przejętymi w Ustaw</w:t>
      </w:r>
      <w:r>
        <w:rPr>
          <w:rFonts w:ascii="Arial" w:hAnsi="Arial" w:cs="Arial"/>
          <w:b/>
          <w:color w:val="ADAFB2"/>
          <w:sz w:val="20"/>
          <w:szCs w:val="20"/>
        </w:rPr>
        <w:t>ie z dnia 27 sierpnia 2009 r. o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 xml:space="preserve">finansach publicznych (tekst jednolity Dz.U. z 2013 poz. 885 z </w:t>
      </w:r>
      <w:proofErr w:type="spellStart"/>
      <w:r w:rsidRPr="007837F6">
        <w:rPr>
          <w:rFonts w:ascii="Arial" w:hAnsi="Arial" w:cs="Arial"/>
          <w:b/>
          <w:color w:val="ADAFB2"/>
          <w:sz w:val="20"/>
          <w:szCs w:val="20"/>
        </w:rPr>
        <w:t>późn</w:t>
      </w:r>
      <w:proofErr w:type="spellEnd"/>
      <w:r w:rsidRPr="007837F6">
        <w:rPr>
          <w:rFonts w:ascii="Arial" w:hAnsi="Arial" w:cs="Arial"/>
          <w:b/>
          <w:color w:val="ADAFB2"/>
          <w:sz w:val="20"/>
          <w:szCs w:val="20"/>
        </w:rPr>
        <w:t>. zm.):</w:t>
      </w:r>
    </w:p>
    <w:p w:rsidR="003262D7" w:rsidRPr="007837F6" w:rsidRDefault="00FF4641" w:rsidP="00975613">
      <w:pPr>
        <w:widowControl w:val="0"/>
        <w:autoSpaceDE w:val="0"/>
        <w:autoSpaceDN w:val="0"/>
        <w:adjustRightInd w:val="0"/>
        <w:spacing w:after="36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hyperlink r:id="rId20" w:history="1">
        <w:r w:rsidR="003262D7" w:rsidRPr="00C94AA6">
          <w:rPr>
            <w:rStyle w:val="Hipercze"/>
            <w:rFonts w:ascii="Arial" w:hAnsi="Arial" w:cs="Arial"/>
            <w:b/>
            <w:sz w:val="20"/>
            <w:szCs w:val="20"/>
          </w:rPr>
          <w:t>http://isap.sejm.gov.pl/DetailsServlet?id=WDU20091571240</w:t>
        </w:r>
      </w:hyperlink>
    </w:p>
    <w:p w:rsidR="003262D7" w:rsidRPr="00D1237C" w:rsidRDefault="003262D7" w:rsidP="00975613">
      <w:pPr>
        <w:widowControl w:val="0"/>
        <w:autoSpaceDE w:val="0"/>
        <w:autoSpaceDN w:val="0"/>
        <w:adjustRightInd w:val="0"/>
        <w:spacing w:before="360" w:after="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 w:rsidRPr="00D1237C">
        <w:rPr>
          <w:rFonts w:ascii="Arial" w:hAnsi="Arial" w:cs="Arial"/>
          <w:b/>
          <w:color w:val="E31837"/>
          <w:sz w:val="24"/>
          <w:szCs w:val="24"/>
        </w:rPr>
        <w:t xml:space="preserve">Szczebel centralny według metodologii GFSM2001 </w:t>
      </w:r>
    </w:p>
    <w:p w:rsidR="003262D7" w:rsidRDefault="003262D7" w:rsidP="00975613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837F6">
        <w:rPr>
          <w:rFonts w:ascii="Arial" w:hAnsi="Arial" w:cs="Arial"/>
          <w:b/>
          <w:color w:val="ADAFB2"/>
          <w:sz w:val="20"/>
          <w:szCs w:val="20"/>
        </w:rPr>
        <w:t>Metodologia GFSM2001 została opracowana przez Międzynarodowy Fundusz Walutowy. Szczebel centralny stanowi jeden z dwóch szczebli sektora instytucji rządowych i samorządowych (drugim jest szczebel lokalny). Szczebel centralny obejmuje budżet państwa, jednostki działające poza budżetem państwa oraz fundusze ubezpieczeń społecznych. Dane w</w:t>
      </w:r>
      <w:r>
        <w:rPr>
          <w:rFonts w:ascii="Arial" w:hAnsi="Arial" w:cs="Arial"/>
          <w:b/>
          <w:color w:val="ADAFB2"/>
          <w:sz w:val="20"/>
          <w:szCs w:val="20"/>
        </w:rPr>
        <w:t>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>niniejszej informacji obejmują niepełny zakres szczebla centralnego (są jednak wystarczające do oceny jego sytuacji finansowej, stanowią ok. 80% jego skonsolidowanych wydatków), tj. budżet państwa, Fundusz Ubezpieczeń Społecznych (FUS), Fundusz Emerytalno-Rentowy (FER), Fundusz Pracy (FP) oraz Narodowy Fundusz Zdrowia (NFZ). Dane o</w:t>
      </w:r>
      <w:r>
        <w:rPr>
          <w:rFonts w:ascii="Arial" w:hAnsi="Arial" w:cs="Arial"/>
          <w:b/>
          <w:color w:val="ADAFB2"/>
          <w:sz w:val="20"/>
          <w:szCs w:val="20"/>
        </w:rPr>
        <w:t>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 xml:space="preserve">szczeblu centralnym prezentowane są w ujęciu kasowym oraz po eliminacji wewnętrznych przepływów. </w:t>
      </w:r>
      <w:r>
        <w:rPr>
          <w:rFonts w:ascii="Arial" w:hAnsi="Arial" w:cs="Arial"/>
          <w:b/>
          <w:color w:val="ADAFB2"/>
          <w:sz w:val="20"/>
          <w:szCs w:val="20"/>
        </w:rPr>
        <w:t xml:space="preserve"> </w:t>
      </w:r>
    </w:p>
    <w:p w:rsidR="003262D7" w:rsidRPr="007837F6" w:rsidRDefault="003262D7" w:rsidP="00975613">
      <w:pPr>
        <w:widowControl w:val="0"/>
        <w:autoSpaceDE w:val="0"/>
        <w:autoSpaceDN w:val="0"/>
        <w:adjustRightInd w:val="0"/>
        <w:spacing w:after="36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 xml:space="preserve">Więcej </w:t>
      </w:r>
      <w:r w:rsidRPr="007837F6">
        <w:rPr>
          <w:rFonts w:ascii="Arial" w:hAnsi="Arial" w:cs="Arial"/>
          <w:b/>
          <w:color w:val="ADAFB2"/>
          <w:sz w:val="20"/>
          <w:szCs w:val="20"/>
        </w:rPr>
        <w:t>na:</w:t>
      </w:r>
      <w:r>
        <w:rPr>
          <w:rFonts w:ascii="Arial" w:hAnsi="Arial" w:cs="Arial"/>
          <w:b/>
          <w:color w:val="ADAFB2"/>
          <w:sz w:val="20"/>
          <w:szCs w:val="20"/>
        </w:rPr>
        <w:t xml:space="preserve"> </w:t>
      </w:r>
      <w:hyperlink r:id="rId21" w:history="1">
        <w:r w:rsidRPr="00C94AA6">
          <w:rPr>
            <w:rStyle w:val="Hipercze"/>
            <w:rFonts w:ascii="Arial" w:hAnsi="Arial" w:cs="Arial"/>
            <w:b/>
            <w:sz w:val="20"/>
            <w:szCs w:val="20"/>
          </w:rPr>
          <w:t>http://www.mf.gov.pl/documents/764034/1002148/metodologia+wersja+polska2001.pdf</w:t>
        </w:r>
      </w:hyperlink>
    </w:p>
    <w:p w:rsidR="003262D7" w:rsidRPr="00D1237C" w:rsidRDefault="003262D7" w:rsidP="006652E2">
      <w:pPr>
        <w:widowControl w:val="0"/>
        <w:autoSpaceDE w:val="0"/>
        <w:autoSpaceDN w:val="0"/>
        <w:adjustRightInd w:val="0"/>
        <w:spacing w:before="360" w:after="12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 w:rsidRPr="00D1237C">
        <w:rPr>
          <w:rFonts w:ascii="Arial" w:hAnsi="Arial" w:cs="Arial"/>
          <w:b/>
          <w:color w:val="E31837"/>
          <w:sz w:val="24"/>
          <w:szCs w:val="24"/>
        </w:rPr>
        <w:t xml:space="preserve">Sektor instytucji rządowych i samorządowych wg ESA2010 </w:t>
      </w:r>
    </w:p>
    <w:p w:rsidR="003262D7" w:rsidRPr="007837F6" w:rsidRDefault="003262D7" w:rsidP="00975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837F6">
        <w:rPr>
          <w:rFonts w:ascii="Arial" w:hAnsi="Arial" w:cs="Arial"/>
          <w:b/>
          <w:color w:val="ADAFB2"/>
          <w:sz w:val="20"/>
          <w:szCs w:val="20"/>
        </w:rPr>
        <w:t>Od września 2014 r. obowiązuje nowy europejski system rachunków narodowych i regionalnych ESA2010,</w:t>
      </w:r>
      <w:r>
        <w:rPr>
          <w:rFonts w:ascii="Arial" w:hAnsi="Arial" w:cs="Arial"/>
          <w:b/>
          <w:color w:val="ADAFB2"/>
          <w:sz w:val="20"/>
          <w:szCs w:val="20"/>
        </w:rPr>
        <w:t xml:space="preserve"> zgodnie z Rozporządzeniem PE i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 xml:space="preserve">Rady UE nr 549/2013 z dnia 21 maja 2013 r. Zakres sektora instytucji rządowych i samorządowych wg ESA2010 jest tożsamy z zakresem tego sektora wg GFSM2001. Obejmuje on trzy podsektory: dwa z nich: podsektor instytucji rządowych na szczeblu centralnym oraz podsektor funduszy ubezpieczeń społecznych odpowiadają zakresowi szczebla centralnego wg GFSM2001, a pozostałym jest podsektor instytucji samorządowych na szczeblu lokalnym. Dane ESA2010 </w:t>
      </w:r>
      <w:r>
        <w:rPr>
          <w:rFonts w:ascii="Arial" w:hAnsi="Arial" w:cs="Arial"/>
          <w:b/>
          <w:color w:val="ADAFB2"/>
          <w:sz w:val="20"/>
          <w:szCs w:val="20"/>
        </w:rPr>
        <w:t>są prezentowane, podobnie jak w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>GFSM2001, po eliminacji wewnętrznych przepływów, jednak różnią się od danych GFSM2001 odmienną koncepcją rachunkową (są to dane memoriałowe, z pewnymi dostosowaniami) oraz odmienną klasyfikacją niektórych transakcji. Deficyt</w:t>
      </w:r>
      <w:r>
        <w:rPr>
          <w:rFonts w:ascii="Arial" w:hAnsi="Arial" w:cs="Arial"/>
          <w:b/>
          <w:color w:val="ADAFB2"/>
          <w:sz w:val="20"/>
          <w:szCs w:val="20"/>
        </w:rPr>
        <w:t xml:space="preserve"> sektora instytucji rządowych i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>samorządowych obliczony wedłu</w:t>
      </w:r>
      <w:r>
        <w:rPr>
          <w:rFonts w:ascii="Arial" w:hAnsi="Arial" w:cs="Arial"/>
          <w:b/>
          <w:color w:val="ADAFB2"/>
          <w:sz w:val="20"/>
          <w:szCs w:val="20"/>
        </w:rPr>
        <w:t>g zasad ESA2010 stanowi jeden z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>elementów kryterium fiskaln</w:t>
      </w:r>
      <w:r w:rsidR="00A82C2A">
        <w:rPr>
          <w:rFonts w:ascii="Arial" w:hAnsi="Arial" w:cs="Arial"/>
          <w:b/>
          <w:color w:val="ADAFB2"/>
          <w:sz w:val="20"/>
          <w:szCs w:val="20"/>
        </w:rPr>
        <w:t xml:space="preserve">ego z </w:t>
      </w:r>
      <w:proofErr w:type="spellStart"/>
      <w:r w:rsidR="00A82C2A">
        <w:rPr>
          <w:rFonts w:ascii="Arial" w:hAnsi="Arial" w:cs="Arial"/>
          <w:b/>
          <w:color w:val="ADAFB2"/>
          <w:sz w:val="20"/>
          <w:szCs w:val="20"/>
        </w:rPr>
        <w:t>Maastricht</w:t>
      </w:r>
      <w:proofErr w:type="spellEnd"/>
      <w:r w:rsidR="00A82C2A">
        <w:rPr>
          <w:rFonts w:ascii="Arial" w:hAnsi="Arial" w:cs="Arial"/>
          <w:b/>
          <w:color w:val="ADAFB2"/>
          <w:sz w:val="20"/>
          <w:szCs w:val="20"/>
        </w:rPr>
        <w:t xml:space="preserve"> (drugim jest dł</w:t>
      </w:r>
      <w:r w:rsidRPr="007837F6">
        <w:rPr>
          <w:rFonts w:ascii="Arial" w:hAnsi="Arial" w:cs="Arial"/>
          <w:b/>
          <w:color w:val="ADAFB2"/>
          <w:sz w:val="20"/>
          <w:szCs w:val="20"/>
        </w:rPr>
        <w:t>ug tego sektora).</w:t>
      </w:r>
    </w:p>
    <w:p w:rsidR="003262D7" w:rsidRPr="007837F6" w:rsidRDefault="003262D7" w:rsidP="00975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837F6">
        <w:rPr>
          <w:rFonts w:ascii="Arial" w:hAnsi="Arial" w:cs="Arial"/>
          <w:b/>
          <w:color w:val="ADAFB2"/>
          <w:sz w:val="20"/>
          <w:szCs w:val="20"/>
        </w:rPr>
        <w:t>Rozporządzenie dostępne</w:t>
      </w:r>
      <w:r w:rsidRPr="007837F6">
        <w:rPr>
          <w:rFonts w:ascii="Arial" w:hAnsi="Arial" w:cs="Arial"/>
          <w:b/>
          <w:color w:val="ADAFB2"/>
          <w:sz w:val="24"/>
          <w:szCs w:val="24"/>
        </w:rPr>
        <w:t>:</w:t>
      </w:r>
      <w:r>
        <w:rPr>
          <w:rFonts w:ascii="Arial" w:hAnsi="Arial" w:cs="Arial"/>
          <w:b/>
          <w:color w:val="ADAFB2"/>
          <w:sz w:val="24"/>
          <w:szCs w:val="24"/>
        </w:rPr>
        <w:t xml:space="preserve"> </w:t>
      </w:r>
      <w:hyperlink r:id="rId22" w:history="1">
        <w:r w:rsidRPr="00442CC9">
          <w:rPr>
            <w:rStyle w:val="Hipercze"/>
            <w:rFonts w:ascii="Arial" w:hAnsi="Arial" w:cs="Arial"/>
            <w:b/>
            <w:sz w:val="20"/>
            <w:szCs w:val="20"/>
          </w:rPr>
          <w:t>http://stat.gov.pl/obszary-tematyczne/rachunki-narodowe/europejski-system-rachunkow-narodowych-i-regionalnych-esa-2010/rozporzadzenie-parlamentu-europejskiego-i-rady-ue-nr-5492013-z-dnia-21-maja-2013-r-,1,1.html</w:t>
        </w:r>
      </w:hyperlink>
      <w:r w:rsidRPr="007837F6">
        <w:rPr>
          <w:rFonts w:ascii="Arial" w:hAnsi="Arial" w:cs="Arial"/>
          <w:b/>
          <w:color w:val="ADAFB2"/>
          <w:sz w:val="20"/>
          <w:szCs w:val="20"/>
        </w:rPr>
        <w:t>.</w:t>
      </w:r>
      <w:r>
        <w:rPr>
          <w:rFonts w:ascii="Arial" w:hAnsi="Arial" w:cs="Arial"/>
          <w:b/>
          <w:color w:val="ADAFB2"/>
          <w:sz w:val="20"/>
          <w:szCs w:val="20"/>
        </w:rPr>
        <w:t xml:space="preserve"> </w:t>
      </w:r>
    </w:p>
    <w:p w:rsidR="003262D7" w:rsidRDefault="003262D7" w:rsidP="003262D7">
      <w:pPr>
        <w:widowControl w:val="0"/>
        <w:autoSpaceDE w:val="0"/>
        <w:autoSpaceDN w:val="0"/>
        <w:adjustRightInd w:val="0"/>
        <w:spacing w:before="240" w:after="280" w:line="360" w:lineRule="auto"/>
        <w:jc w:val="both"/>
        <w:rPr>
          <w:rFonts w:ascii="Arial" w:hAnsi="Arial" w:cs="Arial"/>
          <w:sz w:val="18"/>
          <w:szCs w:val="18"/>
        </w:rPr>
      </w:pPr>
    </w:p>
    <w:p w:rsidR="005B7F4B" w:rsidRDefault="005B7F4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:rsidR="00804DD1" w:rsidRDefault="00804DD1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:rsidR="00C2261E" w:rsidRDefault="000404D4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drawing>
          <wp:anchor distT="0" distB="0" distL="114300" distR="114300" simplePos="0" relativeHeight="251656704" behindDoc="1" locked="0" layoutInCell="1" allowOverlap="1" wp14:anchorId="12A98269" wp14:editId="0BFCA4AE">
            <wp:simplePos x="0" y="0"/>
            <wp:positionH relativeFrom="column">
              <wp:posOffset>2724150</wp:posOffset>
            </wp:positionH>
            <wp:positionV relativeFrom="paragraph">
              <wp:posOffset>-457200</wp:posOffset>
            </wp:positionV>
            <wp:extent cx="802640" cy="767715"/>
            <wp:effectExtent l="0" t="0" r="0" b="0"/>
            <wp:wrapNone/>
            <wp:docPr id="9" name="Picture 0" descr="m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f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61E" w:rsidRDefault="00C2261E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:rsidR="005B7F4B" w:rsidRDefault="005B7F4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:rsidR="00EB6D6D" w:rsidRDefault="00EB6D6D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:rsidR="005B7F4B" w:rsidRDefault="005B7F4B" w:rsidP="00A3676D">
      <w:pPr>
        <w:pStyle w:val="Nagwek1"/>
        <w:jc w:val="center"/>
        <w:rPr>
          <w:rFonts w:ascii="Arial" w:hAnsi="Arial" w:cs="Arial"/>
          <w:color w:val="E31837"/>
          <w:sz w:val="40"/>
          <w:szCs w:val="40"/>
        </w:rPr>
      </w:pPr>
      <w:bookmarkStart w:id="14" w:name="_Toc15028624"/>
      <w:r w:rsidRPr="00A3676D">
        <w:rPr>
          <w:rFonts w:ascii="Arial" w:hAnsi="Arial" w:cs="Arial"/>
          <w:color w:val="E31837"/>
          <w:sz w:val="40"/>
          <w:szCs w:val="40"/>
        </w:rPr>
        <w:t xml:space="preserve">ANEKS </w:t>
      </w:r>
      <w:r w:rsidR="00A3676D" w:rsidRPr="00A3676D">
        <w:rPr>
          <w:rFonts w:ascii="Arial" w:hAnsi="Arial" w:cs="Arial"/>
          <w:color w:val="E31837"/>
          <w:sz w:val="40"/>
          <w:szCs w:val="40"/>
        </w:rPr>
        <w:t xml:space="preserve"> </w:t>
      </w:r>
      <w:r w:rsidRPr="00A3676D">
        <w:rPr>
          <w:rFonts w:ascii="Arial" w:hAnsi="Arial" w:cs="Arial"/>
          <w:color w:val="E31837"/>
          <w:sz w:val="40"/>
          <w:szCs w:val="40"/>
        </w:rPr>
        <w:t>STATYSTYCZNY</w:t>
      </w:r>
      <w:bookmarkEnd w:id="14"/>
      <w:r w:rsidR="009F1CD8">
        <w:rPr>
          <w:rFonts w:ascii="Arial" w:hAnsi="Arial" w:cs="Arial"/>
          <w:color w:val="E31837"/>
          <w:sz w:val="40"/>
          <w:szCs w:val="40"/>
        </w:rPr>
        <w:t xml:space="preserve"> </w:t>
      </w:r>
      <w:r w:rsidR="00A10DA3">
        <w:rPr>
          <w:rFonts w:ascii="Arial" w:hAnsi="Arial" w:cs="Arial"/>
          <w:color w:val="E31837"/>
          <w:sz w:val="40"/>
          <w:szCs w:val="40"/>
        </w:rPr>
        <w:br/>
      </w:r>
    </w:p>
    <w:p w:rsidR="00E120D2" w:rsidRDefault="00E120D2" w:rsidP="00E120D2"/>
    <w:p w:rsidR="00E120D2" w:rsidRPr="00E120D2" w:rsidRDefault="00E120D2" w:rsidP="00E120D2"/>
    <w:p w:rsidR="00E120D2" w:rsidRPr="009567F0" w:rsidRDefault="00E120D2" w:rsidP="009567F0"/>
    <w:p w:rsidR="009567F0" w:rsidRDefault="009567F0" w:rsidP="009567F0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 w:rsidRPr="00D80F1C">
        <w:rPr>
          <w:rFonts w:ascii="Arial" w:hAnsi="Arial" w:cs="Arial"/>
          <w:b/>
          <w:color w:val="E31837"/>
          <w:sz w:val="28"/>
          <w:szCs w:val="28"/>
        </w:rPr>
        <w:t>SPIS T</w:t>
      </w:r>
      <w:r w:rsidR="009F1CD8">
        <w:rPr>
          <w:rFonts w:ascii="Arial" w:hAnsi="Arial" w:cs="Arial"/>
          <w:b/>
          <w:color w:val="E31837"/>
          <w:sz w:val="28"/>
          <w:szCs w:val="28"/>
        </w:rPr>
        <w:t>ABLIC</w:t>
      </w:r>
    </w:p>
    <w:p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Tablica 1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>Podstawowe wskaźniki makroekonomiczne</w:t>
      </w:r>
    </w:p>
    <w:p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2</w:t>
      </w:r>
      <w:r w:rsidR="007910F9">
        <w:rPr>
          <w:rFonts w:ascii="Arial" w:hAnsi="Arial" w:cs="Arial"/>
          <w:b/>
          <w:color w:val="ADAFB2"/>
          <w:sz w:val="20"/>
          <w:szCs w:val="20"/>
        </w:rPr>
        <w:t xml:space="preserve">- </w:t>
      </w:r>
      <w:r w:rsidRPr="007910F9">
        <w:rPr>
          <w:rFonts w:ascii="Arial" w:hAnsi="Arial" w:cs="Arial"/>
          <w:b/>
          <w:color w:val="ADAFB2"/>
          <w:sz w:val="20"/>
          <w:szCs w:val="20"/>
        </w:rPr>
        <w:t>5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>Podstawowe dane z zakresu finansów publicznych (wg. ESA</w:t>
      </w:r>
      <w:r w:rsidRPr="007910F9">
        <w:rPr>
          <w:rFonts w:ascii="Arial" w:hAnsi="Arial" w:cs="Arial"/>
          <w:b/>
          <w:color w:val="ADAFB2"/>
          <w:sz w:val="20"/>
          <w:szCs w:val="20"/>
        </w:rPr>
        <w:t xml:space="preserve"> </w:t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>2010) sektor instytucji rządowych i samorządowych</w:t>
      </w:r>
    </w:p>
    <w:p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6</w:t>
      </w:r>
      <w:r w:rsidR="007910F9">
        <w:rPr>
          <w:rFonts w:ascii="Arial" w:hAnsi="Arial" w:cs="Arial"/>
          <w:b/>
          <w:color w:val="ADAFB2"/>
          <w:sz w:val="20"/>
          <w:szCs w:val="20"/>
        </w:rPr>
        <w:t xml:space="preserve">- </w:t>
      </w:r>
      <w:r w:rsidRPr="007910F9">
        <w:rPr>
          <w:rFonts w:ascii="Arial" w:hAnsi="Arial" w:cs="Arial"/>
          <w:b/>
          <w:color w:val="ADAFB2"/>
          <w:sz w:val="20"/>
          <w:szCs w:val="20"/>
        </w:rPr>
        <w:t>9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>Podstawowe dane z zakresu finansów publicznych (wg. sprawozdawczości krajowej) budżet państwa</w:t>
      </w:r>
    </w:p>
    <w:p w:rsidR="00D074C7" w:rsidRPr="007910F9" w:rsidRDefault="00D074C7" w:rsidP="00D074C7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10</w:t>
      </w:r>
      <w:r>
        <w:rPr>
          <w:rFonts w:ascii="Arial" w:hAnsi="Arial" w:cs="Arial"/>
          <w:b/>
          <w:color w:val="ADAFB2"/>
          <w:sz w:val="20"/>
          <w:szCs w:val="20"/>
        </w:rPr>
        <w:t>- 1</w:t>
      </w:r>
      <w:r w:rsidR="00D77A4A">
        <w:rPr>
          <w:rFonts w:ascii="Arial" w:hAnsi="Arial" w:cs="Arial"/>
          <w:b/>
          <w:color w:val="ADAFB2"/>
          <w:sz w:val="20"/>
          <w:szCs w:val="20"/>
        </w:rPr>
        <w:t>2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  <w:t xml:space="preserve">Podstawowe dane z zakresu finansów publicznych </w:t>
      </w:r>
      <w:r>
        <w:rPr>
          <w:rFonts w:ascii="Arial" w:hAnsi="Arial" w:cs="Arial"/>
          <w:b/>
          <w:color w:val="ADAFB2"/>
          <w:sz w:val="20"/>
          <w:szCs w:val="20"/>
        </w:rPr>
        <w:t>–</w:t>
      </w:r>
      <w:r w:rsidRPr="007910F9">
        <w:rPr>
          <w:rFonts w:ascii="Arial" w:hAnsi="Arial" w:cs="Arial"/>
          <w:b/>
          <w:color w:val="ADAFB2"/>
          <w:sz w:val="20"/>
          <w:szCs w:val="20"/>
        </w:rPr>
        <w:t xml:space="preserve"> </w:t>
      </w:r>
      <w:r>
        <w:rPr>
          <w:rFonts w:ascii="Arial" w:hAnsi="Arial" w:cs="Arial"/>
          <w:b/>
          <w:color w:val="ADAFB2"/>
          <w:sz w:val="20"/>
          <w:szCs w:val="20"/>
        </w:rPr>
        <w:t>jednostki samorządu terytorialnego</w:t>
      </w:r>
      <w:r w:rsidRPr="007910F9">
        <w:rPr>
          <w:rFonts w:ascii="Arial" w:hAnsi="Arial" w:cs="Arial"/>
          <w:b/>
          <w:color w:val="ADAFB2"/>
          <w:sz w:val="20"/>
          <w:szCs w:val="20"/>
        </w:rPr>
        <w:t xml:space="preserve"> </w:t>
      </w:r>
    </w:p>
    <w:p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1</w:t>
      </w:r>
      <w:r w:rsidR="00D77A4A">
        <w:rPr>
          <w:rFonts w:ascii="Arial" w:hAnsi="Arial" w:cs="Arial"/>
          <w:b/>
          <w:color w:val="ADAFB2"/>
          <w:sz w:val="20"/>
          <w:szCs w:val="20"/>
        </w:rPr>
        <w:t>3</w:t>
      </w:r>
      <w:r w:rsidR="007910F9">
        <w:rPr>
          <w:rFonts w:ascii="Arial" w:hAnsi="Arial" w:cs="Arial"/>
          <w:b/>
          <w:color w:val="ADAFB2"/>
          <w:sz w:val="20"/>
          <w:szCs w:val="20"/>
        </w:rPr>
        <w:t>- 1</w:t>
      </w:r>
      <w:r w:rsidR="00D77A4A">
        <w:rPr>
          <w:rFonts w:ascii="Arial" w:hAnsi="Arial" w:cs="Arial"/>
          <w:b/>
          <w:color w:val="ADAFB2"/>
          <w:sz w:val="20"/>
          <w:szCs w:val="20"/>
        </w:rPr>
        <w:t>9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 xml:space="preserve">Podstawowe dane z zakresu finansów publicznych - Państwowe fundusze celowe </w:t>
      </w:r>
    </w:p>
    <w:p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 xml:space="preserve">Tablice </w:t>
      </w:r>
      <w:r w:rsidR="00D77A4A">
        <w:rPr>
          <w:rFonts w:ascii="Arial" w:hAnsi="Arial" w:cs="Arial"/>
          <w:b/>
          <w:color w:val="ADAFB2"/>
          <w:sz w:val="20"/>
          <w:szCs w:val="20"/>
        </w:rPr>
        <w:t>20</w:t>
      </w:r>
      <w:r w:rsidR="007910F9">
        <w:rPr>
          <w:rFonts w:ascii="Arial" w:hAnsi="Arial" w:cs="Arial"/>
          <w:b/>
          <w:color w:val="ADAFB2"/>
          <w:sz w:val="20"/>
          <w:szCs w:val="20"/>
        </w:rPr>
        <w:t xml:space="preserve">- </w:t>
      </w:r>
      <w:r w:rsidR="00D77A4A">
        <w:rPr>
          <w:rFonts w:ascii="Arial" w:hAnsi="Arial" w:cs="Arial"/>
          <w:b/>
          <w:color w:val="ADAFB2"/>
          <w:sz w:val="20"/>
          <w:szCs w:val="20"/>
        </w:rPr>
        <w:t>22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 xml:space="preserve">Podstawowe dane z zakresu finansów publicznych (wg. metodologii GFSM2001) </w:t>
      </w:r>
    </w:p>
    <w:p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2</w:t>
      </w:r>
      <w:r w:rsidR="00D77A4A">
        <w:rPr>
          <w:rFonts w:ascii="Arial" w:hAnsi="Arial" w:cs="Arial"/>
          <w:b/>
          <w:color w:val="ADAFB2"/>
          <w:sz w:val="20"/>
          <w:szCs w:val="20"/>
        </w:rPr>
        <w:t>3</w:t>
      </w:r>
      <w:r w:rsidRPr="007910F9">
        <w:rPr>
          <w:rFonts w:ascii="Arial" w:hAnsi="Arial" w:cs="Arial"/>
          <w:b/>
          <w:color w:val="ADAFB2"/>
          <w:sz w:val="20"/>
          <w:szCs w:val="20"/>
        </w:rPr>
        <w:t>-</w:t>
      </w:r>
      <w:r w:rsidR="007910F9">
        <w:rPr>
          <w:rFonts w:ascii="Arial" w:hAnsi="Arial" w:cs="Arial"/>
          <w:b/>
          <w:color w:val="ADAFB2"/>
          <w:sz w:val="20"/>
          <w:szCs w:val="20"/>
        </w:rPr>
        <w:t xml:space="preserve"> </w:t>
      </w:r>
      <w:r w:rsidRPr="007910F9">
        <w:rPr>
          <w:rFonts w:ascii="Arial" w:hAnsi="Arial" w:cs="Arial"/>
          <w:b/>
          <w:color w:val="ADAFB2"/>
          <w:sz w:val="20"/>
          <w:szCs w:val="20"/>
        </w:rPr>
        <w:t>2</w:t>
      </w:r>
      <w:r w:rsidR="00D77A4A">
        <w:rPr>
          <w:rFonts w:ascii="Arial" w:hAnsi="Arial" w:cs="Arial"/>
          <w:b/>
          <w:color w:val="ADAFB2"/>
          <w:sz w:val="20"/>
          <w:szCs w:val="20"/>
        </w:rPr>
        <w:t>4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>Zadłużenie sektora instytucji rządowych i samorządowych</w:t>
      </w:r>
      <w:r w:rsidRPr="007910F9">
        <w:rPr>
          <w:rFonts w:ascii="Arial" w:hAnsi="Arial" w:cs="Arial"/>
          <w:b/>
          <w:color w:val="ADAFB2"/>
          <w:sz w:val="20"/>
          <w:szCs w:val="20"/>
        </w:rPr>
        <w:t xml:space="preserve"> (wg. ESA 2010)</w:t>
      </w:r>
    </w:p>
    <w:p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2</w:t>
      </w:r>
      <w:r w:rsidR="00D77A4A">
        <w:rPr>
          <w:rFonts w:ascii="Arial" w:hAnsi="Arial" w:cs="Arial"/>
          <w:b/>
          <w:color w:val="ADAFB2"/>
          <w:sz w:val="20"/>
          <w:szCs w:val="20"/>
        </w:rPr>
        <w:t>5</w:t>
      </w:r>
      <w:r w:rsidRPr="007910F9">
        <w:rPr>
          <w:rFonts w:ascii="Arial" w:hAnsi="Arial" w:cs="Arial"/>
          <w:b/>
          <w:color w:val="ADAFB2"/>
          <w:sz w:val="20"/>
          <w:szCs w:val="20"/>
        </w:rPr>
        <w:t>-</w:t>
      </w:r>
      <w:r w:rsidR="007910F9">
        <w:rPr>
          <w:rFonts w:ascii="Arial" w:hAnsi="Arial" w:cs="Arial"/>
          <w:b/>
          <w:color w:val="ADAFB2"/>
          <w:sz w:val="20"/>
          <w:szCs w:val="20"/>
        </w:rPr>
        <w:t xml:space="preserve"> </w:t>
      </w:r>
      <w:r w:rsidRPr="007910F9">
        <w:rPr>
          <w:rFonts w:ascii="Arial" w:hAnsi="Arial" w:cs="Arial"/>
          <w:b/>
          <w:color w:val="ADAFB2"/>
          <w:sz w:val="20"/>
          <w:szCs w:val="20"/>
        </w:rPr>
        <w:t>2</w:t>
      </w:r>
      <w:r w:rsidR="00D77A4A">
        <w:rPr>
          <w:rFonts w:ascii="Arial" w:hAnsi="Arial" w:cs="Arial"/>
          <w:b/>
          <w:color w:val="ADAFB2"/>
          <w:sz w:val="20"/>
          <w:szCs w:val="20"/>
        </w:rPr>
        <w:t>6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  <w:t xml:space="preserve">Zadłużenie sektora finansów publicznych – Państwowy </w:t>
      </w:r>
      <w:r w:rsidR="00740A4E">
        <w:rPr>
          <w:rFonts w:ascii="Arial" w:hAnsi="Arial" w:cs="Arial"/>
          <w:b/>
          <w:color w:val="ADAFB2"/>
          <w:sz w:val="20"/>
          <w:szCs w:val="20"/>
        </w:rPr>
        <w:t>D</w:t>
      </w:r>
      <w:r w:rsidRPr="007910F9">
        <w:rPr>
          <w:rFonts w:ascii="Arial" w:hAnsi="Arial" w:cs="Arial"/>
          <w:b/>
          <w:color w:val="ADAFB2"/>
          <w:sz w:val="20"/>
          <w:szCs w:val="20"/>
        </w:rPr>
        <w:t xml:space="preserve">ług </w:t>
      </w:r>
      <w:r w:rsidR="00740A4E">
        <w:rPr>
          <w:rFonts w:ascii="Arial" w:hAnsi="Arial" w:cs="Arial"/>
          <w:b/>
          <w:color w:val="ADAFB2"/>
          <w:sz w:val="20"/>
          <w:szCs w:val="20"/>
        </w:rPr>
        <w:t>P</w:t>
      </w:r>
      <w:r w:rsidRPr="007910F9">
        <w:rPr>
          <w:rFonts w:ascii="Arial" w:hAnsi="Arial" w:cs="Arial"/>
          <w:b/>
          <w:color w:val="ADAFB2"/>
          <w:sz w:val="20"/>
          <w:szCs w:val="20"/>
        </w:rPr>
        <w:t>ubliczny</w:t>
      </w:r>
    </w:p>
    <w:p w:rsidR="009F1CD8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2</w:t>
      </w:r>
      <w:r w:rsidR="00D77A4A">
        <w:rPr>
          <w:rFonts w:ascii="Arial" w:hAnsi="Arial" w:cs="Arial"/>
          <w:b/>
          <w:color w:val="ADAFB2"/>
          <w:sz w:val="20"/>
          <w:szCs w:val="20"/>
        </w:rPr>
        <w:t>7</w:t>
      </w:r>
      <w:r w:rsidRPr="007910F9">
        <w:rPr>
          <w:rFonts w:ascii="Arial" w:hAnsi="Arial" w:cs="Arial"/>
          <w:b/>
          <w:color w:val="ADAFB2"/>
          <w:sz w:val="20"/>
          <w:szCs w:val="20"/>
        </w:rPr>
        <w:t>-</w:t>
      </w:r>
      <w:r w:rsidR="007910F9">
        <w:rPr>
          <w:rFonts w:ascii="Arial" w:hAnsi="Arial" w:cs="Arial"/>
          <w:b/>
          <w:color w:val="ADAFB2"/>
          <w:sz w:val="20"/>
          <w:szCs w:val="20"/>
        </w:rPr>
        <w:t xml:space="preserve"> </w:t>
      </w:r>
      <w:r w:rsidRPr="007910F9">
        <w:rPr>
          <w:rFonts w:ascii="Arial" w:hAnsi="Arial" w:cs="Arial"/>
          <w:b/>
          <w:color w:val="ADAFB2"/>
          <w:sz w:val="20"/>
          <w:szCs w:val="20"/>
        </w:rPr>
        <w:t>2</w:t>
      </w:r>
      <w:r w:rsidR="00D77A4A">
        <w:rPr>
          <w:rFonts w:ascii="Arial" w:hAnsi="Arial" w:cs="Arial"/>
          <w:b/>
          <w:color w:val="ADAFB2"/>
          <w:sz w:val="20"/>
          <w:szCs w:val="20"/>
        </w:rPr>
        <w:t>8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  <w:t xml:space="preserve">Zadłużenie sektora finansów publicznych – </w:t>
      </w:r>
      <w:r w:rsidR="00740A4E">
        <w:rPr>
          <w:rFonts w:ascii="Arial" w:hAnsi="Arial" w:cs="Arial"/>
          <w:b/>
          <w:color w:val="ADAFB2"/>
          <w:sz w:val="20"/>
          <w:szCs w:val="20"/>
        </w:rPr>
        <w:t>Z</w:t>
      </w:r>
      <w:r w:rsidRPr="007910F9">
        <w:rPr>
          <w:rFonts w:ascii="Arial" w:hAnsi="Arial" w:cs="Arial"/>
          <w:b/>
          <w:color w:val="ADAFB2"/>
          <w:sz w:val="20"/>
          <w:szCs w:val="20"/>
        </w:rPr>
        <w:t>adłużenie Skarbu Państwa</w:t>
      </w:r>
    </w:p>
    <w:sectPr w:rsidR="009F1CD8" w:rsidRPr="007910F9" w:rsidSect="006B7502">
      <w:pgSz w:w="11907" w:h="16839" w:code="9"/>
      <w:pgMar w:top="1701" w:right="992" w:bottom="1418" w:left="1134" w:header="709" w:footer="975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4C" w:rsidRDefault="006D274C" w:rsidP="0015295C">
      <w:pPr>
        <w:spacing w:after="0" w:line="240" w:lineRule="auto"/>
      </w:pPr>
      <w:r>
        <w:separator/>
      </w:r>
    </w:p>
  </w:endnote>
  <w:endnote w:type="continuationSeparator" w:id="0">
    <w:p w:rsidR="006D274C" w:rsidRDefault="006D274C" w:rsidP="0015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P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9F3" w:rsidRPr="005221F8" w:rsidRDefault="0044114E" w:rsidP="002529F3">
    <w:pPr>
      <w:pStyle w:val="Stopka"/>
      <w:rPr>
        <w:color w:val="ADAFB2"/>
      </w:rPr>
    </w:pPr>
    <w:r>
      <w:rPr>
        <w:color w:val="ADAFB2"/>
      </w:rPr>
      <w:t xml:space="preserve">Informacja kwartalna </w:t>
    </w:r>
    <w:r w:rsidR="002529F3" w:rsidRPr="005221F8">
      <w:rPr>
        <w:color w:val="ADAFB2"/>
      </w:rPr>
      <w:tab/>
    </w:r>
    <w:r w:rsidR="002529F3" w:rsidRPr="005221F8">
      <w:rPr>
        <w:color w:val="ADAFB2"/>
      </w:rPr>
      <w:tab/>
    </w:r>
    <w:r w:rsidR="002529F3" w:rsidRPr="005221F8">
      <w:rPr>
        <w:rStyle w:val="Numerstrony"/>
        <w:color w:val="ADAFB2"/>
      </w:rPr>
      <w:fldChar w:fldCharType="begin"/>
    </w:r>
    <w:r w:rsidR="002529F3" w:rsidRPr="005221F8">
      <w:rPr>
        <w:rStyle w:val="Numerstrony"/>
        <w:color w:val="ADAFB2"/>
      </w:rPr>
      <w:instrText xml:space="preserve"> PAGE </w:instrText>
    </w:r>
    <w:r w:rsidR="002529F3" w:rsidRPr="005221F8">
      <w:rPr>
        <w:rStyle w:val="Numerstrony"/>
        <w:color w:val="ADAFB2"/>
      </w:rPr>
      <w:fldChar w:fldCharType="separate"/>
    </w:r>
    <w:r w:rsidR="00FF4641">
      <w:rPr>
        <w:rStyle w:val="Numerstrony"/>
        <w:noProof/>
        <w:color w:val="ADAFB2"/>
      </w:rPr>
      <w:t>10</w:t>
    </w:r>
    <w:r w:rsidR="002529F3" w:rsidRPr="005221F8">
      <w:rPr>
        <w:rStyle w:val="Numerstrony"/>
        <w:color w:val="ADAFB2"/>
      </w:rPr>
      <w:fldChar w:fldCharType="end"/>
    </w:r>
  </w:p>
  <w:p w:rsidR="002529F3" w:rsidRPr="005221F8" w:rsidRDefault="002529F3" w:rsidP="002529F3">
    <w:pPr>
      <w:pStyle w:val="Stopka"/>
      <w:rPr>
        <w:color w:val="ADAFB2"/>
      </w:rPr>
    </w:pPr>
    <w:r w:rsidRPr="005221F8">
      <w:rPr>
        <w:color w:val="ADAFB2"/>
      </w:rPr>
      <w:t xml:space="preserve">Nr </w:t>
    </w:r>
    <w:r w:rsidR="00D321D9">
      <w:rPr>
        <w:color w:val="ADAFB2"/>
      </w:rPr>
      <w:t>3</w:t>
    </w:r>
    <w:r w:rsidRPr="005221F8">
      <w:rPr>
        <w:color w:val="ADAFB2"/>
      </w:rPr>
      <w:t xml:space="preserve"> / 201</w:t>
    </w:r>
    <w:r w:rsidR="00FF4641">
      <w:rPr>
        <w:color w:val="ADAFB2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960" w:rsidRDefault="00432960" w:rsidP="00D44B43">
    <w:pPr>
      <w:pStyle w:val="Stopka"/>
      <w:rPr>
        <w:color w:val="ADAFB2"/>
      </w:rPr>
    </w:pPr>
  </w:p>
  <w:p w:rsidR="0081680F" w:rsidRPr="005221F8" w:rsidRDefault="00607B5E" w:rsidP="00D44B43">
    <w:pPr>
      <w:pStyle w:val="Stopka"/>
      <w:rPr>
        <w:color w:val="ADAFB2"/>
      </w:rPr>
    </w:pPr>
    <w:r>
      <w:rPr>
        <w:color w:val="ADAFB2"/>
      </w:rPr>
      <w:t>Informacja kwartalna</w:t>
    </w:r>
    <w:r w:rsidR="0081680F" w:rsidRPr="005221F8">
      <w:rPr>
        <w:color w:val="ADAFB2"/>
      </w:rPr>
      <w:tab/>
    </w:r>
    <w:r w:rsidR="0081680F" w:rsidRPr="005221F8">
      <w:rPr>
        <w:color w:val="ADAFB2"/>
      </w:rPr>
      <w:tab/>
    </w:r>
    <w:r w:rsidR="0081680F" w:rsidRPr="005221F8">
      <w:rPr>
        <w:rStyle w:val="Numerstrony"/>
        <w:color w:val="ADAFB2"/>
      </w:rPr>
      <w:fldChar w:fldCharType="begin"/>
    </w:r>
    <w:r w:rsidR="0081680F" w:rsidRPr="005221F8">
      <w:rPr>
        <w:rStyle w:val="Numerstrony"/>
        <w:color w:val="ADAFB2"/>
      </w:rPr>
      <w:instrText xml:space="preserve"> PAGE </w:instrText>
    </w:r>
    <w:r w:rsidR="0081680F" w:rsidRPr="005221F8">
      <w:rPr>
        <w:rStyle w:val="Numerstrony"/>
        <w:color w:val="ADAFB2"/>
      </w:rPr>
      <w:fldChar w:fldCharType="separate"/>
    </w:r>
    <w:r w:rsidR="00FF4641">
      <w:rPr>
        <w:rStyle w:val="Numerstrony"/>
        <w:noProof/>
        <w:color w:val="ADAFB2"/>
      </w:rPr>
      <w:t>9</w:t>
    </w:r>
    <w:r w:rsidR="0081680F" w:rsidRPr="005221F8">
      <w:rPr>
        <w:rStyle w:val="Numerstrony"/>
        <w:color w:val="ADAFB2"/>
      </w:rPr>
      <w:fldChar w:fldCharType="end"/>
    </w:r>
  </w:p>
  <w:p w:rsidR="0081680F" w:rsidRPr="005221F8" w:rsidRDefault="0081680F" w:rsidP="00D44B43">
    <w:pPr>
      <w:pStyle w:val="Stopka"/>
      <w:rPr>
        <w:color w:val="ADAFB2"/>
      </w:rPr>
    </w:pPr>
    <w:r w:rsidRPr="005221F8">
      <w:rPr>
        <w:color w:val="ADAFB2"/>
      </w:rPr>
      <w:t xml:space="preserve">Nr </w:t>
    </w:r>
    <w:r w:rsidR="00D321D9">
      <w:rPr>
        <w:color w:val="ADAFB2"/>
      </w:rPr>
      <w:t>3</w:t>
    </w:r>
    <w:r w:rsidRPr="005221F8">
      <w:rPr>
        <w:color w:val="ADAFB2"/>
      </w:rPr>
      <w:t xml:space="preserve"> / 201</w:t>
    </w:r>
    <w:r w:rsidR="00FF4641">
      <w:rPr>
        <w:color w:val="ADAFB2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4C" w:rsidRDefault="006D274C" w:rsidP="0015295C">
      <w:pPr>
        <w:spacing w:after="0" w:line="240" w:lineRule="auto"/>
      </w:pPr>
      <w:r>
        <w:separator/>
      </w:r>
    </w:p>
  </w:footnote>
  <w:footnote w:type="continuationSeparator" w:id="0">
    <w:p w:rsidR="006D274C" w:rsidRDefault="006D274C" w:rsidP="0015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0F" w:rsidRDefault="000404D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EE412B" wp14:editId="184701A4">
              <wp:simplePos x="0" y="0"/>
              <wp:positionH relativeFrom="column">
                <wp:posOffset>-349885</wp:posOffset>
              </wp:positionH>
              <wp:positionV relativeFrom="paragraph">
                <wp:posOffset>46355</wp:posOffset>
              </wp:positionV>
              <wp:extent cx="635" cy="9342755"/>
              <wp:effectExtent l="12065" t="8255" r="6350" b="120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" cy="934275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28A89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.55pt;margin-top:3.65pt;width:.05pt;height:735.6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" strokecolor="#7f7f7f" strokeweight=".5pt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77169D15" wp14:editId="39952AC9">
          <wp:simplePos x="0" y="0"/>
          <wp:positionH relativeFrom="column">
            <wp:posOffset>-1564005</wp:posOffset>
          </wp:positionH>
          <wp:positionV relativeFrom="paragraph">
            <wp:posOffset>66040</wp:posOffset>
          </wp:positionV>
          <wp:extent cx="802640" cy="767715"/>
          <wp:effectExtent l="0" t="0" r="0" b="0"/>
          <wp:wrapNone/>
          <wp:docPr id="3" name="Picture 0" descr="m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973A1C" wp14:editId="069D1CE4">
              <wp:simplePos x="0" y="0"/>
              <wp:positionH relativeFrom="column">
                <wp:posOffset>-1885950</wp:posOffset>
              </wp:positionH>
              <wp:positionV relativeFrom="paragraph">
                <wp:posOffset>8481060</wp:posOffset>
              </wp:positionV>
              <wp:extent cx="1363980" cy="899160"/>
              <wp:effectExtent l="0" t="381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899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80F" w:rsidRPr="0029567C" w:rsidRDefault="0081680F" w:rsidP="005F187D">
                          <w:pPr>
                            <w:ind w:left="550"/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</w:pP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ul. </w:t>
                          </w:r>
                          <w:r w:rsidRPr="00D06614">
                            <w:rPr>
                              <w:rFonts w:ascii="Arial" w:eastAsia="+mn-ea" w:hAnsi="Arial" w:cs="Arial"/>
                              <w:color w:val="ADAFB2"/>
                              <w:kern w:val="24"/>
                              <w:sz w:val="14"/>
                              <w:szCs w:val="14"/>
                            </w:rPr>
                            <w:t>Ś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więtokrzyska 12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br/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00-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916 Warszawa</w:t>
                          </w:r>
                        </w:p>
                        <w:p w:rsidR="0081680F" w:rsidRDefault="0081680F" w:rsidP="005F187D">
                          <w:pPr>
                            <w:ind w:left="550"/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</w:pP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tel.: +48 22 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694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 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5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5 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55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br/>
                            <w:t>fax: +48 22 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694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 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36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 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30</w:t>
                          </w:r>
                        </w:p>
                        <w:p w:rsidR="0081680F" w:rsidRPr="00D06614" w:rsidRDefault="0081680F" w:rsidP="005F187D">
                          <w:pPr>
                            <w:ind w:left="550"/>
                            <w:rPr>
                              <w:rFonts w:ascii="Arial" w:hAnsi="Arial" w:cs="Arial"/>
                              <w:color w:val="E31837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E31837"/>
                              <w:sz w:val="15"/>
                              <w:szCs w:val="15"/>
                            </w:rPr>
                            <w:t>www.mf.gov.pl</w:t>
                          </w:r>
                        </w:p>
                        <w:p w:rsidR="0081680F" w:rsidRPr="001F7BFC" w:rsidRDefault="0081680F" w:rsidP="005F187D">
                          <w:pPr>
                            <w:ind w:left="550"/>
                            <w:rPr>
                              <w:rFonts w:ascii="Arial" w:hAnsi="Arial" w:cs="Arial"/>
                              <w:color w:val="7F7F7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8.5pt;margin-top:667.8pt;width:107.4pt;height:70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ngJrQ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" filled="f" stroked="f">
              <v:textbox inset="0,0,0,0">
                <w:txbxContent>
                  <w:p w:rsidR="0081680F" w:rsidRPr="0029567C" w:rsidRDefault="0081680F" w:rsidP="005F187D">
                    <w:pPr>
                      <w:ind w:left="550"/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</w:pP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ul. </w:t>
                    </w:r>
                    <w:r w:rsidRPr="00D06614">
                      <w:rPr>
                        <w:rFonts w:ascii="Arial" w:eastAsia="+mn-ea" w:hAnsi="Arial" w:cs="Arial"/>
                        <w:color w:val="ADAFB2"/>
                        <w:kern w:val="24"/>
                        <w:sz w:val="14"/>
                        <w:szCs w:val="14"/>
                      </w:rPr>
                      <w:t>Ś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więtokrzyska 12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br/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00-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916 Warszawa</w:t>
                    </w:r>
                  </w:p>
                  <w:p w:rsidR="0081680F" w:rsidRDefault="0081680F" w:rsidP="005F187D">
                    <w:pPr>
                      <w:ind w:left="550"/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</w:pP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tel.: +48 22 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694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 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5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5 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55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br/>
                      <w:t>fax: +48 22 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694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 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36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 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30</w:t>
                    </w:r>
                  </w:p>
                  <w:p w:rsidR="0081680F" w:rsidRPr="00D06614" w:rsidRDefault="0081680F" w:rsidP="005F187D">
                    <w:pPr>
                      <w:ind w:left="550"/>
                      <w:rPr>
                        <w:rFonts w:ascii="Arial" w:hAnsi="Arial" w:cs="Arial"/>
                        <w:color w:val="E31837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E31837"/>
                        <w:sz w:val="15"/>
                        <w:szCs w:val="15"/>
                      </w:rPr>
                      <w:t>www.mf.gov.pl</w:t>
                    </w:r>
                  </w:p>
                  <w:p w:rsidR="0081680F" w:rsidRPr="001F7BFC" w:rsidRDefault="0081680F" w:rsidP="005F187D">
                    <w:pPr>
                      <w:ind w:left="550"/>
                      <w:rPr>
                        <w:rFonts w:ascii="Arial" w:hAnsi="Arial" w:cs="Arial"/>
                        <w:color w:val="7F7F7F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E92" w:rsidRDefault="009F5E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pPr>
        <w:ind w:left="0" w:firstLine="0"/>
      </w:pPr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pPr>
        <w:ind w:left="0" w:firstLine="0"/>
      </w:pPr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pPr>
        <w:ind w:left="0" w:firstLine="0"/>
      </w:pPr>
      <w:rPr>
        <w:rFonts w:ascii="Wingdings" w:eastAsia="Wingdings" w:hAnsi="Wingdings" w:cs="Wingdings"/>
        <w:sz w:val="20"/>
      </w:rPr>
    </w:lvl>
  </w:abstractNum>
  <w:abstractNum w:abstractNumId="1">
    <w:nsid w:val="034817ED"/>
    <w:multiLevelType w:val="hybridMultilevel"/>
    <w:tmpl w:val="25382642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AC0F44"/>
    <w:multiLevelType w:val="hybridMultilevel"/>
    <w:tmpl w:val="4320B6A8"/>
    <w:lvl w:ilvl="0" w:tplc="0E9499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721D0A"/>
    <w:multiLevelType w:val="hybridMultilevel"/>
    <w:tmpl w:val="6B528800"/>
    <w:lvl w:ilvl="0" w:tplc="4468B5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57893"/>
    <w:multiLevelType w:val="hybridMultilevel"/>
    <w:tmpl w:val="B27EF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27449"/>
    <w:multiLevelType w:val="hybridMultilevel"/>
    <w:tmpl w:val="BC1C243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D7E79C1"/>
    <w:multiLevelType w:val="hybridMultilevel"/>
    <w:tmpl w:val="7EF2705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A981DF8"/>
    <w:multiLevelType w:val="hybridMultilevel"/>
    <w:tmpl w:val="4320B6A8"/>
    <w:lvl w:ilvl="0" w:tplc="0E9499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9E2836"/>
    <w:multiLevelType w:val="hybridMultilevel"/>
    <w:tmpl w:val="B45CA4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5118B1"/>
    <w:multiLevelType w:val="hybridMultilevel"/>
    <w:tmpl w:val="BB0A2620"/>
    <w:lvl w:ilvl="0" w:tplc="C21C55B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68D503EB"/>
    <w:multiLevelType w:val="hybridMultilevel"/>
    <w:tmpl w:val="0800306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91"/>
    <w:rsid w:val="00000507"/>
    <w:rsid w:val="00000BC6"/>
    <w:rsid w:val="00004215"/>
    <w:rsid w:val="000061C6"/>
    <w:rsid w:val="00006E3B"/>
    <w:rsid w:val="00007008"/>
    <w:rsid w:val="000070F3"/>
    <w:rsid w:val="00007AB8"/>
    <w:rsid w:val="000102B5"/>
    <w:rsid w:val="000106DF"/>
    <w:rsid w:val="00010A00"/>
    <w:rsid w:val="00010D4B"/>
    <w:rsid w:val="00013E62"/>
    <w:rsid w:val="00015D57"/>
    <w:rsid w:val="0002058B"/>
    <w:rsid w:val="000210F5"/>
    <w:rsid w:val="00021843"/>
    <w:rsid w:val="00022B96"/>
    <w:rsid w:val="00024596"/>
    <w:rsid w:val="00026C88"/>
    <w:rsid w:val="00027561"/>
    <w:rsid w:val="00030A43"/>
    <w:rsid w:val="000404D4"/>
    <w:rsid w:val="000406B8"/>
    <w:rsid w:val="00041977"/>
    <w:rsid w:val="00042F8F"/>
    <w:rsid w:val="0004308B"/>
    <w:rsid w:val="00044E4A"/>
    <w:rsid w:val="0004545E"/>
    <w:rsid w:val="00045CA7"/>
    <w:rsid w:val="00050E88"/>
    <w:rsid w:val="00051473"/>
    <w:rsid w:val="00051F46"/>
    <w:rsid w:val="00052018"/>
    <w:rsid w:val="00054C08"/>
    <w:rsid w:val="00054DD0"/>
    <w:rsid w:val="00057D54"/>
    <w:rsid w:val="00057F6B"/>
    <w:rsid w:val="0006107D"/>
    <w:rsid w:val="000642F2"/>
    <w:rsid w:val="00065052"/>
    <w:rsid w:val="00065FD9"/>
    <w:rsid w:val="00066997"/>
    <w:rsid w:val="00066C79"/>
    <w:rsid w:val="00067514"/>
    <w:rsid w:val="000701CD"/>
    <w:rsid w:val="000715CD"/>
    <w:rsid w:val="00072C84"/>
    <w:rsid w:val="00073A5B"/>
    <w:rsid w:val="00073D49"/>
    <w:rsid w:val="00080862"/>
    <w:rsid w:val="000808CE"/>
    <w:rsid w:val="00080F1F"/>
    <w:rsid w:val="000818AF"/>
    <w:rsid w:val="00082590"/>
    <w:rsid w:val="000836F4"/>
    <w:rsid w:val="00083E9F"/>
    <w:rsid w:val="000867E8"/>
    <w:rsid w:val="00092DA3"/>
    <w:rsid w:val="00093E74"/>
    <w:rsid w:val="00094144"/>
    <w:rsid w:val="00094E6A"/>
    <w:rsid w:val="00096169"/>
    <w:rsid w:val="0009641C"/>
    <w:rsid w:val="00096547"/>
    <w:rsid w:val="000974B5"/>
    <w:rsid w:val="00097C76"/>
    <w:rsid w:val="000A18D1"/>
    <w:rsid w:val="000A2615"/>
    <w:rsid w:val="000A27CE"/>
    <w:rsid w:val="000A2FF9"/>
    <w:rsid w:val="000A3996"/>
    <w:rsid w:val="000A57D3"/>
    <w:rsid w:val="000A643B"/>
    <w:rsid w:val="000A6B27"/>
    <w:rsid w:val="000A6CA0"/>
    <w:rsid w:val="000B05F5"/>
    <w:rsid w:val="000B242B"/>
    <w:rsid w:val="000B25E3"/>
    <w:rsid w:val="000B2EB1"/>
    <w:rsid w:val="000B4812"/>
    <w:rsid w:val="000B534A"/>
    <w:rsid w:val="000B570F"/>
    <w:rsid w:val="000C08CF"/>
    <w:rsid w:val="000C6ADA"/>
    <w:rsid w:val="000C7804"/>
    <w:rsid w:val="000C79AA"/>
    <w:rsid w:val="000D0CB3"/>
    <w:rsid w:val="000D1F2D"/>
    <w:rsid w:val="000D3BDA"/>
    <w:rsid w:val="000D41EB"/>
    <w:rsid w:val="000D4A40"/>
    <w:rsid w:val="000D62FC"/>
    <w:rsid w:val="000D6B6F"/>
    <w:rsid w:val="000E16EF"/>
    <w:rsid w:val="000E4111"/>
    <w:rsid w:val="000E691C"/>
    <w:rsid w:val="000E6C86"/>
    <w:rsid w:val="000F07EE"/>
    <w:rsid w:val="000F1858"/>
    <w:rsid w:val="000F194D"/>
    <w:rsid w:val="000F1AC9"/>
    <w:rsid w:val="000F1B21"/>
    <w:rsid w:val="00100151"/>
    <w:rsid w:val="001003EA"/>
    <w:rsid w:val="00101287"/>
    <w:rsid w:val="00101324"/>
    <w:rsid w:val="00102911"/>
    <w:rsid w:val="00107FC2"/>
    <w:rsid w:val="001125E4"/>
    <w:rsid w:val="00112A5D"/>
    <w:rsid w:val="001170B6"/>
    <w:rsid w:val="001200B9"/>
    <w:rsid w:val="00120B80"/>
    <w:rsid w:val="001219F3"/>
    <w:rsid w:val="001226C8"/>
    <w:rsid w:val="00122865"/>
    <w:rsid w:val="0012290E"/>
    <w:rsid w:val="00125A96"/>
    <w:rsid w:val="00127D06"/>
    <w:rsid w:val="00130371"/>
    <w:rsid w:val="00130D8A"/>
    <w:rsid w:val="00131D09"/>
    <w:rsid w:val="0013243B"/>
    <w:rsid w:val="00132CD4"/>
    <w:rsid w:val="00135D04"/>
    <w:rsid w:val="00136E7A"/>
    <w:rsid w:val="001379B8"/>
    <w:rsid w:val="00140651"/>
    <w:rsid w:val="00140996"/>
    <w:rsid w:val="0014184F"/>
    <w:rsid w:val="00142BDE"/>
    <w:rsid w:val="00144B16"/>
    <w:rsid w:val="00147391"/>
    <w:rsid w:val="00147DCE"/>
    <w:rsid w:val="0015152D"/>
    <w:rsid w:val="0015295C"/>
    <w:rsid w:val="0015452B"/>
    <w:rsid w:val="00155BEC"/>
    <w:rsid w:val="00157279"/>
    <w:rsid w:val="00161044"/>
    <w:rsid w:val="00161969"/>
    <w:rsid w:val="00162265"/>
    <w:rsid w:val="00162356"/>
    <w:rsid w:val="00162480"/>
    <w:rsid w:val="001642FC"/>
    <w:rsid w:val="00165075"/>
    <w:rsid w:val="001676EF"/>
    <w:rsid w:val="00176E8C"/>
    <w:rsid w:val="00184FD0"/>
    <w:rsid w:val="0018746D"/>
    <w:rsid w:val="00190BCF"/>
    <w:rsid w:val="00190CD4"/>
    <w:rsid w:val="00191353"/>
    <w:rsid w:val="00191422"/>
    <w:rsid w:val="00192028"/>
    <w:rsid w:val="00193793"/>
    <w:rsid w:val="00193C91"/>
    <w:rsid w:val="00194A51"/>
    <w:rsid w:val="001A0B08"/>
    <w:rsid w:val="001A112E"/>
    <w:rsid w:val="001A38F9"/>
    <w:rsid w:val="001A4160"/>
    <w:rsid w:val="001A41AF"/>
    <w:rsid w:val="001A4D91"/>
    <w:rsid w:val="001A4F79"/>
    <w:rsid w:val="001A55F7"/>
    <w:rsid w:val="001B1928"/>
    <w:rsid w:val="001B31A2"/>
    <w:rsid w:val="001B3346"/>
    <w:rsid w:val="001C13AB"/>
    <w:rsid w:val="001C2702"/>
    <w:rsid w:val="001C3A80"/>
    <w:rsid w:val="001C5091"/>
    <w:rsid w:val="001C6544"/>
    <w:rsid w:val="001C67F4"/>
    <w:rsid w:val="001C7B4E"/>
    <w:rsid w:val="001D146E"/>
    <w:rsid w:val="001D1B9F"/>
    <w:rsid w:val="001D21C2"/>
    <w:rsid w:val="001D285A"/>
    <w:rsid w:val="001D2A3F"/>
    <w:rsid w:val="001D4DA9"/>
    <w:rsid w:val="001D71D6"/>
    <w:rsid w:val="001E29EE"/>
    <w:rsid w:val="001E2E27"/>
    <w:rsid w:val="001E45F8"/>
    <w:rsid w:val="001E6DAF"/>
    <w:rsid w:val="001F2255"/>
    <w:rsid w:val="001F22AC"/>
    <w:rsid w:val="001F397B"/>
    <w:rsid w:val="001F3A76"/>
    <w:rsid w:val="001F40D6"/>
    <w:rsid w:val="001F7717"/>
    <w:rsid w:val="001F7BFC"/>
    <w:rsid w:val="001F7D49"/>
    <w:rsid w:val="00200E19"/>
    <w:rsid w:val="00201DBD"/>
    <w:rsid w:val="00201F15"/>
    <w:rsid w:val="002048EE"/>
    <w:rsid w:val="0020557E"/>
    <w:rsid w:val="00205A94"/>
    <w:rsid w:val="00206E03"/>
    <w:rsid w:val="00206F11"/>
    <w:rsid w:val="00212874"/>
    <w:rsid w:val="00214199"/>
    <w:rsid w:val="00214A42"/>
    <w:rsid w:val="00216C9E"/>
    <w:rsid w:val="002170A8"/>
    <w:rsid w:val="00217D67"/>
    <w:rsid w:val="00217DDE"/>
    <w:rsid w:val="002209A3"/>
    <w:rsid w:val="00224B34"/>
    <w:rsid w:val="00224FBD"/>
    <w:rsid w:val="0022526B"/>
    <w:rsid w:val="00225E4E"/>
    <w:rsid w:val="00230793"/>
    <w:rsid w:val="002312B6"/>
    <w:rsid w:val="00235554"/>
    <w:rsid w:val="00236D89"/>
    <w:rsid w:val="00241B7D"/>
    <w:rsid w:val="00241D40"/>
    <w:rsid w:val="00242355"/>
    <w:rsid w:val="002444E6"/>
    <w:rsid w:val="00244B6B"/>
    <w:rsid w:val="0024526D"/>
    <w:rsid w:val="002460E7"/>
    <w:rsid w:val="00250B4B"/>
    <w:rsid w:val="00250EEB"/>
    <w:rsid w:val="002526AA"/>
    <w:rsid w:val="002529F3"/>
    <w:rsid w:val="00252AE6"/>
    <w:rsid w:val="00254F5B"/>
    <w:rsid w:val="0025554A"/>
    <w:rsid w:val="00261442"/>
    <w:rsid w:val="0026261D"/>
    <w:rsid w:val="00266236"/>
    <w:rsid w:val="00266998"/>
    <w:rsid w:val="00270342"/>
    <w:rsid w:val="00270388"/>
    <w:rsid w:val="00272CC6"/>
    <w:rsid w:val="00276799"/>
    <w:rsid w:val="00280EF7"/>
    <w:rsid w:val="0028194A"/>
    <w:rsid w:val="002826C7"/>
    <w:rsid w:val="002863AE"/>
    <w:rsid w:val="002874B7"/>
    <w:rsid w:val="002903F3"/>
    <w:rsid w:val="00292DA1"/>
    <w:rsid w:val="00293690"/>
    <w:rsid w:val="00294612"/>
    <w:rsid w:val="002A17A6"/>
    <w:rsid w:val="002A1BD0"/>
    <w:rsid w:val="002A1FE9"/>
    <w:rsid w:val="002A20F0"/>
    <w:rsid w:val="002A5765"/>
    <w:rsid w:val="002B0128"/>
    <w:rsid w:val="002B447C"/>
    <w:rsid w:val="002C5142"/>
    <w:rsid w:val="002D2C1E"/>
    <w:rsid w:val="002D42B8"/>
    <w:rsid w:val="002D5495"/>
    <w:rsid w:val="002D591E"/>
    <w:rsid w:val="002D6C49"/>
    <w:rsid w:val="002E066A"/>
    <w:rsid w:val="002E22EC"/>
    <w:rsid w:val="002E28B5"/>
    <w:rsid w:val="002E4402"/>
    <w:rsid w:val="002E5227"/>
    <w:rsid w:val="002E559D"/>
    <w:rsid w:val="002F0668"/>
    <w:rsid w:val="002F06D1"/>
    <w:rsid w:val="002F2D38"/>
    <w:rsid w:val="002F5252"/>
    <w:rsid w:val="002F699C"/>
    <w:rsid w:val="002F7C5D"/>
    <w:rsid w:val="00300147"/>
    <w:rsid w:val="0030155A"/>
    <w:rsid w:val="00304AEF"/>
    <w:rsid w:val="00305BC7"/>
    <w:rsid w:val="00306D0A"/>
    <w:rsid w:val="0031062E"/>
    <w:rsid w:val="00310ED7"/>
    <w:rsid w:val="00311967"/>
    <w:rsid w:val="00311BD1"/>
    <w:rsid w:val="00313D06"/>
    <w:rsid w:val="00314CB3"/>
    <w:rsid w:val="00314F49"/>
    <w:rsid w:val="003154A4"/>
    <w:rsid w:val="00317E50"/>
    <w:rsid w:val="00320C1F"/>
    <w:rsid w:val="003217BB"/>
    <w:rsid w:val="00321E3C"/>
    <w:rsid w:val="00323461"/>
    <w:rsid w:val="003255C0"/>
    <w:rsid w:val="00325BC4"/>
    <w:rsid w:val="003262D7"/>
    <w:rsid w:val="00326306"/>
    <w:rsid w:val="003278BA"/>
    <w:rsid w:val="00327D95"/>
    <w:rsid w:val="003344E6"/>
    <w:rsid w:val="00334B4F"/>
    <w:rsid w:val="00335D57"/>
    <w:rsid w:val="00336117"/>
    <w:rsid w:val="00345BEA"/>
    <w:rsid w:val="003474DF"/>
    <w:rsid w:val="00353CE8"/>
    <w:rsid w:val="00353D26"/>
    <w:rsid w:val="003552AD"/>
    <w:rsid w:val="00356744"/>
    <w:rsid w:val="00357076"/>
    <w:rsid w:val="00357DD9"/>
    <w:rsid w:val="00362413"/>
    <w:rsid w:val="00363FC9"/>
    <w:rsid w:val="0036475D"/>
    <w:rsid w:val="00365AB5"/>
    <w:rsid w:val="0036667F"/>
    <w:rsid w:val="00371021"/>
    <w:rsid w:val="00371B73"/>
    <w:rsid w:val="00372D38"/>
    <w:rsid w:val="00375108"/>
    <w:rsid w:val="0037555B"/>
    <w:rsid w:val="00376301"/>
    <w:rsid w:val="00381ECF"/>
    <w:rsid w:val="003846B1"/>
    <w:rsid w:val="00384F40"/>
    <w:rsid w:val="00386304"/>
    <w:rsid w:val="00390CE0"/>
    <w:rsid w:val="0039302F"/>
    <w:rsid w:val="00393A9E"/>
    <w:rsid w:val="0039404A"/>
    <w:rsid w:val="00394091"/>
    <w:rsid w:val="00396DDA"/>
    <w:rsid w:val="003A416F"/>
    <w:rsid w:val="003A4E3C"/>
    <w:rsid w:val="003A5602"/>
    <w:rsid w:val="003A6FCB"/>
    <w:rsid w:val="003B07BD"/>
    <w:rsid w:val="003B09B7"/>
    <w:rsid w:val="003B10AA"/>
    <w:rsid w:val="003B22AD"/>
    <w:rsid w:val="003B2E14"/>
    <w:rsid w:val="003B40C9"/>
    <w:rsid w:val="003B51B2"/>
    <w:rsid w:val="003B5764"/>
    <w:rsid w:val="003B6037"/>
    <w:rsid w:val="003B6576"/>
    <w:rsid w:val="003B71F9"/>
    <w:rsid w:val="003C31F6"/>
    <w:rsid w:val="003C4503"/>
    <w:rsid w:val="003C488E"/>
    <w:rsid w:val="003D5AAE"/>
    <w:rsid w:val="003E0424"/>
    <w:rsid w:val="003E06E4"/>
    <w:rsid w:val="003E2F7D"/>
    <w:rsid w:val="003E4579"/>
    <w:rsid w:val="003E49CA"/>
    <w:rsid w:val="003E5C16"/>
    <w:rsid w:val="003E667E"/>
    <w:rsid w:val="003E77B8"/>
    <w:rsid w:val="003E7907"/>
    <w:rsid w:val="003F0628"/>
    <w:rsid w:val="003F2A06"/>
    <w:rsid w:val="003F5300"/>
    <w:rsid w:val="003F653D"/>
    <w:rsid w:val="003F67E7"/>
    <w:rsid w:val="003F6C6C"/>
    <w:rsid w:val="003F70BA"/>
    <w:rsid w:val="003F725B"/>
    <w:rsid w:val="004014E6"/>
    <w:rsid w:val="00402A9D"/>
    <w:rsid w:val="004047C7"/>
    <w:rsid w:val="004102FE"/>
    <w:rsid w:val="00410A00"/>
    <w:rsid w:val="004123BE"/>
    <w:rsid w:val="004133A0"/>
    <w:rsid w:val="004140D1"/>
    <w:rsid w:val="00415A43"/>
    <w:rsid w:val="00416147"/>
    <w:rsid w:val="00417276"/>
    <w:rsid w:val="00421EA8"/>
    <w:rsid w:val="00424B41"/>
    <w:rsid w:val="00424BBE"/>
    <w:rsid w:val="00424C36"/>
    <w:rsid w:val="00424EBB"/>
    <w:rsid w:val="00425741"/>
    <w:rsid w:val="00425D5D"/>
    <w:rsid w:val="004270E2"/>
    <w:rsid w:val="00427386"/>
    <w:rsid w:val="004300E2"/>
    <w:rsid w:val="00432960"/>
    <w:rsid w:val="00432B4F"/>
    <w:rsid w:val="00433755"/>
    <w:rsid w:val="0043411D"/>
    <w:rsid w:val="0043694A"/>
    <w:rsid w:val="0043791B"/>
    <w:rsid w:val="00437D9D"/>
    <w:rsid w:val="0044114E"/>
    <w:rsid w:val="00442FB0"/>
    <w:rsid w:val="00443694"/>
    <w:rsid w:val="004440B1"/>
    <w:rsid w:val="00444EA8"/>
    <w:rsid w:val="0044556D"/>
    <w:rsid w:val="00445E65"/>
    <w:rsid w:val="00447068"/>
    <w:rsid w:val="00450B02"/>
    <w:rsid w:val="0045260F"/>
    <w:rsid w:val="00452ED5"/>
    <w:rsid w:val="00460910"/>
    <w:rsid w:val="00461B8F"/>
    <w:rsid w:val="004623E2"/>
    <w:rsid w:val="00464EB7"/>
    <w:rsid w:val="00466597"/>
    <w:rsid w:val="00466BAD"/>
    <w:rsid w:val="00471E62"/>
    <w:rsid w:val="00471F51"/>
    <w:rsid w:val="004723E5"/>
    <w:rsid w:val="00474D76"/>
    <w:rsid w:val="00475568"/>
    <w:rsid w:val="0047632E"/>
    <w:rsid w:val="00476985"/>
    <w:rsid w:val="00476B67"/>
    <w:rsid w:val="0048073D"/>
    <w:rsid w:val="004876AC"/>
    <w:rsid w:val="00492D38"/>
    <w:rsid w:val="00494650"/>
    <w:rsid w:val="004948E9"/>
    <w:rsid w:val="00494DAC"/>
    <w:rsid w:val="00495B22"/>
    <w:rsid w:val="004A2492"/>
    <w:rsid w:val="004A2D95"/>
    <w:rsid w:val="004A62DC"/>
    <w:rsid w:val="004B0528"/>
    <w:rsid w:val="004B0BE5"/>
    <w:rsid w:val="004B1EE6"/>
    <w:rsid w:val="004B6E66"/>
    <w:rsid w:val="004C0C17"/>
    <w:rsid w:val="004C2C8A"/>
    <w:rsid w:val="004C512A"/>
    <w:rsid w:val="004C629D"/>
    <w:rsid w:val="004C66BB"/>
    <w:rsid w:val="004D1C88"/>
    <w:rsid w:val="004D21FA"/>
    <w:rsid w:val="004D2522"/>
    <w:rsid w:val="004D32B7"/>
    <w:rsid w:val="004D7F46"/>
    <w:rsid w:val="004E295E"/>
    <w:rsid w:val="004E489A"/>
    <w:rsid w:val="004E5617"/>
    <w:rsid w:val="004E73FD"/>
    <w:rsid w:val="004F0702"/>
    <w:rsid w:val="004F0998"/>
    <w:rsid w:val="004F2624"/>
    <w:rsid w:val="004F2B88"/>
    <w:rsid w:val="004F39F6"/>
    <w:rsid w:val="004F479F"/>
    <w:rsid w:val="004F731B"/>
    <w:rsid w:val="005004B1"/>
    <w:rsid w:val="005004E9"/>
    <w:rsid w:val="00500EB3"/>
    <w:rsid w:val="00500EF4"/>
    <w:rsid w:val="005010AD"/>
    <w:rsid w:val="0050312A"/>
    <w:rsid w:val="00506046"/>
    <w:rsid w:val="0050706F"/>
    <w:rsid w:val="0050739B"/>
    <w:rsid w:val="00507ADE"/>
    <w:rsid w:val="00510B6B"/>
    <w:rsid w:val="0051284B"/>
    <w:rsid w:val="00513A65"/>
    <w:rsid w:val="005155AA"/>
    <w:rsid w:val="00515DB5"/>
    <w:rsid w:val="00517045"/>
    <w:rsid w:val="005173F5"/>
    <w:rsid w:val="005221F8"/>
    <w:rsid w:val="00522FC7"/>
    <w:rsid w:val="00524797"/>
    <w:rsid w:val="005248D7"/>
    <w:rsid w:val="0052514A"/>
    <w:rsid w:val="00527AD2"/>
    <w:rsid w:val="00527C21"/>
    <w:rsid w:val="00530517"/>
    <w:rsid w:val="005309EE"/>
    <w:rsid w:val="005319BC"/>
    <w:rsid w:val="0053320A"/>
    <w:rsid w:val="00534A8B"/>
    <w:rsid w:val="005372DF"/>
    <w:rsid w:val="00540BCC"/>
    <w:rsid w:val="00540CC5"/>
    <w:rsid w:val="00543181"/>
    <w:rsid w:val="005445FF"/>
    <w:rsid w:val="00544F53"/>
    <w:rsid w:val="005454F1"/>
    <w:rsid w:val="00545866"/>
    <w:rsid w:val="005475B8"/>
    <w:rsid w:val="005524C0"/>
    <w:rsid w:val="00553638"/>
    <w:rsid w:val="00557D81"/>
    <w:rsid w:val="00560286"/>
    <w:rsid w:val="00562706"/>
    <w:rsid w:val="00565AAB"/>
    <w:rsid w:val="005725A7"/>
    <w:rsid w:val="00572C60"/>
    <w:rsid w:val="0057379B"/>
    <w:rsid w:val="00574105"/>
    <w:rsid w:val="005744A2"/>
    <w:rsid w:val="005769ED"/>
    <w:rsid w:val="005774A8"/>
    <w:rsid w:val="0058060A"/>
    <w:rsid w:val="00580E73"/>
    <w:rsid w:val="0058169D"/>
    <w:rsid w:val="005838A1"/>
    <w:rsid w:val="00584641"/>
    <w:rsid w:val="00584C19"/>
    <w:rsid w:val="005873F6"/>
    <w:rsid w:val="00590384"/>
    <w:rsid w:val="00591DFE"/>
    <w:rsid w:val="005923C7"/>
    <w:rsid w:val="00594840"/>
    <w:rsid w:val="005970AA"/>
    <w:rsid w:val="005A14C4"/>
    <w:rsid w:val="005A1C2A"/>
    <w:rsid w:val="005A2021"/>
    <w:rsid w:val="005A3534"/>
    <w:rsid w:val="005A4007"/>
    <w:rsid w:val="005A4800"/>
    <w:rsid w:val="005A4DC9"/>
    <w:rsid w:val="005B1AED"/>
    <w:rsid w:val="005B37ED"/>
    <w:rsid w:val="005B43A4"/>
    <w:rsid w:val="005B557A"/>
    <w:rsid w:val="005B7F4B"/>
    <w:rsid w:val="005C2E14"/>
    <w:rsid w:val="005C3F4C"/>
    <w:rsid w:val="005C5661"/>
    <w:rsid w:val="005C68EB"/>
    <w:rsid w:val="005C6992"/>
    <w:rsid w:val="005C6B6D"/>
    <w:rsid w:val="005D1A4A"/>
    <w:rsid w:val="005D5990"/>
    <w:rsid w:val="005D67E2"/>
    <w:rsid w:val="005D6EB3"/>
    <w:rsid w:val="005D76FE"/>
    <w:rsid w:val="005D7BD5"/>
    <w:rsid w:val="005E052A"/>
    <w:rsid w:val="005E25FB"/>
    <w:rsid w:val="005E3769"/>
    <w:rsid w:val="005E4EA5"/>
    <w:rsid w:val="005E50F3"/>
    <w:rsid w:val="005F0D8D"/>
    <w:rsid w:val="005F187D"/>
    <w:rsid w:val="005F1D29"/>
    <w:rsid w:val="005F216F"/>
    <w:rsid w:val="005F268B"/>
    <w:rsid w:val="005F3047"/>
    <w:rsid w:val="005F459E"/>
    <w:rsid w:val="005F703C"/>
    <w:rsid w:val="005F7237"/>
    <w:rsid w:val="005F72EE"/>
    <w:rsid w:val="006005ED"/>
    <w:rsid w:val="006069CE"/>
    <w:rsid w:val="00607B5E"/>
    <w:rsid w:val="00610ECB"/>
    <w:rsid w:val="00612DF6"/>
    <w:rsid w:val="00614E93"/>
    <w:rsid w:val="0061552C"/>
    <w:rsid w:val="00620756"/>
    <w:rsid w:val="0062692F"/>
    <w:rsid w:val="0062777B"/>
    <w:rsid w:val="00631CD6"/>
    <w:rsid w:val="00631D74"/>
    <w:rsid w:val="00633D6F"/>
    <w:rsid w:val="006361DB"/>
    <w:rsid w:val="00641436"/>
    <w:rsid w:val="00641571"/>
    <w:rsid w:val="00643AF9"/>
    <w:rsid w:val="00644A61"/>
    <w:rsid w:val="00651167"/>
    <w:rsid w:val="00651D03"/>
    <w:rsid w:val="00653269"/>
    <w:rsid w:val="00654326"/>
    <w:rsid w:val="0065494E"/>
    <w:rsid w:val="00654E61"/>
    <w:rsid w:val="00656A63"/>
    <w:rsid w:val="006611F2"/>
    <w:rsid w:val="00662E32"/>
    <w:rsid w:val="006642F6"/>
    <w:rsid w:val="006652E2"/>
    <w:rsid w:val="00665B00"/>
    <w:rsid w:val="006670F5"/>
    <w:rsid w:val="006678BB"/>
    <w:rsid w:val="00673265"/>
    <w:rsid w:val="006759B5"/>
    <w:rsid w:val="00675FFE"/>
    <w:rsid w:val="00677B76"/>
    <w:rsid w:val="00680242"/>
    <w:rsid w:val="00682D29"/>
    <w:rsid w:val="0068356D"/>
    <w:rsid w:val="00683E79"/>
    <w:rsid w:val="00690F9E"/>
    <w:rsid w:val="006931E6"/>
    <w:rsid w:val="00693E86"/>
    <w:rsid w:val="006948E4"/>
    <w:rsid w:val="00695119"/>
    <w:rsid w:val="0069570D"/>
    <w:rsid w:val="006A0964"/>
    <w:rsid w:val="006A1509"/>
    <w:rsid w:val="006A1B95"/>
    <w:rsid w:val="006A1DDA"/>
    <w:rsid w:val="006A5483"/>
    <w:rsid w:val="006A6AF0"/>
    <w:rsid w:val="006A71E5"/>
    <w:rsid w:val="006B35CC"/>
    <w:rsid w:val="006B5E18"/>
    <w:rsid w:val="006B7091"/>
    <w:rsid w:val="006B7502"/>
    <w:rsid w:val="006B7B70"/>
    <w:rsid w:val="006C3F06"/>
    <w:rsid w:val="006C434D"/>
    <w:rsid w:val="006C49AC"/>
    <w:rsid w:val="006C5AB3"/>
    <w:rsid w:val="006C6176"/>
    <w:rsid w:val="006C6E18"/>
    <w:rsid w:val="006C7700"/>
    <w:rsid w:val="006C79F7"/>
    <w:rsid w:val="006C7A30"/>
    <w:rsid w:val="006D07C9"/>
    <w:rsid w:val="006D274C"/>
    <w:rsid w:val="006D51BD"/>
    <w:rsid w:val="006D6CAE"/>
    <w:rsid w:val="006D7D89"/>
    <w:rsid w:val="006D7FF1"/>
    <w:rsid w:val="006E2E0C"/>
    <w:rsid w:val="006E543B"/>
    <w:rsid w:val="006F06DD"/>
    <w:rsid w:val="006F2B8A"/>
    <w:rsid w:val="006F3898"/>
    <w:rsid w:val="006F4355"/>
    <w:rsid w:val="006F5E5A"/>
    <w:rsid w:val="006F6095"/>
    <w:rsid w:val="006F76DC"/>
    <w:rsid w:val="006F7E12"/>
    <w:rsid w:val="00701739"/>
    <w:rsid w:val="007029B9"/>
    <w:rsid w:val="007030EB"/>
    <w:rsid w:val="00703676"/>
    <w:rsid w:val="00704EEE"/>
    <w:rsid w:val="007051DE"/>
    <w:rsid w:val="00711160"/>
    <w:rsid w:val="00711F88"/>
    <w:rsid w:val="007121EB"/>
    <w:rsid w:val="007140F6"/>
    <w:rsid w:val="007142E6"/>
    <w:rsid w:val="00714640"/>
    <w:rsid w:val="00715294"/>
    <w:rsid w:val="007159A6"/>
    <w:rsid w:val="00716A5D"/>
    <w:rsid w:val="00722913"/>
    <w:rsid w:val="0072464B"/>
    <w:rsid w:val="007260DD"/>
    <w:rsid w:val="00726233"/>
    <w:rsid w:val="007262FB"/>
    <w:rsid w:val="00730D3C"/>
    <w:rsid w:val="00732846"/>
    <w:rsid w:val="007332A3"/>
    <w:rsid w:val="00734133"/>
    <w:rsid w:val="00734EC9"/>
    <w:rsid w:val="00736726"/>
    <w:rsid w:val="00737ED4"/>
    <w:rsid w:val="00740A4E"/>
    <w:rsid w:val="0074640B"/>
    <w:rsid w:val="00747E6D"/>
    <w:rsid w:val="00750FC7"/>
    <w:rsid w:val="0075115D"/>
    <w:rsid w:val="0075285E"/>
    <w:rsid w:val="00753A40"/>
    <w:rsid w:val="007541BF"/>
    <w:rsid w:val="00755FDE"/>
    <w:rsid w:val="007560A0"/>
    <w:rsid w:val="00756139"/>
    <w:rsid w:val="00757169"/>
    <w:rsid w:val="007611F3"/>
    <w:rsid w:val="007629A8"/>
    <w:rsid w:val="00764406"/>
    <w:rsid w:val="00764CCF"/>
    <w:rsid w:val="007663DE"/>
    <w:rsid w:val="00767277"/>
    <w:rsid w:val="007705EA"/>
    <w:rsid w:val="00771493"/>
    <w:rsid w:val="007732CA"/>
    <w:rsid w:val="007732CE"/>
    <w:rsid w:val="00775296"/>
    <w:rsid w:val="00775A72"/>
    <w:rsid w:val="007767BA"/>
    <w:rsid w:val="00776A04"/>
    <w:rsid w:val="00781699"/>
    <w:rsid w:val="00782638"/>
    <w:rsid w:val="00782658"/>
    <w:rsid w:val="0078375B"/>
    <w:rsid w:val="007837F6"/>
    <w:rsid w:val="0078543D"/>
    <w:rsid w:val="00785584"/>
    <w:rsid w:val="0078558B"/>
    <w:rsid w:val="0078593E"/>
    <w:rsid w:val="00785B37"/>
    <w:rsid w:val="00786DE7"/>
    <w:rsid w:val="007910F9"/>
    <w:rsid w:val="007941D0"/>
    <w:rsid w:val="00794873"/>
    <w:rsid w:val="007959AC"/>
    <w:rsid w:val="00796336"/>
    <w:rsid w:val="007A1D9D"/>
    <w:rsid w:val="007A2F53"/>
    <w:rsid w:val="007A66FB"/>
    <w:rsid w:val="007A70EC"/>
    <w:rsid w:val="007A713A"/>
    <w:rsid w:val="007A740D"/>
    <w:rsid w:val="007B0E3C"/>
    <w:rsid w:val="007B0F5C"/>
    <w:rsid w:val="007B5713"/>
    <w:rsid w:val="007C023A"/>
    <w:rsid w:val="007C0C6F"/>
    <w:rsid w:val="007C451E"/>
    <w:rsid w:val="007C7FF5"/>
    <w:rsid w:val="007D049D"/>
    <w:rsid w:val="007D2ADA"/>
    <w:rsid w:val="007D30EF"/>
    <w:rsid w:val="007D349F"/>
    <w:rsid w:val="007D39CE"/>
    <w:rsid w:val="007D6761"/>
    <w:rsid w:val="007E02D0"/>
    <w:rsid w:val="007E05E7"/>
    <w:rsid w:val="007E1B4D"/>
    <w:rsid w:val="007E294A"/>
    <w:rsid w:val="007E324D"/>
    <w:rsid w:val="007E34C5"/>
    <w:rsid w:val="007E51DF"/>
    <w:rsid w:val="007E52CD"/>
    <w:rsid w:val="007E5D0E"/>
    <w:rsid w:val="007E6779"/>
    <w:rsid w:val="007E7420"/>
    <w:rsid w:val="007F0F58"/>
    <w:rsid w:val="007F1CE6"/>
    <w:rsid w:val="007F3038"/>
    <w:rsid w:val="007F321D"/>
    <w:rsid w:val="007F4A88"/>
    <w:rsid w:val="007F50A4"/>
    <w:rsid w:val="007F6EB0"/>
    <w:rsid w:val="007F78EA"/>
    <w:rsid w:val="00801B07"/>
    <w:rsid w:val="008047C8"/>
    <w:rsid w:val="00804B52"/>
    <w:rsid w:val="00804DD1"/>
    <w:rsid w:val="00805778"/>
    <w:rsid w:val="008067D3"/>
    <w:rsid w:val="00807122"/>
    <w:rsid w:val="008101FD"/>
    <w:rsid w:val="00811495"/>
    <w:rsid w:val="0081215C"/>
    <w:rsid w:val="00813C75"/>
    <w:rsid w:val="008153A3"/>
    <w:rsid w:val="0081572C"/>
    <w:rsid w:val="008158AE"/>
    <w:rsid w:val="00816311"/>
    <w:rsid w:val="0081680F"/>
    <w:rsid w:val="00822E89"/>
    <w:rsid w:val="00824E66"/>
    <w:rsid w:val="00825E9B"/>
    <w:rsid w:val="00826072"/>
    <w:rsid w:val="008302D8"/>
    <w:rsid w:val="008312FC"/>
    <w:rsid w:val="008314C5"/>
    <w:rsid w:val="00831CFA"/>
    <w:rsid w:val="008358C3"/>
    <w:rsid w:val="00836370"/>
    <w:rsid w:val="00843949"/>
    <w:rsid w:val="00844B6E"/>
    <w:rsid w:val="008458A2"/>
    <w:rsid w:val="00845F88"/>
    <w:rsid w:val="00850195"/>
    <w:rsid w:val="0085121C"/>
    <w:rsid w:val="008534B5"/>
    <w:rsid w:val="00853AF1"/>
    <w:rsid w:val="008549D1"/>
    <w:rsid w:val="00854F51"/>
    <w:rsid w:val="00854FE4"/>
    <w:rsid w:val="00855988"/>
    <w:rsid w:val="00855BA9"/>
    <w:rsid w:val="00855D53"/>
    <w:rsid w:val="00855F2C"/>
    <w:rsid w:val="0085795C"/>
    <w:rsid w:val="00860700"/>
    <w:rsid w:val="008617C4"/>
    <w:rsid w:val="00863181"/>
    <w:rsid w:val="0086438F"/>
    <w:rsid w:val="008652A0"/>
    <w:rsid w:val="008723B7"/>
    <w:rsid w:val="0087484E"/>
    <w:rsid w:val="00874AD3"/>
    <w:rsid w:val="00875B76"/>
    <w:rsid w:val="00875E12"/>
    <w:rsid w:val="0087602A"/>
    <w:rsid w:val="00876557"/>
    <w:rsid w:val="00876FF3"/>
    <w:rsid w:val="00877306"/>
    <w:rsid w:val="00881FDC"/>
    <w:rsid w:val="00885265"/>
    <w:rsid w:val="008869D0"/>
    <w:rsid w:val="00887427"/>
    <w:rsid w:val="00887A20"/>
    <w:rsid w:val="00890205"/>
    <w:rsid w:val="0089065F"/>
    <w:rsid w:val="00892A6C"/>
    <w:rsid w:val="0089478B"/>
    <w:rsid w:val="00896847"/>
    <w:rsid w:val="008A0C1C"/>
    <w:rsid w:val="008A0FB4"/>
    <w:rsid w:val="008A29E8"/>
    <w:rsid w:val="008A58E9"/>
    <w:rsid w:val="008B2226"/>
    <w:rsid w:val="008B32C9"/>
    <w:rsid w:val="008B3B46"/>
    <w:rsid w:val="008B591C"/>
    <w:rsid w:val="008C4018"/>
    <w:rsid w:val="008C5034"/>
    <w:rsid w:val="008C59F4"/>
    <w:rsid w:val="008C63BB"/>
    <w:rsid w:val="008C68B0"/>
    <w:rsid w:val="008C6D2E"/>
    <w:rsid w:val="008D3305"/>
    <w:rsid w:val="008D3C3A"/>
    <w:rsid w:val="008E5C90"/>
    <w:rsid w:val="008E5DCB"/>
    <w:rsid w:val="008E6E95"/>
    <w:rsid w:val="008E70EE"/>
    <w:rsid w:val="008E7773"/>
    <w:rsid w:val="008F0FE4"/>
    <w:rsid w:val="008F13C4"/>
    <w:rsid w:val="008F1799"/>
    <w:rsid w:val="008F1C47"/>
    <w:rsid w:val="008F4A09"/>
    <w:rsid w:val="008F62F1"/>
    <w:rsid w:val="0090128C"/>
    <w:rsid w:val="0090213F"/>
    <w:rsid w:val="00902FBA"/>
    <w:rsid w:val="00903C82"/>
    <w:rsid w:val="00904F36"/>
    <w:rsid w:val="00907504"/>
    <w:rsid w:val="00911000"/>
    <w:rsid w:val="00912D67"/>
    <w:rsid w:val="009133B7"/>
    <w:rsid w:val="009166CE"/>
    <w:rsid w:val="00921E5F"/>
    <w:rsid w:val="00925C6C"/>
    <w:rsid w:val="00932B10"/>
    <w:rsid w:val="00937FFB"/>
    <w:rsid w:val="00944C34"/>
    <w:rsid w:val="0094645D"/>
    <w:rsid w:val="0095058D"/>
    <w:rsid w:val="00952DDD"/>
    <w:rsid w:val="0095332B"/>
    <w:rsid w:val="00955E55"/>
    <w:rsid w:val="00956285"/>
    <w:rsid w:val="009567F0"/>
    <w:rsid w:val="00956B31"/>
    <w:rsid w:val="0095724C"/>
    <w:rsid w:val="00957926"/>
    <w:rsid w:val="00957A18"/>
    <w:rsid w:val="009600B6"/>
    <w:rsid w:val="00961DF4"/>
    <w:rsid w:val="00963822"/>
    <w:rsid w:val="00966290"/>
    <w:rsid w:val="0096667F"/>
    <w:rsid w:val="009703BB"/>
    <w:rsid w:val="00972047"/>
    <w:rsid w:val="00972EAF"/>
    <w:rsid w:val="00973D15"/>
    <w:rsid w:val="00974A86"/>
    <w:rsid w:val="00975613"/>
    <w:rsid w:val="00977680"/>
    <w:rsid w:val="00981401"/>
    <w:rsid w:val="009846E2"/>
    <w:rsid w:val="00985984"/>
    <w:rsid w:val="00991E4A"/>
    <w:rsid w:val="009921A2"/>
    <w:rsid w:val="00992378"/>
    <w:rsid w:val="00993608"/>
    <w:rsid w:val="00994606"/>
    <w:rsid w:val="009963D1"/>
    <w:rsid w:val="009969E2"/>
    <w:rsid w:val="00996FFA"/>
    <w:rsid w:val="0099783D"/>
    <w:rsid w:val="009A2407"/>
    <w:rsid w:val="009A4B72"/>
    <w:rsid w:val="009A53CF"/>
    <w:rsid w:val="009A5F05"/>
    <w:rsid w:val="009B1ACF"/>
    <w:rsid w:val="009B354F"/>
    <w:rsid w:val="009B5309"/>
    <w:rsid w:val="009C1604"/>
    <w:rsid w:val="009C3AFB"/>
    <w:rsid w:val="009C7706"/>
    <w:rsid w:val="009C7A74"/>
    <w:rsid w:val="009D0144"/>
    <w:rsid w:val="009D070C"/>
    <w:rsid w:val="009D076A"/>
    <w:rsid w:val="009D0BFE"/>
    <w:rsid w:val="009D282C"/>
    <w:rsid w:val="009D2F37"/>
    <w:rsid w:val="009D3974"/>
    <w:rsid w:val="009D3D43"/>
    <w:rsid w:val="009D4908"/>
    <w:rsid w:val="009D4E91"/>
    <w:rsid w:val="009D57DB"/>
    <w:rsid w:val="009D6445"/>
    <w:rsid w:val="009D6FCC"/>
    <w:rsid w:val="009D7690"/>
    <w:rsid w:val="009D7E4F"/>
    <w:rsid w:val="009E157D"/>
    <w:rsid w:val="009E3B2E"/>
    <w:rsid w:val="009E637B"/>
    <w:rsid w:val="009E64EF"/>
    <w:rsid w:val="009E7B9A"/>
    <w:rsid w:val="009F13F5"/>
    <w:rsid w:val="009F1CD8"/>
    <w:rsid w:val="009F2D7B"/>
    <w:rsid w:val="009F4165"/>
    <w:rsid w:val="009F5C2E"/>
    <w:rsid w:val="009F5E92"/>
    <w:rsid w:val="00A02458"/>
    <w:rsid w:val="00A03531"/>
    <w:rsid w:val="00A049EB"/>
    <w:rsid w:val="00A05F62"/>
    <w:rsid w:val="00A062FE"/>
    <w:rsid w:val="00A10DA3"/>
    <w:rsid w:val="00A10E9D"/>
    <w:rsid w:val="00A1108C"/>
    <w:rsid w:val="00A12491"/>
    <w:rsid w:val="00A15CEC"/>
    <w:rsid w:val="00A16152"/>
    <w:rsid w:val="00A166C1"/>
    <w:rsid w:val="00A179B0"/>
    <w:rsid w:val="00A17E6B"/>
    <w:rsid w:val="00A20405"/>
    <w:rsid w:val="00A20953"/>
    <w:rsid w:val="00A217A2"/>
    <w:rsid w:val="00A240EA"/>
    <w:rsid w:val="00A2480F"/>
    <w:rsid w:val="00A25459"/>
    <w:rsid w:val="00A25CC8"/>
    <w:rsid w:val="00A3142C"/>
    <w:rsid w:val="00A35169"/>
    <w:rsid w:val="00A3593D"/>
    <w:rsid w:val="00A3676D"/>
    <w:rsid w:val="00A371AB"/>
    <w:rsid w:val="00A37669"/>
    <w:rsid w:val="00A40153"/>
    <w:rsid w:val="00A43C11"/>
    <w:rsid w:val="00A45DCC"/>
    <w:rsid w:val="00A46899"/>
    <w:rsid w:val="00A5223F"/>
    <w:rsid w:val="00A52E00"/>
    <w:rsid w:val="00A65128"/>
    <w:rsid w:val="00A670FA"/>
    <w:rsid w:val="00A67D59"/>
    <w:rsid w:val="00A70075"/>
    <w:rsid w:val="00A700BC"/>
    <w:rsid w:val="00A707CD"/>
    <w:rsid w:val="00A70EE2"/>
    <w:rsid w:val="00A73257"/>
    <w:rsid w:val="00A74A01"/>
    <w:rsid w:val="00A75E13"/>
    <w:rsid w:val="00A76649"/>
    <w:rsid w:val="00A77051"/>
    <w:rsid w:val="00A824B9"/>
    <w:rsid w:val="00A82C2A"/>
    <w:rsid w:val="00A83592"/>
    <w:rsid w:val="00A84924"/>
    <w:rsid w:val="00A8587F"/>
    <w:rsid w:val="00A90534"/>
    <w:rsid w:val="00A90E62"/>
    <w:rsid w:val="00A93CA9"/>
    <w:rsid w:val="00A94AEA"/>
    <w:rsid w:val="00A95B0A"/>
    <w:rsid w:val="00A95EAA"/>
    <w:rsid w:val="00A96468"/>
    <w:rsid w:val="00A966B8"/>
    <w:rsid w:val="00A96E02"/>
    <w:rsid w:val="00A97063"/>
    <w:rsid w:val="00AA0E69"/>
    <w:rsid w:val="00AA1929"/>
    <w:rsid w:val="00AA1F08"/>
    <w:rsid w:val="00AA35B7"/>
    <w:rsid w:val="00AA5530"/>
    <w:rsid w:val="00AA7E76"/>
    <w:rsid w:val="00AB2A1C"/>
    <w:rsid w:val="00AB3077"/>
    <w:rsid w:val="00AB33E4"/>
    <w:rsid w:val="00AB4A35"/>
    <w:rsid w:val="00AB55D9"/>
    <w:rsid w:val="00AB5D84"/>
    <w:rsid w:val="00AB63E9"/>
    <w:rsid w:val="00AC016A"/>
    <w:rsid w:val="00AC374E"/>
    <w:rsid w:val="00AC3C65"/>
    <w:rsid w:val="00AC6BC5"/>
    <w:rsid w:val="00AC6BFF"/>
    <w:rsid w:val="00AC70AF"/>
    <w:rsid w:val="00AC7548"/>
    <w:rsid w:val="00AD1EC0"/>
    <w:rsid w:val="00AD1FD7"/>
    <w:rsid w:val="00AD3640"/>
    <w:rsid w:val="00AD4143"/>
    <w:rsid w:val="00AD5305"/>
    <w:rsid w:val="00AD6455"/>
    <w:rsid w:val="00AD740C"/>
    <w:rsid w:val="00AE031C"/>
    <w:rsid w:val="00AE24F3"/>
    <w:rsid w:val="00AE30A8"/>
    <w:rsid w:val="00AE3A0E"/>
    <w:rsid w:val="00AE457B"/>
    <w:rsid w:val="00AE56DD"/>
    <w:rsid w:val="00AE6020"/>
    <w:rsid w:val="00AE637C"/>
    <w:rsid w:val="00AF066D"/>
    <w:rsid w:val="00AF4E30"/>
    <w:rsid w:val="00AF5A1C"/>
    <w:rsid w:val="00AF6608"/>
    <w:rsid w:val="00AF78B3"/>
    <w:rsid w:val="00B0044B"/>
    <w:rsid w:val="00B01B95"/>
    <w:rsid w:val="00B0297B"/>
    <w:rsid w:val="00B0329E"/>
    <w:rsid w:val="00B03A5A"/>
    <w:rsid w:val="00B03B2E"/>
    <w:rsid w:val="00B0737B"/>
    <w:rsid w:val="00B07BA5"/>
    <w:rsid w:val="00B11EF6"/>
    <w:rsid w:val="00B124AF"/>
    <w:rsid w:val="00B13207"/>
    <w:rsid w:val="00B13264"/>
    <w:rsid w:val="00B15516"/>
    <w:rsid w:val="00B15560"/>
    <w:rsid w:val="00B15E48"/>
    <w:rsid w:val="00B237A1"/>
    <w:rsid w:val="00B2606E"/>
    <w:rsid w:val="00B26F9F"/>
    <w:rsid w:val="00B32381"/>
    <w:rsid w:val="00B346FD"/>
    <w:rsid w:val="00B3471B"/>
    <w:rsid w:val="00B355FA"/>
    <w:rsid w:val="00B3757A"/>
    <w:rsid w:val="00B426D0"/>
    <w:rsid w:val="00B43A47"/>
    <w:rsid w:val="00B46E4D"/>
    <w:rsid w:val="00B52806"/>
    <w:rsid w:val="00B53616"/>
    <w:rsid w:val="00B53FB7"/>
    <w:rsid w:val="00B56D8F"/>
    <w:rsid w:val="00B61E9E"/>
    <w:rsid w:val="00B63E77"/>
    <w:rsid w:val="00B646BD"/>
    <w:rsid w:val="00B652B6"/>
    <w:rsid w:val="00B6680F"/>
    <w:rsid w:val="00B67867"/>
    <w:rsid w:val="00B70CC9"/>
    <w:rsid w:val="00B74F34"/>
    <w:rsid w:val="00B7510E"/>
    <w:rsid w:val="00B80E07"/>
    <w:rsid w:val="00B81609"/>
    <w:rsid w:val="00B83D13"/>
    <w:rsid w:val="00B84874"/>
    <w:rsid w:val="00B84B57"/>
    <w:rsid w:val="00B84FA1"/>
    <w:rsid w:val="00B877E6"/>
    <w:rsid w:val="00B87801"/>
    <w:rsid w:val="00B87F47"/>
    <w:rsid w:val="00B91BF1"/>
    <w:rsid w:val="00B9273E"/>
    <w:rsid w:val="00B970AD"/>
    <w:rsid w:val="00BA19D4"/>
    <w:rsid w:val="00BA55EE"/>
    <w:rsid w:val="00BA5B2E"/>
    <w:rsid w:val="00BA66D7"/>
    <w:rsid w:val="00BA6FBD"/>
    <w:rsid w:val="00BB029E"/>
    <w:rsid w:val="00BB1ACD"/>
    <w:rsid w:val="00BB268C"/>
    <w:rsid w:val="00BB5B1E"/>
    <w:rsid w:val="00BB71B8"/>
    <w:rsid w:val="00BC27D4"/>
    <w:rsid w:val="00BC2882"/>
    <w:rsid w:val="00BC3600"/>
    <w:rsid w:val="00BC4CB2"/>
    <w:rsid w:val="00BC5828"/>
    <w:rsid w:val="00BC6594"/>
    <w:rsid w:val="00BD0D82"/>
    <w:rsid w:val="00BD0FEE"/>
    <w:rsid w:val="00BD1ABC"/>
    <w:rsid w:val="00BD3CB9"/>
    <w:rsid w:val="00BD4B23"/>
    <w:rsid w:val="00BD567B"/>
    <w:rsid w:val="00BD7445"/>
    <w:rsid w:val="00BE1DBD"/>
    <w:rsid w:val="00BE2444"/>
    <w:rsid w:val="00BE7486"/>
    <w:rsid w:val="00BE77B2"/>
    <w:rsid w:val="00BF2A24"/>
    <w:rsid w:val="00BF2C0F"/>
    <w:rsid w:val="00BF2C94"/>
    <w:rsid w:val="00BF3921"/>
    <w:rsid w:val="00BF5EC6"/>
    <w:rsid w:val="00BF6B4A"/>
    <w:rsid w:val="00BF757A"/>
    <w:rsid w:val="00BF763B"/>
    <w:rsid w:val="00BF7773"/>
    <w:rsid w:val="00BF7964"/>
    <w:rsid w:val="00C0186B"/>
    <w:rsid w:val="00C02371"/>
    <w:rsid w:val="00C027FF"/>
    <w:rsid w:val="00C02862"/>
    <w:rsid w:val="00C04952"/>
    <w:rsid w:val="00C04D29"/>
    <w:rsid w:val="00C04D6E"/>
    <w:rsid w:val="00C04FFA"/>
    <w:rsid w:val="00C057D7"/>
    <w:rsid w:val="00C0696A"/>
    <w:rsid w:val="00C102A9"/>
    <w:rsid w:val="00C11498"/>
    <w:rsid w:val="00C1170E"/>
    <w:rsid w:val="00C13281"/>
    <w:rsid w:val="00C13459"/>
    <w:rsid w:val="00C135CF"/>
    <w:rsid w:val="00C13F17"/>
    <w:rsid w:val="00C14905"/>
    <w:rsid w:val="00C1541D"/>
    <w:rsid w:val="00C1617A"/>
    <w:rsid w:val="00C169CF"/>
    <w:rsid w:val="00C17DC6"/>
    <w:rsid w:val="00C20AB2"/>
    <w:rsid w:val="00C2261E"/>
    <w:rsid w:val="00C23366"/>
    <w:rsid w:val="00C23751"/>
    <w:rsid w:val="00C2516C"/>
    <w:rsid w:val="00C2517F"/>
    <w:rsid w:val="00C254EE"/>
    <w:rsid w:val="00C32080"/>
    <w:rsid w:val="00C3419F"/>
    <w:rsid w:val="00C36052"/>
    <w:rsid w:val="00C36B9D"/>
    <w:rsid w:val="00C3704D"/>
    <w:rsid w:val="00C400D6"/>
    <w:rsid w:val="00C40135"/>
    <w:rsid w:val="00C41924"/>
    <w:rsid w:val="00C43A87"/>
    <w:rsid w:val="00C44D15"/>
    <w:rsid w:val="00C44D44"/>
    <w:rsid w:val="00C462DF"/>
    <w:rsid w:val="00C47439"/>
    <w:rsid w:val="00C50DB3"/>
    <w:rsid w:val="00C53F72"/>
    <w:rsid w:val="00C56083"/>
    <w:rsid w:val="00C56BD7"/>
    <w:rsid w:val="00C56DD6"/>
    <w:rsid w:val="00C61B95"/>
    <w:rsid w:val="00C61FAD"/>
    <w:rsid w:val="00C62B0C"/>
    <w:rsid w:val="00C6613C"/>
    <w:rsid w:val="00C66D2A"/>
    <w:rsid w:val="00C67484"/>
    <w:rsid w:val="00C675B8"/>
    <w:rsid w:val="00C67E78"/>
    <w:rsid w:val="00C67F94"/>
    <w:rsid w:val="00C70179"/>
    <w:rsid w:val="00C707E0"/>
    <w:rsid w:val="00C71E04"/>
    <w:rsid w:val="00C7287F"/>
    <w:rsid w:val="00C729F3"/>
    <w:rsid w:val="00C7305E"/>
    <w:rsid w:val="00C73890"/>
    <w:rsid w:val="00C77036"/>
    <w:rsid w:val="00C8256B"/>
    <w:rsid w:val="00C83D04"/>
    <w:rsid w:val="00C83F98"/>
    <w:rsid w:val="00C842B8"/>
    <w:rsid w:val="00C87D16"/>
    <w:rsid w:val="00C91F52"/>
    <w:rsid w:val="00C9308B"/>
    <w:rsid w:val="00C94AA6"/>
    <w:rsid w:val="00C94F32"/>
    <w:rsid w:val="00C9591D"/>
    <w:rsid w:val="00C97FCF"/>
    <w:rsid w:val="00CA0AEE"/>
    <w:rsid w:val="00CA0DF4"/>
    <w:rsid w:val="00CA1397"/>
    <w:rsid w:val="00CA145E"/>
    <w:rsid w:val="00CA1B2C"/>
    <w:rsid w:val="00CA33F5"/>
    <w:rsid w:val="00CA4029"/>
    <w:rsid w:val="00CA6080"/>
    <w:rsid w:val="00CA659E"/>
    <w:rsid w:val="00CA71EE"/>
    <w:rsid w:val="00CA781A"/>
    <w:rsid w:val="00CB00FD"/>
    <w:rsid w:val="00CB46DF"/>
    <w:rsid w:val="00CB6175"/>
    <w:rsid w:val="00CB70EE"/>
    <w:rsid w:val="00CB78F0"/>
    <w:rsid w:val="00CC11D9"/>
    <w:rsid w:val="00CC190C"/>
    <w:rsid w:val="00CC227E"/>
    <w:rsid w:val="00CC355D"/>
    <w:rsid w:val="00CC405C"/>
    <w:rsid w:val="00CC7282"/>
    <w:rsid w:val="00CC7A51"/>
    <w:rsid w:val="00CD0CF4"/>
    <w:rsid w:val="00CD1347"/>
    <w:rsid w:val="00CD357E"/>
    <w:rsid w:val="00CD35F9"/>
    <w:rsid w:val="00CD3B50"/>
    <w:rsid w:val="00CD47A9"/>
    <w:rsid w:val="00CD4F02"/>
    <w:rsid w:val="00CD61FE"/>
    <w:rsid w:val="00CE0C4C"/>
    <w:rsid w:val="00CE2A87"/>
    <w:rsid w:val="00CE2FE0"/>
    <w:rsid w:val="00CE3E3D"/>
    <w:rsid w:val="00CE4AD9"/>
    <w:rsid w:val="00CE5844"/>
    <w:rsid w:val="00CE5F85"/>
    <w:rsid w:val="00CE6DBA"/>
    <w:rsid w:val="00CF090C"/>
    <w:rsid w:val="00CF0ACB"/>
    <w:rsid w:val="00CF108A"/>
    <w:rsid w:val="00CF4054"/>
    <w:rsid w:val="00CF42C9"/>
    <w:rsid w:val="00CF457B"/>
    <w:rsid w:val="00CF4D23"/>
    <w:rsid w:val="00CF4F13"/>
    <w:rsid w:val="00CF59FE"/>
    <w:rsid w:val="00CF6389"/>
    <w:rsid w:val="00D00E85"/>
    <w:rsid w:val="00D021C4"/>
    <w:rsid w:val="00D023C3"/>
    <w:rsid w:val="00D0426F"/>
    <w:rsid w:val="00D06614"/>
    <w:rsid w:val="00D06F15"/>
    <w:rsid w:val="00D073CB"/>
    <w:rsid w:val="00D07413"/>
    <w:rsid w:val="00D07491"/>
    <w:rsid w:val="00D074C7"/>
    <w:rsid w:val="00D1237C"/>
    <w:rsid w:val="00D12950"/>
    <w:rsid w:val="00D12F0B"/>
    <w:rsid w:val="00D130B1"/>
    <w:rsid w:val="00D145DB"/>
    <w:rsid w:val="00D159EE"/>
    <w:rsid w:val="00D20DC4"/>
    <w:rsid w:val="00D21DB7"/>
    <w:rsid w:val="00D24079"/>
    <w:rsid w:val="00D27499"/>
    <w:rsid w:val="00D277C0"/>
    <w:rsid w:val="00D27E95"/>
    <w:rsid w:val="00D31A84"/>
    <w:rsid w:val="00D321D9"/>
    <w:rsid w:val="00D32822"/>
    <w:rsid w:val="00D33E09"/>
    <w:rsid w:val="00D37B5A"/>
    <w:rsid w:val="00D400CC"/>
    <w:rsid w:val="00D42C00"/>
    <w:rsid w:val="00D4337F"/>
    <w:rsid w:val="00D43CC5"/>
    <w:rsid w:val="00D44B43"/>
    <w:rsid w:val="00D46960"/>
    <w:rsid w:val="00D474DD"/>
    <w:rsid w:val="00D52942"/>
    <w:rsid w:val="00D5306A"/>
    <w:rsid w:val="00D55ED6"/>
    <w:rsid w:val="00D55FD4"/>
    <w:rsid w:val="00D571A2"/>
    <w:rsid w:val="00D6353D"/>
    <w:rsid w:val="00D65A3D"/>
    <w:rsid w:val="00D6725B"/>
    <w:rsid w:val="00D677F9"/>
    <w:rsid w:val="00D70C31"/>
    <w:rsid w:val="00D719B1"/>
    <w:rsid w:val="00D71F6E"/>
    <w:rsid w:val="00D72BE2"/>
    <w:rsid w:val="00D72DBA"/>
    <w:rsid w:val="00D740F5"/>
    <w:rsid w:val="00D74AD8"/>
    <w:rsid w:val="00D75DF5"/>
    <w:rsid w:val="00D76657"/>
    <w:rsid w:val="00D77324"/>
    <w:rsid w:val="00D77A4A"/>
    <w:rsid w:val="00D80F1C"/>
    <w:rsid w:val="00D8162F"/>
    <w:rsid w:val="00D81996"/>
    <w:rsid w:val="00D8216D"/>
    <w:rsid w:val="00D833B2"/>
    <w:rsid w:val="00D84F5D"/>
    <w:rsid w:val="00D86E1F"/>
    <w:rsid w:val="00D903E7"/>
    <w:rsid w:val="00D90AA3"/>
    <w:rsid w:val="00D91A53"/>
    <w:rsid w:val="00D95ADB"/>
    <w:rsid w:val="00D95E7C"/>
    <w:rsid w:val="00DA07F9"/>
    <w:rsid w:val="00DA28B2"/>
    <w:rsid w:val="00DA52B8"/>
    <w:rsid w:val="00DA6577"/>
    <w:rsid w:val="00DA6BB2"/>
    <w:rsid w:val="00DB1992"/>
    <w:rsid w:val="00DB2008"/>
    <w:rsid w:val="00DB3193"/>
    <w:rsid w:val="00DB7B31"/>
    <w:rsid w:val="00DC22C5"/>
    <w:rsid w:val="00DC247F"/>
    <w:rsid w:val="00DC346E"/>
    <w:rsid w:val="00DC4030"/>
    <w:rsid w:val="00DC53D0"/>
    <w:rsid w:val="00DC5F86"/>
    <w:rsid w:val="00DC784E"/>
    <w:rsid w:val="00DD0702"/>
    <w:rsid w:val="00DD0F06"/>
    <w:rsid w:val="00DD3215"/>
    <w:rsid w:val="00DD3527"/>
    <w:rsid w:val="00DD4693"/>
    <w:rsid w:val="00DD5191"/>
    <w:rsid w:val="00DD6DDE"/>
    <w:rsid w:val="00DD7309"/>
    <w:rsid w:val="00DE1745"/>
    <w:rsid w:val="00DE5957"/>
    <w:rsid w:val="00DE638C"/>
    <w:rsid w:val="00DE715B"/>
    <w:rsid w:val="00DF0CD2"/>
    <w:rsid w:val="00DF31AE"/>
    <w:rsid w:val="00DF3655"/>
    <w:rsid w:val="00E02682"/>
    <w:rsid w:val="00E0439F"/>
    <w:rsid w:val="00E05345"/>
    <w:rsid w:val="00E0691F"/>
    <w:rsid w:val="00E0710D"/>
    <w:rsid w:val="00E1196E"/>
    <w:rsid w:val="00E120D2"/>
    <w:rsid w:val="00E144C3"/>
    <w:rsid w:val="00E154D7"/>
    <w:rsid w:val="00E16007"/>
    <w:rsid w:val="00E16073"/>
    <w:rsid w:val="00E16C5E"/>
    <w:rsid w:val="00E210E5"/>
    <w:rsid w:val="00E22B5B"/>
    <w:rsid w:val="00E25091"/>
    <w:rsid w:val="00E2609F"/>
    <w:rsid w:val="00E30E0B"/>
    <w:rsid w:val="00E31053"/>
    <w:rsid w:val="00E361C1"/>
    <w:rsid w:val="00E3721F"/>
    <w:rsid w:val="00E4081B"/>
    <w:rsid w:val="00E41826"/>
    <w:rsid w:val="00E42F73"/>
    <w:rsid w:val="00E4455D"/>
    <w:rsid w:val="00E449F8"/>
    <w:rsid w:val="00E451E9"/>
    <w:rsid w:val="00E452DB"/>
    <w:rsid w:val="00E45DA5"/>
    <w:rsid w:val="00E54688"/>
    <w:rsid w:val="00E62A46"/>
    <w:rsid w:val="00E64CDB"/>
    <w:rsid w:val="00E64DB9"/>
    <w:rsid w:val="00E65258"/>
    <w:rsid w:val="00E65289"/>
    <w:rsid w:val="00E665C8"/>
    <w:rsid w:val="00E666F8"/>
    <w:rsid w:val="00E66E2D"/>
    <w:rsid w:val="00E66EA7"/>
    <w:rsid w:val="00E70183"/>
    <w:rsid w:val="00E70F8F"/>
    <w:rsid w:val="00E76286"/>
    <w:rsid w:val="00E769C3"/>
    <w:rsid w:val="00E775B6"/>
    <w:rsid w:val="00E81997"/>
    <w:rsid w:val="00E81E8E"/>
    <w:rsid w:val="00E8424E"/>
    <w:rsid w:val="00E846A5"/>
    <w:rsid w:val="00E84D42"/>
    <w:rsid w:val="00E86C32"/>
    <w:rsid w:val="00E873CB"/>
    <w:rsid w:val="00E877D1"/>
    <w:rsid w:val="00E92219"/>
    <w:rsid w:val="00E9290A"/>
    <w:rsid w:val="00E92BA8"/>
    <w:rsid w:val="00E943AC"/>
    <w:rsid w:val="00E963D0"/>
    <w:rsid w:val="00E97C94"/>
    <w:rsid w:val="00EA1D0C"/>
    <w:rsid w:val="00EA2403"/>
    <w:rsid w:val="00EA3843"/>
    <w:rsid w:val="00EA410C"/>
    <w:rsid w:val="00EA4129"/>
    <w:rsid w:val="00EA41A0"/>
    <w:rsid w:val="00EA4D74"/>
    <w:rsid w:val="00EA5381"/>
    <w:rsid w:val="00EA6BCB"/>
    <w:rsid w:val="00EB0033"/>
    <w:rsid w:val="00EB04AF"/>
    <w:rsid w:val="00EB05AB"/>
    <w:rsid w:val="00EB0751"/>
    <w:rsid w:val="00EB485D"/>
    <w:rsid w:val="00EB54A5"/>
    <w:rsid w:val="00EB6D6D"/>
    <w:rsid w:val="00EC0826"/>
    <w:rsid w:val="00EC1BF4"/>
    <w:rsid w:val="00EC3BAA"/>
    <w:rsid w:val="00EC4394"/>
    <w:rsid w:val="00EC4A71"/>
    <w:rsid w:val="00EC7E27"/>
    <w:rsid w:val="00ED0B82"/>
    <w:rsid w:val="00ED152E"/>
    <w:rsid w:val="00EE0F3D"/>
    <w:rsid w:val="00EE2D24"/>
    <w:rsid w:val="00EE2E25"/>
    <w:rsid w:val="00EF223A"/>
    <w:rsid w:val="00EF3946"/>
    <w:rsid w:val="00EF4CFA"/>
    <w:rsid w:val="00EF6620"/>
    <w:rsid w:val="00F0001C"/>
    <w:rsid w:val="00F0195E"/>
    <w:rsid w:val="00F064B4"/>
    <w:rsid w:val="00F06B6B"/>
    <w:rsid w:val="00F07090"/>
    <w:rsid w:val="00F12B1F"/>
    <w:rsid w:val="00F142BF"/>
    <w:rsid w:val="00F14CFE"/>
    <w:rsid w:val="00F152CB"/>
    <w:rsid w:val="00F1531E"/>
    <w:rsid w:val="00F15FF6"/>
    <w:rsid w:val="00F16C3C"/>
    <w:rsid w:val="00F16E00"/>
    <w:rsid w:val="00F16E50"/>
    <w:rsid w:val="00F16E90"/>
    <w:rsid w:val="00F2016D"/>
    <w:rsid w:val="00F204EC"/>
    <w:rsid w:val="00F20D8E"/>
    <w:rsid w:val="00F20F64"/>
    <w:rsid w:val="00F22D1C"/>
    <w:rsid w:val="00F23F20"/>
    <w:rsid w:val="00F2547F"/>
    <w:rsid w:val="00F277BE"/>
    <w:rsid w:val="00F278FC"/>
    <w:rsid w:val="00F30E4D"/>
    <w:rsid w:val="00F31AC4"/>
    <w:rsid w:val="00F32849"/>
    <w:rsid w:val="00F337B3"/>
    <w:rsid w:val="00F35EA0"/>
    <w:rsid w:val="00F400FA"/>
    <w:rsid w:val="00F413DD"/>
    <w:rsid w:val="00F43FB5"/>
    <w:rsid w:val="00F4547B"/>
    <w:rsid w:val="00F47859"/>
    <w:rsid w:val="00F51545"/>
    <w:rsid w:val="00F522D2"/>
    <w:rsid w:val="00F54E40"/>
    <w:rsid w:val="00F60497"/>
    <w:rsid w:val="00F60B82"/>
    <w:rsid w:val="00F60D96"/>
    <w:rsid w:val="00F62A4E"/>
    <w:rsid w:val="00F652CD"/>
    <w:rsid w:val="00F669BF"/>
    <w:rsid w:val="00F71641"/>
    <w:rsid w:val="00F71803"/>
    <w:rsid w:val="00F719A4"/>
    <w:rsid w:val="00F728FB"/>
    <w:rsid w:val="00F72B93"/>
    <w:rsid w:val="00F7333C"/>
    <w:rsid w:val="00F733B0"/>
    <w:rsid w:val="00F73780"/>
    <w:rsid w:val="00F74E2F"/>
    <w:rsid w:val="00F74FD4"/>
    <w:rsid w:val="00F76424"/>
    <w:rsid w:val="00F772D5"/>
    <w:rsid w:val="00F77622"/>
    <w:rsid w:val="00F811E7"/>
    <w:rsid w:val="00F82DB2"/>
    <w:rsid w:val="00F830B1"/>
    <w:rsid w:val="00F84B6D"/>
    <w:rsid w:val="00F86A5E"/>
    <w:rsid w:val="00F875B7"/>
    <w:rsid w:val="00F930FF"/>
    <w:rsid w:val="00F956D6"/>
    <w:rsid w:val="00F95D71"/>
    <w:rsid w:val="00F97FF8"/>
    <w:rsid w:val="00FA071F"/>
    <w:rsid w:val="00FA202B"/>
    <w:rsid w:val="00FA2435"/>
    <w:rsid w:val="00FA3283"/>
    <w:rsid w:val="00FA516F"/>
    <w:rsid w:val="00FB12E6"/>
    <w:rsid w:val="00FB1768"/>
    <w:rsid w:val="00FB1E1A"/>
    <w:rsid w:val="00FB393F"/>
    <w:rsid w:val="00FB64BA"/>
    <w:rsid w:val="00FB74A2"/>
    <w:rsid w:val="00FC32AF"/>
    <w:rsid w:val="00FC3B1E"/>
    <w:rsid w:val="00FC661E"/>
    <w:rsid w:val="00FC7A92"/>
    <w:rsid w:val="00FD21F5"/>
    <w:rsid w:val="00FD2BB0"/>
    <w:rsid w:val="00FD38D7"/>
    <w:rsid w:val="00FD5526"/>
    <w:rsid w:val="00FD5FE0"/>
    <w:rsid w:val="00FE2512"/>
    <w:rsid w:val="00FE2837"/>
    <w:rsid w:val="00FE3620"/>
    <w:rsid w:val="00FE435B"/>
    <w:rsid w:val="00FE5161"/>
    <w:rsid w:val="00FE55F2"/>
    <w:rsid w:val="00FF103C"/>
    <w:rsid w:val="00FF133B"/>
    <w:rsid w:val="00FF1D27"/>
    <w:rsid w:val="00FF4641"/>
    <w:rsid w:val="00FF50DE"/>
    <w:rsid w:val="00FF559D"/>
    <w:rsid w:val="00FF6EF4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AD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2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67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15295C"/>
  </w:style>
  <w:style w:type="paragraph" w:styleId="Stopka">
    <w:name w:val="footer"/>
    <w:basedOn w:val="Normalny"/>
    <w:link w:val="Stopka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15295C"/>
  </w:style>
  <w:style w:type="paragraph" w:styleId="Tekstdymka">
    <w:name w:val="Balloon Text"/>
    <w:basedOn w:val="Normalny"/>
    <w:link w:val="TekstdymkaZnak"/>
    <w:uiPriority w:val="99"/>
    <w:semiHidden/>
    <w:unhideWhenUsed/>
    <w:rsid w:val="001529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295C"/>
    <w:rPr>
      <w:rFonts w:ascii="Tahoma" w:hAnsi="Tahoma" w:cs="Tahoma"/>
      <w:sz w:val="16"/>
      <w:szCs w:val="16"/>
    </w:rPr>
  </w:style>
  <w:style w:type="paragraph" w:customStyle="1" w:styleId="A1">
    <w:name w:val="A1"/>
    <w:basedOn w:val="Normalny"/>
    <w:rsid w:val="005774A8"/>
    <w:pPr>
      <w:spacing w:before="120" w:after="120" w:line="240" w:lineRule="auto"/>
      <w:ind w:firstLine="284"/>
      <w:jc w:val="both"/>
    </w:pPr>
    <w:rPr>
      <w:rFonts w:ascii="Times New Roman" w:hAnsi="Times New Roman"/>
      <w:lang w:eastAsia="pl-PL"/>
    </w:rPr>
  </w:style>
  <w:style w:type="character" w:styleId="Numerstrony">
    <w:name w:val="page number"/>
    <w:basedOn w:val="Domylnaczcionkaakapitu"/>
    <w:rsid w:val="00BF7773"/>
  </w:style>
  <w:style w:type="table" w:styleId="Tabela-Siatka">
    <w:name w:val="Table Grid"/>
    <w:basedOn w:val="Standardowy"/>
    <w:rsid w:val="00753A4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semiHidden/>
    <w:rsid w:val="00887A20"/>
    <w:rPr>
      <w:sz w:val="20"/>
      <w:szCs w:val="20"/>
    </w:rPr>
  </w:style>
  <w:style w:type="character" w:styleId="Odwoanieprzypisudolnego">
    <w:name w:val="footnote reference"/>
    <w:aliases w:val="Footnote Reference Superscript,BVI fnr,Footnote symbol,16 Point,Superscript 6 Point,Footnote Reference Number,Footnote Reference_LVL6,Footnote Reference_LVL61,Footnote Reference_LVL62,Footnote Reference_LVL63"/>
    <w:uiPriority w:val="99"/>
    <w:rsid w:val="00887A20"/>
    <w:rPr>
      <w:vertAlign w:val="superscript"/>
    </w:rPr>
  </w:style>
  <w:style w:type="character" w:styleId="Pogrubienie">
    <w:name w:val="Strong"/>
    <w:uiPriority w:val="22"/>
    <w:qFormat/>
    <w:rsid w:val="005873F6"/>
    <w:rPr>
      <w:b/>
      <w:bCs/>
    </w:rPr>
  </w:style>
  <w:style w:type="character" w:customStyle="1" w:styleId="TekstprzypisudolnegoZnak">
    <w:name w:val="Tekst przypisu dolnego Znak"/>
    <w:aliases w:val="Podrozdział Znak"/>
    <w:link w:val="Tekstprzypisudolnego"/>
    <w:semiHidden/>
    <w:locked/>
    <w:rsid w:val="00FB12E6"/>
    <w:rPr>
      <w:rFonts w:ascii="Calibri" w:hAnsi="Calibri"/>
      <w:lang w:val="pl-PL" w:eastAsia="en-US" w:bidi="ar-SA"/>
    </w:rPr>
  </w:style>
  <w:style w:type="paragraph" w:styleId="Tekstpodstawowy">
    <w:name w:val="Body Text"/>
    <w:aliases w:val="b,bt,szaro,b1,Tekst podstawowy Znak Znak Znak Znak Znak Znak Znak Znak"/>
    <w:basedOn w:val="Normalny"/>
    <w:link w:val="TekstpodstawowyZnak"/>
    <w:rsid w:val="00FE3620"/>
    <w:pPr>
      <w:spacing w:after="12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b Znak,bt Znak,szaro Znak,b1 Znak,Tekst podstawowy Znak Znak Znak Znak Znak Znak Znak Znak Znak"/>
    <w:link w:val="Tekstpodstawowy"/>
    <w:rsid w:val="00FE3620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D2BB0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rsid w:val="000D1F2D"/>
    <w:pPr>
      <w:spacing w:after="120" w:line="480" w:lineRule="auto"/>
    </w:pPr>
  </w:style>
  <w:style w:type="paragraph" w:customStyle="1" w:styleId="akapit">
    <w:name w:val="akapit"/>
    <w:basedOn w:val="Normalny"/>
    <w:rsid w:val="000D1F2D"/>
    <w:pPr>
      <w:spacing w:after="240" w:line="360" w:lineRule="atLeast"/>
      <w:ind w:firstLine="426"/>
      <w:jc w:val="both"/>
    </w:pPr>
    <w:rPr>
      <w:rFonts w:ascii="Arial PL" w:hAnsi="Arial PL"/>
      <w:sz w:val="26"/>
      <w:szCs w:val="20"/>
      <w:lang w:val="en-US" w:eastAsia="pl-PL"/>
    </w:rPr>
  </w:style>
  <w:style w:type="character" w:customStyle="1" w:styleId="Nagwek1Znak">
    <w:name w:val="Nagłówek 1 Znak"/>
    <w:link w:val="Nagwek1"/>
    <w:uiPriority w:val="9"/>
    <w:rsid w:val="00C3208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A3676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3676D"/>
    <w:pPr>
      <w:keepLines/>
      <w:spacing w:before="480" w:after="0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3676D"/>
  </w:style>
  <w:style w:type="paragraph" w:styleId="Spistreci2">
    <w:name w:val="toc 2"/>
    <w:basedOn w:val="Normalny"/>
    <w:next w:val="Normalny"/>
    <w:autoRedefine/>
    <w:uiPriority w:val="39"/>
    <w:unhideWhenUsed/>
    <w:rsid w:val="00A3676D"/>
    <w:pPr>
      <w:ind w:left="220"/>
    </w:pPr>
  </w:style>
  <w:style w:type="character" w:styleId="Hipercze">
    <w:name w:val="Hyperlink"/>
    <w:uiPriority w:val="99"/>
    <w:unhideWhenUsed/>
    <w:rsid w:val="00A3676D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4AA6"/>
    <w:rPr>
      <w:color w:val="800080"/>
      <w:u w:val="single"/>
    </w:rPr>
  </w:style>
  <w:style w:type="character" w:customStyle="1" w:styleId="apple-converted-space">
    <w:name w:val="apple-converted-space"/>
    <w:rsid w:val="009C770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0E9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10E9D"/>
    <w:rPr>
      <w:rFonts w:eastAsia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A10E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4F02"/>
    <w:pPr>
      <w:ind w:left="720"/>
      <w:contextualSpacing/>
    </w:pPr>
  </w:style>
  <w:style w:type="paragraph" w:customStyle="1" w:styleId="CM11">
    <w:name w:val="CM1+1"/>
    <w:basedOn w:val="Normalny"/>
    <w:next w:val="Normalny"/>
    <w:uiPriority w:val="99"/>
    <w:rsid w:val="009A53CF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paragraph" w:customStyle="1" w:styleId="CM31">
    <w:name w:val="CM3+1"/>
    <w:basedOn w:val="Normalny"/>
    <w:next w:val="Normalny"/>
    <w:uiPriority w:val="99"/>
    <w:rsid w:val="009A53CF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52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52B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52B6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2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52B6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AD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2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67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15295C"/>
  </w:style>
  <w:style w:type="paragraph" w:styleId="Stopka">
    <w:name w:val="footer"/>
    <w:basedOn w:val="Normalny"/>
    <w:link w:val="Stopka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15295C"/>
  </w:style>
  <w:style w:type="paragraph" w:styleId="Tekstdymka">
    <w:name w:val="Balloon Text"/>
    <w:basedOn w:val="Normalny"/>
    <w:link w:val="TekstdymkaZnak"/>
    <w:uiPriority w:val="99"/>
    <w:semiHidden/>
    <w:unhideWhenUsed/>
    <w:rsid w:val="001529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295C"/>
    <w:rPr>
      <w:rFonts w:ascii="Tahoma" w:hAnsi="Tahoma" w:cs="Tahoma"/>
      <w:sz w:val="16"/>
      <w:szCs w:val="16"/>
    </w:rPr>
  </w:style>
  <w:style w:type="paragraph" w:customStyle="1" w:styleId="A1">
    <w:name w:val="A1"/>
    <w:basedOn w:val="Normalny"/>
    <w:rsid w:val="005774A8"/>
    <w:pPr>
      <w:spacing w:before="120" w:after="120" w:line="240" w:lineRule="auto"/>
      <w:ind w:firstLine="284"/>
      <w:jc w:val="both"/>
    </w:pPr>
    <w:rPr>
      <w:rFonts w:ascii="Times New Roman" w:hAnsi="Times New Roman"/>
      <w:lang w:eastAsia="pl-PL"/>
    </w:rPr>
  </w:style>
  <w:style w:type="character" w:styleId="Numerstrony">
    <w:name w:val="page number"/>
    <w:basedOn w:val="Domylnaczcionkaakapitu"/>
    <w:rsid w:val="00BF7773"/>
  </w:style>
  <w:style w:type="table" w:styleId="Tabela-Siatka">
    <w:name w:val="Table Grid"/>
    <w:basedOn w:val="Standardowy"/>
    <w:rsid w:val="00753A4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semiHidden/>
    <w:rsid w:val="00887A20"/>
    <w:rPr>
      <w:sz w:val="20"/>
      <w:szCs w:val="20"/>
    </w:rPr>
  </w:style>
  <w:style w:type="character" w:styleId="Odwoanieprzypisudolnego">
    <w:name w:val="footnote reference"/>
    <w:aliases w:val="Footnote Reference Superscript,BVI fnr,Footnote symbol,16 Point,Superscript 6 Point,Footnote Reference Number,Footnote Reference_LVL6,Footnote Reference_LVL61,Footnote Reference_LVL62,Footnote Reference_LVL63"/>
    <w:uiPriority w:val="99"/>
    <w:rsid w:val="00887A20"/>
    <w:rPr>
      <w:vertAlign w:val="superscript"/>
    </w:rPr>
  </w:style>
  <w:style w:type="character" w:styleId="Pogrubienie">
    <w:name w:val="Strong"/>
    <w:uiPriority w:val="22"/>
    <w:qFormat/>
    <w:rsid w:val="005873F6"/>
    <w:rPr>
      <w:b/>
      <w:bCs/>
    </w:rPr>
  </w:style>
  <w:style w:type="character" w:customStyle="1" w:styleId="TekstprzypisudolnegoZnak">
    <w:name w:val="Tekst przypisu dolnego Znak"/>
    <w:aliases w:val="Podrozdział Znak"/>
    <w:link w:val="Tekstprzypisudolnego"/>
    <w:semiHidden/>
    <w:locked/>
    <w:rsid w:val="00FB12E6"/>
    <w:rPr>
      <w:rFonts w:ascii="Calibri" w:hAnsi="Calibri"/>
      <w:lang w:val="pl-PL" w:eastAsia="en-US" w:bidi="ar-SA"/>
    </w:rPr>
  </w:style>
  <w:style w:type="paragraph" w:styleId="Tekstpodstawowy">
    <w:name w:val="Body Text"/>
    <w:aliases w:val="b,bt,szaro,b1,Tekst podstawowy Znak Znak Znak Znak Znak Znak Znak Znak"/>
    <w:basedOn w:val="Normalny"/>
    <w:link w:val="TekstpodstawowyZnak"/>
    <w:rsid w:val="00FE3620"/>
    <w:pPr>
      <w:spacing w:after="12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b Znak,bt Znak,szaro Znak,b1 Znak,Tekst podstawowy Znak Znak Znak Znak Znak Znak Znak Znak Znak"/>
    <w:link w:val="Tekstpodstawowy"/>
    <w:rsid w:val="00FE3620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D2BB0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rsid w:val="000D1F2D"/>
    <w:pPr>
      <w:spacing w:after="120" w:line="480" w:lineRule="auto"/>
    </w:pPr>
  </w:style>
  <w:style w:type="paragraph" w:customStyle="1" w:styleId="akapit">
    <w:name w:val="akapit"/>
    <w:basedOn w:val="Normalny"/>
    <w:rsid w:val="000D1F2D"/>
    <w:pPr>
      <w:spacing w:after="240" w:line="360" w:lineRule="atLeast"/>
      <w:ind w:firstLine="426"/>
      <w:jc w:val="both"/>
    </w:pPr>
    <w:rPr>
      <w:rFonts w:ascii="Arial PL" w:hAnsi="Arial PL"/>
      <w:sz w:val="26"/>
      <w:szCs w:val="20"/>
      <w:lang w:val="en-US" w:eastAsia="pl-PL"/>
    </w:rPr>
  </w:style>
  <w:style w:type="character" w:customStyle="1" w:styleId="Nagwek1Znak">
    <w:name w:val="Nagłówek 1 Znak"/>
    <w:link w:val="Nagwek1"/>
    <w:uiPriority w:val="9"/>
    <w:rsid w:val="00C3208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A3676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3676D"/>
    <w:pPr>
      <w:keepLines/>
      <w:spacing w:before="480" w:after="0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3676D"/>
  </w:style>
  <w:style w:type="paragraph" w:styleId="Spistreci2">
    <w:name w:val="toc 2"/>
    <w:basedOn w:val="Normalny"/>
    <w:next w:val="Normalny"/>
    <w:autoRedefine/>
    <w:uiPriority w:val="39"/>
    <w:unhideWhenUsed/>
    <w:rsid w:val="00A3676D"/>
    <w:pPr>
      <w:ind w:left="220"/>
    </w:pPr>
  </w:style>
  <w:style w:type="character" w:styleId="Hipercze">
    <w:name w:val="Hyperlink"/>
    <w:uiPriority w:val="99"/>
    <w:unhideWhenUsed/>
    <w:rsid w:val="00A3676D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4AA6"/>
    <w:rPr>
      <w:color w:val="800080"/>
      <w:u w:val="single"/>
    </w:rPr>
  </w:style>
  <w:style w:type="character" w:customStyle="1" w:styleId="apple-converted-space">
    <w:name w:val="apple-converted-space"/>
    <w:rsid w:val="009C770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0E9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10E9D"/>
    <w:rPr>
      <w:rFonts w:eastAsia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A10E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4F02"/>
    <w:pPr>
      <w:ind w:left="720"/>
      <w:contextualSpacing/>
    </w:pPr>
  </w:style>
  <w:style w:type="paragraph" w:customStyle="1" w:styleId="CM11">
    <w:name w:val="CM1+1"/>
    <w:basedOn w:val="Normalny"/>
    <w:next w:val="Normalny"/>
    <w:uiPriority w:val="99"/>
    <w:rsid w:val="009A53CF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paragraph" w:customStyle="1" w:styleId="CM31">
    <w:name w:val="CM3+1"/>
    <w:basedOn w:val="Normalny"/>
    <w:next w:val="Normalny"/>
    <w:uiPriority w:val="99"/>
    <w:rsid w:val="009A53CF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52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52B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52B6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2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52B6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http://www.mf.gov.pl/documents/764034/1002148/metodologia+wersja+polska2001.pdf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hyperlink" Target="http://isap.sejm.gov.pl/DetailsServlet?id=WDU2009157124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9.jpeg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emf"/><Relationship Id="rId22" Type="http://schemas.openxmlformats.org/officeDocument/2006/relationships/hyperlink" Target="http://stat.gov.pl/obszary-tematyczne/rachunki-narodowe/europejski-system-rachunkow-narodowych-i-regionalnych-esa-2010/rozporzadzenie-parlamentu-europejskiego-i-rady-ue-nr-5492013-z-dnia-21-maja-2013-r-,1,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199F-52E9-48A8-891E-0A80FE4C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2319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16203</CharactersWithSpaces>
  <SharedDoc>false</SharedDoc>
  <HLinks>
    <vt:vector size="96" baseType="variant">
      <vt:variant>
        <vt:i4>3211323</vt:i4>
      </vt:variant>
      <vt:variant>
        <vt:i4>93</vt:i4>
      </vt:variant>
      <vt:variant>
        <vt:i4>0</vt:i4>
      </vt:variant>
      <vt:variant>
        <vt:i4>5</vt:i4>
      </vt:variant>
      <vt:variant>
        <vt:lpwstr>http://stat.gov.pl/obszary-tematyczne/rachunki-narodowe/europejski-system-rachunkow-narodowych-i-regionalnych-esa-2010/rozporzadzenie-parlamentu-europejskiego-i-rady-ue-nr-5492013-z-dnia-21-maja-2013-r-,1,1.html</vt:lpwstr>
      </vt:variant>
      <vt:variant>
        <vt:lpwstr/>
      </vt:variant>
      <vt:variant>
        <vt:i4>3407929</vt:i4>
      </vt:variant>
      <vt:variant>
        <vt:i4>90</vt:i4>
      </vt:variant>
      <vt:variant>
        <vt:i4>0</vt:i4>
      </vt:variant>
      <vt:variant>
        <vt:i4>5</vt:i4>
      </vt:variant>
      <vt:variant>
        <vt:lpwstr>http://www.mf.gov.pl/documents/764034/1002148/metodologia+wersja+polska2001.pdf</vt:lpwstr>
      </vt:variant>
      <vt:variant>
        <vt:lpwstr/>
      </vt:variant>
      <vt:variant>
        <vt:i4>786444</vt:i4>
      </vt:variant>
      <vt:variant>
        <vt:i4>87</vt:i4>
      </vt:variant>
      <vt:variant>
        <vt:i4>0</vt:i4>
      </vt:variant>
      <vt:variant>
        <vt:i4>5</vt:i4>
      </vt:variant>
      <vt:variant>
        <vt:lpwstr>http://isap.sejm.gov.pl/DetailsServlet?id=WDU20091571240</vt:lpwstr>
      </vt:variant>
      <vt:variant>
        <vt:lpwstr/>
      </vt:variant>
      <vt:variant>
        <vt:i4>1900600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_Toc484006841</vt:lpwstr>
      </vt:variant>
      <vt:variant>
        <vt:i4>1900600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_Toc484006840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_Toc484006839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_Toc484006838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_Toc484006837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_Toc484006836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_Toc484006835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_Toc484006834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_Toc484006833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_Toc484006832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_Toc484006831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_Toc484006830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_Toc484006829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2019-07-19T07:11:00Z</dcterms:created>
  <dcterms:modified xsi:type="dcterms:W3CDTF">2019-07-31T13:14:00Z</dcterms:modified>
</cp:coreProperties>
</file>