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51" w:rsidRDefault="007E33B8" w:rsidP="00A71451">
      <w:pPr>
        <w:spacing w:after="0"/>
        <w:jc w:val="center"/>
        <w:rPr>
          <w:b/>
        </w:rPr>
      </w:pPr>
      <w:r w:rsidRPr="007E33B8">
        <w:rPr>
          <w:b/>
          <w:noProof/>
          <w:lang w:eastAsia="pl-PL"/>
        </w:rPr>
        <w:drawing>
          <wp:inline distT="0" distB="0" distL="0" distR="0" wp14:anchorId="666C5CAB" wp14:editId="662BFF0F">
            <wp:extent cx="1495425" cy="533400"/>
            <wp:effectExtent l="0" t="0" r="0" b="0"/>
            <wp:docPr id="1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51" w:rsidRDefault="00A71451" w:rsidP="00A71451">
      <w:pPr>
        <w:spacing w:after="0"/>
        <w:jc w:val="center"/>
        <w:rPr>
          <w:b/>
        </w:rPr>
      </w:pPr>
    </w:p>
    <w:p w:rsidR="00A71451" w:rsidRPr="002D1B95" w:rsidRDefault="00A71451" w:rsidP="00A71451">
      <w:pPr>
        <w:spacing w:after="0"/>
        <w:jc w:val="center"/>
        <w:rPr>
          <w:b/>
        </w:rPr>
      </w:pPr>
      <w:r w:rsidRPr="002D1B95">
        <w:rPr>
          <w:b/>
        </w:rPr>
        <w:t>Ogłoszenie o konkursie ofert</w:t>
      </w:r>
    </w:p>
    <w:p w:rsidR="00A71451" w:rsidRDefault="00A71451" w:rsidP="00A71451">
      <w:pPr>
        <w:spacing w:after="0"/>
        <w:jc w:val="center"/>
        <w:rPr>
          <w:b/>
        </w:rPr>
      </w:pPr>
      <w:r w:rsidRPr="002D1B95">
        <w:rPr>
          <w:b/>
        </w:rPr>
        <w:t xml:space="preserve">na </w:t>
      </w:r>
      <w:r>
        <w:rPr>
          <w:b/>
        </w:rPr>
        <w:t>realizację zadania</w:t>
      </w:r>
      <w:r w:rsidRPr="002D1B95">
        <w:rPr>
          <w:b/>
        </w:rPr>
        <w:t xml:space="preserve"> z zakresu zdrowia publicznego</w:t>
      </w:r>
    </w:p>
    <w:p w:rsidR="00A71451" w:rsidRPr="00E22DBE" w:rsidRDefault="006B7144" w:rsidP="00A71451">
      <w:pPr>
        <w:spacing w:after="0"/>
        <w:jc w:val="center"/>
        <w:rPr>
          <w:b/>
          <w:color w:val="FF0000"/>
        </w:rPr>
      </w:pPr>
      <w:r>
        <w:rPr>
          <w:b/>
        </w:rPr>
        <w:t>NPZ.CO</w:t>
      </w:r>
      <w:r w:rsidR="006B0C57">
        <w:rPr>
          <w:b/>
        </w:rPr>
        <w:t>1_1.2_4b/d_</w:t>
      </w:r>
      <w:r>
        <w:rPr>
          <w:b/>
        </w:rPr>
        <w:t>2018</w:t>
      </w:r>
    </w:p>
    <w:p w:rsidR="00A71451" w:rsidRDefault="00A71451" w:rsidP="00A71451">
      <w:pPr>
        <w:spacing w:after="0"/>
        <w:jc w:val="center"/>
        <w:rPr>
          <w:b/>
        </w:rPr>
      </w:pPr>
    </w:p>
    <w:p w:rsidR="00A71451" w:rsidRPr="004A2748" w:rsidRDefault="00A71451" w:rsidP="00A71451">
      <w:pPr>
        <w:spacing w:after="0"/>
        <w:jc w:val="center"/>
        <w:rPr>
          <w:rStyle w:val="Tytuksiki"/>
          <w:color w:val="0070C0"/>
        </w:rPr>
      </w:pPr>
      <w:r w:rsidRPr="004A2748">
        <w:rPr>
          <w:rStyle w:val="Tytuksiki"/>
          <w:color w:val="0070C0"/>
        </w:rPr>
        <w:t>CZĘŚĆ A</w:t>
      </w:r>
    </w:p>
    <w:p w:rsidR="00A71451" w:rsidRDefault="00A71451" w:rsidP="00A71451">
      <w:pPr>
        <w:tabs>
          <w:tab w:val="left" w:pos="6311"/>
        </w:tabs>
        <w:spacing w:after="0"/>
        <w:rPr>
          <w:b/>
        </w:rPr>
      </w:pPr>
    </w:p>
    <w:p w:rsidR="00A71451" w:rsidRDefault="00A71451" w:rsidP="00A71451">
      <w:pPr>
        <w:spacing w:after="120"/>
        <w:jc w:val="both"/>
      </w:pPr>
      <w:r>
        <w:t>Minister Zdrowia</w:t>
      </w:r>
      <w:r w:rsidRPr="002D1B95">
        <w:t>, działaj</w:t>
      </w:r>
      <w:r>
        <w:t xml:space="preserve">ąc na podstawie art. 14 ust. 1 w związku z art. 13 pkt 1 ustawy z dnia </w:t>
      </w:r>
      <w:r>
        <w:br/>
        <w:t>11 września 2015</w:t>
      </w:r>
      <w:r w:rsidRPr="002D1B95">
        <w:t xml:space="preserve"> r. o </w:t>
      </w:r>
      <w:r>
        <w:t xml:space="preserve">zdrowiu publicznym </w:t>
      </w:r>
      <w:r w:rsidRPr="00B00C93">
        <w:t>(</w:t>
      </w:r>
      <w:r w:rsidR="007F44CC">
        <w:rPr>
          <w:rStyle w:val="citation-line"/>
        </w:rPr>
        <w:t>Dz.U. z 2017 r. poz. 2237</w:t>
      </w:r>
      <w:r w:rsidRPr="00B00C93">
        <w:rPr>
          <w:rFonts w:cs="Calibri"/>
        </w:rPr>
        <w:t>)</w:t>
      </w:r>
      <w:r w:rsidR="007F44CC">
        <w:rPr>
          <w:rFonts w:cs="Calibri"/>
        </w:rPr>
        <w:t>, zwanej dalej „ustawą”</w:t>
      </w:r>
      <w:r w:rsidRPr="00B00C93">
        <w:rPr>
          <w:rFonts w:cs="Calibri"/>
        </w:rPr>
        <w:t xml:space="preserve"> i</w:t>
      </w:r>
      <w:r w:rsidR="007F44CC">
        <w:rPr>
          <w:rFonts w:cs="Calibri"/>
        </w:rPr>
        <w:t> </w:t>
      </w:r>
      <w:r w:rsidRPr="00B00C93">
        <w:rPr>
          <w:rFonts w:cs="Calibri"/>
        </w:rPr>
        <w:t xml:space="preserve">rozporządzenia Rady Ministrów z dnia </w:t>
      </w:r>
      <w:r>
        <w:t xml:space="preserve">4 sierpnia 2016 r. w sprawie Narodowego Programu Zdrowia na lata 2016-2020 </w:t>
      </w:r>
      <w:r w:rsidRPr="00921898">
        <w:t>(Dz. U.</w:t>
      </w:r>
      <w:r>
        <w:t xml:space="preserve"> poz. 1492</w:t>
      </w:r>
      <w:r w:rsidRPr="00921898">
        <w:t>),</w:t>
      </w:r>
      <w:r w:rsidRPr="002D1B95">
        <w:t xml:space="preserve"> ogłasza konkurs </w:t>
      </w:r>
      <w:r>
        <w:t xml:space="preserve">ofert </w:t>
      </w:r>
      <w:r w:rsidRPr="002D1B95">
        <w:t xml:space="preserve">na </w:t>
      </w:r>
      <w:r>
        <w:t>realizację zadania z zakresu zdrowia publicznego:</w:t>
      </w:r>
    </w:p>
    <w:p w:rsidR="006B0C57" w:rsidRPr="006B0C57" w:rsidRDefault="006B0C57" w:rsidP="006B0C57">
      <w:pPr>
        <w:pStyle w:val="Akapitzlist"/>
        <w:spacing w:after="0"/>
        <w:jc w:val="center"/>
        <w:rPr>
          <w:b/>
        </w:rPr>
      </w:pPr>
      <w:r w:rsidRPr="006B0C57">
        <w:rPr>
          <w:b/>
        </w:rPr>
        <w:t>b) upowszechnianie w społeczeństwie wiedzy o zaletach karmienia piersią</w:t>
      </w:r>
    </w:p>
    <w:p w:rsidR="006B7144" w:rsidRPr="006B7144" w:rsidRDefault="006B0C57" w:rsidP="006B0C57">
      <w:pPr>
        <w:pStyle w:val="Akapitzlist"/>
        <w:spacing w:after="0"/>
        <w:ind w:left="0"/>
        <w:contextualSpacing w:val="0"/>
        <w:jc w:val="center"/>
        <w:rPr>
          <w:b/>
        </w:rPr>
      </w:pPr>
      <w:r w:rsidRPr="006B0C57">
        <w:rPr>
          <w:b/>
        </w:rPr>
        <w:t xml:space="preserve">d) prowadzenie kampanii upowszechniającej aktualną wiedzę w zakresie </w:t>
      </w:r>
      <w:r w:rsidR="00390DAF">
        <w:rPr>
          <w:b/>
        </w:rPr>
        <w:t>karmienia piersią</w:t>
      </w:r>
    </w:p>
    <w:p w:rsidR="006B7144" w:rsidRPr="006B7144" w:rsidRDefault="006B7144" w:rsidP="00A71451">
      <w:pPr>
        <w:pStyle w:val="Akapitzlist"/>
        <w:spacing w:after="0"/>
        <w:ind w:left="0"/>
        <w:contextualSpacing w:val="0"/>
        <w:jc w:val="center"/>
        <w:rPr>
          <w:b/>
        </w:rPr>
      </w:pPr>
    </w:p>
    <w:p w:rsidR="00A71451" w:rsidRPr="006B7144" w:rsidRDefault="006B7144" w:rsidP="006B7144">
      <w:pPr>
        <w:pStyle w:val="Akapitzlist"/>
        <w:spacing w:after="0"/>
        <w:ind w:left="0"/>
        <w:contextualSpacing w:val="0"/>
        <w:jc w:val="center"/>
        <w:rPr>
          <w:i/>
        </w:rPr>
      </w:pPr>
      <w:r w:rsidRPr="006B7144">
        <w:rPr>
          <w:b/>
        </w:rPr>
        <w:t xml:space="preserve">w ramach </w:t>
      </w:r>
      <w:r w:rsidR="008372A7">
        <w:rPr>
          <w:b/>
        </w:rPr>
        <w:t xml:space="preserve">Zadania </w:t>
      </w:r>
      <w:r w:rsidR="008372A7" w:rsidRPr="006B7144">
        <w:rPr>
          <w:b/>
        </w:rPr>
        <w:t xml:space="preserve"> </w:t>
      </w:r>
      <w:r w:rsidRPr="006B7144">
        <w:rPr>
          <w:i/>
        </w:rPr>
        <w:t xml:space="preserve">np. </w:t>
      </w:r>
      <w:r w:rsidR="00A71451" w:rsidRPr="006B7144">
        <w:rPr>
          <w:i/>
        </w:rPr>
        <w:t>1.</w:t>
      </w:r>
      <w:r w:rsidR="000C5BD4" w:rsidRPr="006B7144">
        <w:rPr>
          <w:i/>
        </w:rPr>
        <w:t>2</w:t>
      </w:r>
      <w:r w:rsidR="00A71451" w:rsidRPr="006B7144">
        <w:rPr>
          <w:i/>
        </w:rPr>
        <w:t xml:space="preserve">. </w:t>
      </w:r>
      <w:r w:rsidR="006B0C57">
        <w:rPr>
          <w:i/>
        </w:rPr>
        <w:t xml:space="preserve"> promocja karmienia piersią</w:t>
      </w:r>
    </w:p>
    <w:p w:rsidR="00A71451" w:rsidRPr="00002D00" w:rsidRDefault="00A71451" w:rsidP="00002D00">
      <w:pPr>
        <w:spacing w:after="0"/>
        <w:jc w:val="center"/>
      </w:pPr>
      <w:r w:rsidRPr="00B6010E">
        <w:rPr>
          <w:b/>
        </w:rPr>
        <w:t xml:space="preserve">Celu Operacyjnego </w:t>
      </w:r>
      <w:r w:rsidR="006B0C57" w:rsidRPr="00B6010E">
        <w:t>1 Poprawa sposobu</w:t>
      </w:r>
      <w:r w:rsidR="006B0C57" w:rsidRPr="00002D00">
        <w:t xml:space="preserve"> żywienia i stanu odżywienia społeczeństwa oraz aktywności fizycznej społeczeństwa</w:t>
      </w:r>
    </w:p>
    <w:p w:rsidR="006B7144" w:rsidRDefault="006B7144" w:rsidP="00A71451">
      <w:pPr>
        <w:pStyle w:val="Akapitzlist"/>
        <w:spacing w:after="120"/>
        <w:ind w:left="0"/>
        <w:contextualSpacing w:val="0"/>
        <w:jc w:val="both"/>
        <w:rPr>
          <w:rStyle w:val="Tytuksiki"/>
          <w:sz w:val="28"/>
          <w:szCs w:val="28"/>
        </w:rPr>
      </w:pPr>
    </w:p>
    <w:p w:rsidR="00A71451" w:rsidRDefault="00A71451" w:rsidP="00A71451">
      <w:pPr>
        <w:pStyle w:val="Akapitzlist"/>
        <w:spacing w:after="120"/>
        <w:ind w:left="0"/>
        <w:contextualSpacing w:val="0"/>
        <w:jc w:val="both"/>
        <w:rPr>
          <w:rStyle w:val="Tytuksiki"/>
          <w:sz w:val="28"/>
          <w:szCs w:val="28"/>
        </w:rPr>
      </w:pPr>
      <w:r w:rsidRPr="00666E26">
        <w:rPr>
          <w:rStyle w:val="Tytuksiki"/>
          <w:sz w:val="28"/>
          <w:szCs w:val="28"/>
        </w:rPr>
        <w:t>Zadanie będące przedmiotem konkursu ofert</w:t>
      </w:r>
    </w:p>
    <w:p w:rsidR="0019478B" w:rsidRDefault="000C5BD4" w:rsidP="006B7144">
      <w:pPr>
        <w:spacing w:after="0"/>
        <w:jc w:val="both"/>
        <w:rPr>
          <w:rFonts w:cs="Arial"/>
        </w:rPr>
      </w:pPr>
      <w:r w:rsidRPr="000C5BD4">
        <w:rPr>
          <w:rFonts w:cs="Arial"/>
        </w:rPr>
        <w:t xml:space="preserve">Przedmiotem konkursu jest wybór realizatora zadania z zakresu zdrowia publicznego polegającego na </w:t>
      </w:r>
      <w:r w:rsidR="006B0C57">
        <w:rPr>
          <w:rFonts w:cs="Arial"/>
        </w:rPr>
        <w:t xml:space="preserve">realizacji kampanii promującej karmienie piersią. </w:t>
      </w:r>
    </w:p>
    <w:p w:rsidR="006B0C57" w:rsidRPr="00F96035" w:rsidRDefault="006B0C57" w:rsidP="006B7144">
      <w:pPr>
        <w:spacing w:after="0"/>
        <w:jc w:val="both"/>
        <w:rPr>
          <w:rFonts w:cs="Calibri"/>
        </w:rPr>
      </w:pPr>
    </w:p>
    <w:p w:rsidR="00A71451" w:rsidRDefault="00A71451" w:rsidP="00EF7E96">
      <w:pPr>
        <w:jc w:val="both"/>
      </w:pPr>
      <w:r w:rsidRPr="00D23219">
        <w:t>Zadanie powinno być realizowane z uwzględnieniem aktualnej wiedzy naukowej</w:t>
      </w:r>
      <w:r w:rsidR="00D503C0">
        <w:t xml:space="preserve"> oraz zaleceniami </w:t>
      </w:r>
      <w:r w:rsidR="00587C7A">
        <w:t>i wytycznymi</w:t>
      </w:r>
      <w:r w:rsidR="00390DAF">
        <w:t xml:space="preserve"> </w:t>
      </w:r>
      <w:r w:rsidR="00587C7A" w:rsidRPr="00587C7A">
        <w:t>Światowej Organizacji Zdrowia</w:t>
      </w:r>
      <w:r w:rsidR="00587C7A">
        <w:t xml:space="preserve"> (WHO)</w:t>
      </w:r>
      <w:r w:rsidR="00390DAF">
        <w:t>, w tym</w:t>
      </w:r>
      <w:r w:rsidR="00587C7A" w:rsidRPr="00587C7A">
        <w:t xml:space="preserve"> dot. zalecanej długości wyłącznego karmienia piersią (6 miesięcy) i ogólnego zalecanego okresu karmienia (24 miesiące).</w:t>
      </w:r>
    </w:p>
    <w:p w:rsidR="00EF7E96" w:rsidRPr="006B7144" w:rsidRDefault="00EF7E96" w:rsidP="00EF7E96">
      <w:pPr>
        <w:jc w:val="both"/>
        <w:rPr>
          <w:b/>
          <w:u w:val="single"/>
        </w:rPr>
      </w:pPr>
      <w:r w:rsidRPr="006B7144">
        <w:rPr>
          <w:b/>
          <w:u w:val="single"/>
        </w:rPr>
        <w:t>Informacje ogólne</w:t>
      </w:r>
    </w:p>
    <w:p w:rsidR="006B7144" w:rsidRDefault="006B0C57" w:rsidP="00EF7E96">
      <w:pPr>
        <w:jc w:val="both"/>
      </w:pPr>
      <w:r>
        <w:t xml:space="preserve">Realizator przeprowadzi ogólnopolską kampanię promującą karmienie piersią. </w:t>
      </w:r>
    </w:p>
    <w:p w:rsidR="00B6010E" w:rsidRDefault="00B6010E" w:rsidP="00002D00">
      <w:pPr>
        <w:spacing w:after="0"/>
        <w:jc w:val="both"/>
      </w:pPr>
      <w:r>
        <w:t>Celem kampanii jest:</w:t>
      </w:r>
    </w:p>
    <w:p w:rsidR="00B6010E" w:rsidRDefault="00B6010E" w:rsidP="00002D00">
      <w:pPr>
        <w:spacing w:after="0"/>
        <w:jc w:val="both"/>
      </w:pPr>
      <w:r>
        <w:t xml:space="preserve">- </w:t>
      </w:r>
      <w:r w:rsidR="007A4292">
        <w:t>i</w:t>
      </w:r>
      <w:r>
        <w:t xml:space="preserve">nformowanie </w:t>
      </w:r>
      <w:r w:rsidR="00E02CDD">
        <w:t>o znaczeniu</w:t>
      </w:r>
      <w:r>
        <w:t xml:space="preserve"> karmienia piersią, w tym</w:t>
      </w:r>
      <w:r w:rsidR="007A4292">
        <w:t xml:space="preserve"> w szczególności</w:t>
      </w:r>
      <w:r>
        <w:t xml:space="preserve"> dla wcześniaków</w:t>
      </w:r>
      <w:r w:rsidR="007A4292">
        <w:t>,</w:t>
      </w:r>
    </w:p>
    <w:p w:rsidR="00B6010E" w:rsidRDefault="00B6010E" w:rsidP="00002D00">
      <w:pPr>
        <w:spacing w:after="0"/>
        <w:jc w:val="both"/>
      </w:pPr>
      <w:r>
        <w:t xml:space="preserve">- </w:t>
      </w:r>
      <w:r w:rsidR="007A4292">
        <w:t>p</w:t>
      </w:r>
      <w:r>
        <w:t>rzekazywanie</w:t>
      </w:r>
      <w:r w:rsidR="00D503C0">
        <w:t xml:space="preserve"> aktualnej</w:t>
      </w:r>
      <w:r>
        <w:t xml:space="preserve"> wiedzy </w:t>
      </w:r>
      <w:r w:rsidR="00406BC8">
        <w:t xml:space="preserve">dot. karmienia piersią </w:t>
      </w:r>
      <w:r>
        <w:t xml:space="preserve">oraz zaleceń WHO dotyczących </w:t>
      </w:r>
      <w:r w:rsidR="00406BC8">
        <w:t>zalecanej długości karmienia piersią</w:t>
      </w:r>
      <w:r w:rsidR="007A4292">
        <w:t>,</w:t>
      </w:r>
      <w:r>
        <w:t xml:space="preserve"> </w:t>
      </w:r>
    </w:p>
    <w:p w:rsidR="007A4292" w:rsidRDefault="00B6010E" w:rsidP="00002D00">
      <w:pPr>
        <w:spacing w:after="0"/>
        <w:jc w:val="both"/>
      </w:pPr>
      <w:r>
        <w:t xml:space="preserve">- </w:t>
      </w:r>
      <w:r w:rsidR="007A4292">
        <w:t>p</w:t>
      </w:r>
      <w:r>
        <w:t>opularyzacja karmienia piersią dzieci powyżej 1.</w:t>
      </w:r>
      <w:r w:rsidR="00D503C0">
        <w:t xml:space="preserve"> roku życia</w:t>
      </w:r>
      <w:r w:rsidR="004A1A11">
        <w:t xml:space="preserve"> i przedstawienie go jako części życia społecznego</w:t>
      </w:r>
      <w:r w:rsidR="007A4292">
        <w:t>,</w:t>
      </w:r>
    </w:p>
    <w:p w:rsidR="00B6010E" w:rsidRDefault="007A4292" w:rsidP="00002D00">
      <w:pPr>
        <w:spacing w:after="0"/>
        <w:jc w:val="both"/>
      </w:pPr>
      <w:r>
        <w:t>- popularyzacja karmie</w:t>
      </w:r>
      <w:r w:rsidR="00B6010E">
        <w:t>nia</w:t>
      </w:r>
      <w:r w:rsidR="00A34F8E">
        <w:t>, w tym</w:t>
      </w:r>
      <w:r w:rsidR="00B6010E">
        <w:t xml:space="preserve"> w miejscach publicznych</w:t>
      </w:r>
      <w:r>
        <w:t xml:space="preserve">, </w:t>
      </w:r>
      <w:r w:rsidR="00324190">
        <w:t>karmieni</w:t>
      </w:r>
      <w:r w:rsidR="009B1C1A">
        <w:t xml:space="preserve">a </w:t>
      </w:r>
      <w:r w:rsidR="00324190">
        <w:t>piersią po powrocie do pracy</w:t>
      </w:r>
      <w:r w:rsidR="008C17C3">
        <w:t xml:space="preserve"> lub dziecka uczęszczającego do żłobka (lub innych form opieki nad dzieckiem do lat 3)</w:t>
      </w:r>
      <w:r w:rsidR="00B6010E">
        <w:t>.</w:t>
      </w:r>
    </w:p>
    <w:p w:rsidR="006F4CA9" w:rsidRDefault="00B6010E" w:rsidP="00B6010E">
      <w:pPr>
        <w:jc w:val="both"/>
      </w:pPr>
      <w:r>
        <w:t xml:space="preserve">Kampania </w:t>
      </w:r>
      <w:r w:rsidR="008C17C3">
        <w:t>powinna być</w:t>
      </w:r>
      <w:r>
        <w:t xml:space="preserve"> realizowana z uwzględnieniem między innymi nowych mediów</w:t>
      </w:r>
      <w:r w:rsidR="00587C7A">
        <w:t xml:space="preserve"> oraz</w:t>
      </w:r>
      <w:r w:rsidR="00564CE5">
        <w:t xml:space="preserve"> przestrzeni publicznej</w:t>
      </w:r>
      <w:r>
        <w:t>.</w:t>
      </w:r>
      <w:r w:rsidR="006F4CA9">
        <w:t xml:space="preserve"> </w:t>
      </w:r>
      <w:r w:rsidR="009E1555">
        <w:t xml:space="preserve">Oferent </w:t>
      </w:r>
      <w:r w:rsidR="006F4CA9">
        <w:t>przedstawi koncepcję kampanii promocyjnej</w:t>
      </w:r>
      <w:r w:rsidR="005D6859">
        <w:t xml:space="preserve"> oraz szczegółowy sposób realizacji zadania</w:t>
      </w:r>
      <w:r w:rsidR="006F4CA9">
        <w:t xml:space="preserve">, </w:t>
      </w:r>
      <w:r w:rsidR="00CA500E">
        <w:t xml:space="preserve">w tym </w:t>
      </w:r>
      <w:r w:rsidR="006F4CA9">
        <w:t>określi kanały komunikacji, które zostaną wykorzystane w celu promocji karmienia piersią (np. audycje radiowe, telewizyjne</w:t>
      </w:r>
      <w:r w:rsidR="00B43C44">
        <w:t xml:space="preserve"> </w:t>
      </w:r>
      <w:r w:rsidR="00587C7A">
        <w:t>(np.</w:t>
      </w:r>
      <w:r w:rsidR="00390DAF">
        <w:t xml:space="preserve"> </w:t>
      </w:r>
      <w:r w:rsidR="00B43C44">
        <w:t>programy śniadaniowe</w:t>
      </w:r>
      <w:r w:rsidR="00587C7A">
        <w:t>)</w:t>
      </w:r>
      <w:r w:rsidR="006F4CA9">
        <w:t>, billboardy, wywiady prasowe, filmy, konkursy itd.).</w:t>
      </w:r>
      <w:r w:rsidR="00544711">
        <w:t xml:space="preserve"> </w:t>
      </w:r>
    </w:p>
    <w:p w:rsidR="00B6010E" w:rsidRDefault="005D6859" w:rsidP="00B6010E">
      <w:pPr>
        <w:jc w:val="both"/>
      </w:pPr>
      <w:r>
        <w:t xml:space="preserve">1. </w:t>
      </w:r>
      <w:r w:rsidR="00B6010E">
        <w:t xml:space="preserve">Realizator uwzględni w kampanii udział </w:t>
      </w:r>
      <w:r w:rsidR="00406BC8">
        <w:t>ekspertów, w tym:</w:t>
      </w:r>
    </w:p>
    <w:p w:rsidR="00406BC8" w:rsidRDefault="00406BC8" w:rsidP="00A57CFE">
      <w:pPr>
        <w:tabs>
          <w:tab w:val="left" w:pos="8222"/>
        </w:tabs>
        <w:jc w:val="both"/>
      </w:pPr>
      <w:r>
        <w:t xml:space="preserve">- personelu medycznego zaangażowanego w promocję karmienia piersią i wspieranie kobiet karmiących </w:t>
      </w:r>
      <w:r w:rsidR="003D5940">
        <w:t>piersią (np. położne, edukatorzy</w:t>
      </w:r>
      <w:r>
        <w:t xml:space="preserve"> ds. laktacji, IBCLC, </w:t>
      </w:r>
      <w:r w:rsidR="003D5940">
        <w:t xml:space="preserve">lekarze, w tym </w:t>
      </w:r>
      <w:r w:rsidR="00324190">
        <w:t>neonatolo</w:t>
      </w:r>
      <w:r w:rsidR="005D6859">
        <w:t>g</w:t>
      </w:r>
      <w:r w:rsidR="00D503C0">
        <w:t>, ginekolo</w:t>
      </w:r>
      <w:r w:rsidR="005D6859">
        <w:t>g</w:t>
      </w:r>
      <w:r w:rsidR="00787424">
        <w:t>, pediatra</w:t>
      </w:r>
      <w:r w:rsidR="000B5E5F">
        <w:t>, alergolog</w:t>
      </w:r>
      <w:r>
        <w:t>),</w:t>
      </w:r>
    </w:p>
    <w:p w:rsidR="00390DAF" w:rsidRDefault="00C5591A" w:rsidP="00EF7E96">
      <w:pPr>
        <w:jc w:val="both"/>
      </w:pPr>
      <w:r>
        <w:t>- aktywistów promujących karmienie piersią</w:t>
      </w:r>
      <w:r w:rsidR="00406BC8">
        <w:t xml:space="preserve"> (osoby prowadzące grupy mam</w:t>
      </w:r>
      <w:r w:rsidR="00D503C0">
        <w:t>, mamy karmiące dzieci powyżej 1. roku życia</w:t>
      </w:r>
      <w:r w:rsidR="00406BC8">
        <w:t>)</w:t>
      </w:r>
      <w:r w:rsidR="00BB0026">
        <w:t xml:space="preserve">. </w:t>
      </w:r>
    </w:p>
    <w:p w:rsidR="00B6010E" w:rsidRDefault="005D6859" w:rsidP="00EF7E96">
      <w:pPr>
        <w:jc w:val="both"/>
      </w:pPr>
      <w:r>
        <w:t xml:space="preserve">2. </w:t>
      </w:r>
      <w:r w:rsidR="00390DAF">
        <w:t>W ramach realizowanej kampanii oferent zagwarantuje realizację co najmniej jednej z</w:t>
      </w:r>
      <w:r w:rsidR="00EE6F1C">
        <w:t> </w:t>
      </w:r>
      <w:r w:rsidR="00390DAF">
        <w:t>zaproponowanych form promocji karmienia piersią:</w:t>
      </w:r>
    </w:p>
    <w:p w:rsidR="00C5591A" w:rsidRDefault="00406BC8" w:rsidP="00002D00">
      <w:pPr>
        <w:pStyle w:val="Akapitzlist"/>
        <w:numPr>
          <w:ilvl w:val="0"/>
          <w:numId w:val="13"/>
        </w:numPr>
        <w:jc w:val="both"/>
      </w:pPr>
      <w:r>
        <w:t>uwzględnienie</w:t>
      </w:r>
      <w:r w:rsidR="00C5591A">
        <w:t xml:space="preserve"> w kampanii znan</w:t>
      </w:r>
      <w:r>
        <w:t>ych</w:t>
      </w:r>
      <w:r w:rsidR="00C5591A">
        <w:t xml:space="preserve"> kobiet</w:t>
      </w:r>
      <w:r w:rsidR="00BB0026">
        <w:t xml:space="preserve"> (np. lokalnie)</w:t>
      </w:r>
      <w:r w:rsidR="00C5591A">
        <w:t>, które karmią lub karmiły piersią swoje dzieci</w:t>
      </w:r>
      <w:r w:rsidR="00390DAF">
        <w:t>,</w:t>
      </w:r>
    </w:p>
    <w:p w:rsidR="00324190" w:rsidRDefault="00324190" w:rsidP="00002D00">
      <w:pPr>
        <w:pStyle w:val="Akapitzlist"/>
        <w:numPr>
          <w:ilvl w:val="0"/>
          <w:numId w:val="13"/>
        </w:numPr>
        <w:jc w:val="both"/>
      </w:pPr>
      <w:r>
        <w:t xml:space="preserve">uwzględnienie wątku karmienia piersią </w:t>
      </w:r>
      <w:r w:rsidR="00D503C0">
        <w:t xml:space="preserve">w pozytywnym świetle </w:t>
      </w:r>
      <w:r>
        <w:t>w produkcji filmowej</w:t>
      </w:r>
      <w:r w:rsidR="00312548">
        <w:t xml:space="preserve"> np. </w:t>
      </w:r>
      <w:r>
        <w:t>serialowej</w:t>
      </w:r>
      <w:r w:rsidR="00A34F8E">
        <w:t xml:space="preserve"> (w stylu „lokowanie produktu”)</w:t>
      </w:r>
      <w:r>
        <w:t xml:space="preserve">. </w:t>
      </w:r>
    </w:p>
    <w:p w:rsidR="00A34F8E" w:rsidRDefault="00A34F8E" w:rsidP="00002D00">
      <w:pPr>
        <w:pStyle w:val="Akapitzlist"/>
        <w:numPr>
          <w:ilvl w:val="0"/>
          <w:numId w:val="13"/>
        </w:numPr>
        <w:jc w:val="both"/>
      </w:pPr>
      <w:r>
        <w:t xml:space="preserve">ujęcie wizerunku kobiety karmiącej w materiałach, które nie odwołują się w wprost do tematyki żywienia </w:t>
      </w:r>
      <w:r w:rsidR="00564CE5">
        <w:t>i pielęgnacji niemowląt (np. czasopisma</w:t>
      </w:r>
      <w:r w:rsidR="00760992">
        <w:t xml:space="preserve"> popularnonaukowe,</w:t>
      </w:r>
      <w:r w:rsidR="00564CE5">
        <w:t xml:space="preserve"> dot. </w:t>
      </w:r>
      <w:r w:rsidR="00760992">
        <w:t>gotowania, urządzania wnętrz, podróży)</w:t>
      </w:r>
      <w:r w:rsidR="00564CE5">
        <w:t xml:space="preserve">. </w:t>
      </w:r>
    </w:p>
    <w:p w:rsidR="009B1C1A" w:rsidRDefault="00760992" w:rsidP="00B43C44">
      <w:pPr>
        <w:pStyle w:val="Akapitzlist"/>
        <w:numPr>
          <w:ilvl w:val="0"/>
          <w:numId w:val="13"/>
        </w:numPr>
        <w:jc w:val="both"/>
      </w:pPr>
      <w:r>
        <w:t>opracowanie i dystrybucja praktycznych materiałów promocyjnych dla mam z</w:t>
      </w:r>
      <w:r w:rsidR="006F4CA9">
        <w:t> </w:t>
      </w:r>
      <w:r>
        <w:t>nadrukiem i</w:t>
      </w:r>
      <w:r w:rsidR="00312548">
        <w:t> </w:t>
      </w:r>
      <w:r>
        <w:t>z</w:t>
      </w:r>
      <w:r w:rsidR="00312548">
        <w:t> </w:t>
      </w:r>
      <w:r>
        <w:t>metką zwierającymi treści edukacyjne dot. karmienia piersią (np. ubranka</w:t>
      </w:r>
      <w:r>
        <w:rPr>
          <w:rStyle w:val="Odwoanieprzypisudolnego"/>
        </w:rPr>
        <w:footnoteReference w:id="1"/>
      </w:r>
      <w:r>
        <w:t>, kocyk, rożek, otulaczek, okładka na książeczkę zdrowia dziecka, pieluszka tetrowa</w:t>
      </w:r>
      <w:r w:rsidR="00B43C44">
        <w:t>, poduszka do karmienia</w:t>
      </w:r>
      <w:r>
        <w:t xml:space="preserve">). Materiały mogą być dystrybuowane bezpośrednio do matek lub przez personel ochrony zdrowia. Akcesoria dla dzieci muszą spełniać obowiązujące normy </w:t>
      </w:r>
      <w:r w:rsidR="00B43C44">
        <w:t>bezpieczeństwa</w:t>
      </w:r>
      <w:r w:rsidR="00D1162A">
        <w:t>.</w:t>
      </w:r>
    </w:p>
    <w:p w:rsidR="00B43C44" w:rsidRDefault="009B1C1A">
      <w:pPr>
        <w:pStyle w:val="Akapitzlist"/>
        <w:numPr>
          <w:ilvl w:val="0"/>
          <w:numId w:val="13"/>
        </w:numPr>
        <w:jc w:val="both"/>
      </w:pPr>
      <w:r>
        <w:t>Przeprowadzenie cyklu audycji (stacja radiowa o zasięgu ogólnopolskim) dotyczących karmienia piersią z udziałem ekspertów</w:t>
      </w:r>
      <w:r w:rsidR="00BB0026">
        <w:t>, np. popularnych położnych</w:t>
      </w:r>
      <w:r w:rsidR="00312548">
        <w:t>.</w:t>
      </w:r>
    </w:p>
    <w:p w:rsidR="00B43C44" w:rsidRDefault="005D6859" w:rsidP="00B43C44">
      <w:pPr>
        <w:jc w:val="both"/>
      </w:pPr>
      <w:r>
        <w:t xml:space="preserve">Kampania będzie miała zasięg ogólnopolski. </w:t>
      </w:r>
      <w:r w:rsidR="00BB0026">
        <w:t>Może być</w:t>
      </w:r>
      <w:r>
        <w:t xml:space="preserve"> realizowana</w:t>
      </w:r>
      <w:r w:rsidR="00BB0026">
        <w:t xml:space="preserve"> poprzez kan</w:t>
      </w:r>
      <w:r>
        <w:t>ały komunikacji o zasięgu ogólnopolskim lub regionalnym jak i poprzez działania w poszczególnych regionach Polski</w:t>
      </w:r>
      <w:r w:rsidR="00BB0026">
        <w:t xml:space="preserve">. </w:t>
      </w:r>
      <w:r w:rsidR="00B43C44">
        <w:t>Zadanie powinno być realizowane we współpracy z</w:t>
      </w:r>
      <w:r>
        <w:t xml:space="preserve"> </w:t>
      </w:r>
      <w:r w:rsidR="00B43C44">
        <w:t>ekspertami/aktywistami i mediami</w:t>
      </w:r>
      <w:r w:rsidR="00312548">
        <w:t xml:space="preserve">. </w:t>
      </w:r>
    </w:p>
    <w:p w:rsidR="000B5E5F" w:rsidRDefault="000B5E5F" w:rsidP="00B43C44">
      <w:pPr>
        <w:jc w:val="both"/>
      </w:pPr>
      <w:r>
        <w:t xml:space="preserve">Ogłoszeniodawca nie przewiduje finansowania emisji spotów telewizyjnych. </w:t>
      </w:r>
      <w:r w:rsidR="009E1555">
        <w:t>Koszt artykułów promocyjnych</w:t>
      </w:r>
      <w:r w:rsidR="001148D9">
        <w:t xml:space="preserve"> (gadżety</w:t>
      </w:r>
      <w:r w:rsidR="009E1555">
        <w:t xml:space="preserve"> itp.</w:t>
      </w:r>
      <w:r w:rsidR="001148D9">
        <w:t>) nie powinny przekroczyć</w:t>
      </w:r>
      <w:r w:rsidR="009E1555">
        <w:t xml:space="preserve"> 5% wartości projektu. </w:t>
      </w:r>
    </w:p>
    <w:p w:rsidR="00A71451" w:rsidRPr="00160A34" w:rsidRDefault="00A71451" w:rsidP="00A71451">
      <w:pPr>
        <w:spacing w:after="120"/>
        <w:jc w:val="both"/>
        <w:rPr>
          <w:b/>
        </w:rPr>
      </w:pPr>
      <w:r w:rsidRPr="00160A34">
        <w:rPr>
          <w:b/>
          <w:u w:val="single"/>
        </w:rPr>
        <w:t>Podmioty uprawnione do składania ofert w konkursie</w:t>
      </w:r>
    </w:p>
    <w:p w:rsidR="00155092" w:rsidRDefault="00A71451" w:rsidP="00155092">
      <w:pPr>
        <w:pStyle w:val="Akapitzlist"/>
        <w:spacing w:after="120"/>
        <w:ind w:left="0"/>
        <w:contextualSpacing w:val="0"/>
        <w:jc w:val="both"/>
      </w:pPr>
      <w:r>
        <w:t>Oferentami mogą</w:t>
      </w:r>
      <w:r w:rsidRPr="00D43259">
        <w:t xml:space="preserve"> </w:t>
      </w:r>
      <w:r w:rsidRPr="00D363E2">
        <w:rPr>
          <w:rFonts w:cs="Calibri"/>
        </w:rPr>
        <w:t>być podmioty, określone w art. 3 ust. 2 ustawy, to jest</w:t>
      </w:r>
      <w:r>
        <w:t>:</w:t>
      </w:r>
    </w:p>
    <w:p w:rsidR="000065F6" w:rsidRPr="006B7144" w:rsidRDefault="00A71451" w:rsidP="00A71451">
      <w:pPr>
        <w:pStyle w:val="Akapitzlist"/>
        <w:spacing w:after="120"/>
        <w:ind w:left="0"/>
        <w:contextualSpacing w:val="0"/>
        <w:jc w:val="both"/>
        <w:rPr>
          <w:rStyle w:val="Tytuksiki"/>
          <w:b w:val="0"/>
          <w:bCs w:val="0"/>
          <w:smallCaps w:val="0"/>
          <w:spacing w:val="0"/>
        </w:rPr>
      </w:pPr>
      <w:r w:rsidRPr="00EA795C">
        <w:t>podmioty, których cele statutowe lub przedmiot działalności dotyczą spraw objętych zadaniami z</w:t>
      </w:r>
      <w:r w:rsidR="00160A34">
        <w:t> </w:t>
      </w:r>
      <w:r w:rsidRPr="00EA795C">
        <w:t xml:space="preserve">zakresu zdrowia publicznego określonymi w art. 2 ustawy, w tym organizacje pozarządowe </w:t>
      </w:r>
      <w:r w:rsidRPr="00EA795C">
        <w:br/>
        <w:t>i podmioty, o których mowa w art. 3 ust. 2 i 3 ustawy z dnia 24 kwietnia 2003 r. o działalności pożytku publicznego i o wolontariacie (Dz. U. z 201</w:t>
      </w:r>
      <w:r w:rsidR="00C940C4">
        <w:t>6</w:t>
      </w:r>
      <w:r w:rsidRPr="00EA795C">
        <w:t xml:space="preserve"> r. poz. 1</w:t>
      </w:r>
      <w:r w:rsidR="00C940C4">
        <w:t>817</w:t>
      </w:r>
      <w:r w:rsidRPr="00EA795C">
        <w:t>, z późn. zm.),</w:t>
      </w:r>
      <w:r w:rsidR="00155092">
        <w:t xml:space="preserve"> </w:t>
      </w:r>
      <w:r>
        <w:t>spełniające</w:t>
      </w:r>
      <w:r w:rsidRPr="00D43259">
        <w:t xml:space="preserve"> kryteria wyboru wskazane w ogłoszeniu o konkursie ofert</w:t>
      </w:r>
      <w:r w:rsidR="006B7144">
        <w:t>.</w:t>
      </w:r>
    </w:p>
    <w:p w:rsidR="00A71451" w:rsidRPr="002F7FE2" w:rsidRDefault="00A71451" w:rsidP="00A71451">
      <w:pPr>
        <w:pStyle w:val="Akapitzlist"/>
        <w:spacing w:after="120"/>
        <w:ind w:left="0"/>
        <w:contextualSpacing w:val="0"/>
        <w:jc w:val="both"/>
        <w:rPr>
          <w:rStyle w:val="Tytuksiki"/>
          <w:b w:val="0"/>
          <w:bCs w:val="0"/>
          <w:smallCaps w:val="0"/>
        </w:rPr>
      </w:pPr>
      <w:r w:rsidRPr="00756516">
        <w:rPr>
          <w:rStyle w:val="Tytuksiki"/>
          <w:sz w:val="28"/>
          <w:szCs w:val="28"/>
        </w:rPr>
        <w:t>Kryteria oceny ofert</w:t>
      </w:r>
    </w:p>
    <w:p w:rsidR="00A71451" w:rsidRPr="002F7FE2" w:rsidRDefault="00A71451" w:rsidP="00A71451">
      <w:pPr>
        <w:spacing w:after="120"/>
        <w:jc w:val="both"/>
      </w:pPr>
      <w:r w:rsidRPr="002F7FE2">
        <w:t xml:space="preserve">Pozostałe informacje o </w:t>
      </w:r>
      <w:r>
        <w:t xml:space="preserve">formalnych i merytorycznych </w:t>
      </w:r>
      <w:r w:rsidRPr="002F7FE2">
        <w:t>kryteriach oceny zawarte są w części B ogłoszenia.</w:t>
      </w:r>
    </w:p>
    <w:p w:rsidR="00A71451" w:rsidRDefault="00A71451" w:rsidP="00A71451">
      <w:pPr>
        <w:spacing w:after="120"/>
        <w:jc w:val="both"/>
        <w:rPr>
          <w:b/>
        </w:rPr>
      </w:pPr>
      <w:r w:rsidRPr="00976D80">
        <w:rPr>
          <w:b/>
        </w:rPr>
        <w:t>Kryteria dostępu</w:t>
      </w:r>
    </w:p>
    <w:p w:rsidR="00A71451" w:rsidRDefault="00A71451" w:rsidP="00A71451">
      <w:pPr>
        <w:spacing w:after="120"/>
        <w:jc w:val="both"/>
      </w:pPr>
      <w:r w:rsidRPr="00976D80">
        <w:t>Kryteria dostępu</w:t>
      </w:r>
      <w:r>
        <w:t xml:space="preserve"> dotyczą warunków, jakie powinna</w:t>
      </w:r>
      <w:r w:rsidRPr="00976D80">
        <w:t xml:space="preserve"> spełniać</w:t>
      </w:r>
      <w:r>
        <w:t xml:space="preserve"> oferta</w:t>
      </w:r>
      <w:r w:rsidRPr="00976D80">
        <w:t xml:space="preserve"> oraz </w:t>
      </w:r>
      <w:r>
        <w:t>oferent</w:t>
      </w:r>
      <w:r w:rsidRPr="00976D80">
        <w:t>, żeby móc ubiegać się o finansowanie zadania w konkursie</w:t>
      </w:r>
      <w:r>
        <w:t>. S</w:t>
      </w:r>
      <w:r w:rsidRPr="000516BD">
        <w:t xml:space="preserve">pełnienie kryteriów jest konieczne do przyznania finansowania. Kryteria dostępu są oceniane na etapie oceny formalnej </w:t>
      </w:r>
      <w:r>
        <w:t xml:space="preserve">lub </w:t>
      </w:r>
      <w:r w:rsidRPr="000516BD">
        <w:t>oceny merytorycznej</w:t>
      </w:r>
      <w:r>
        <w:t>.</w:t>
      </w:r>
      <w:r w:rsidRPr="000516BD">
        <w:t xml:space="preserve"> Ocena spełnienia kryterium polega na przypisaniu</w:t>
      </w:r>
      <w:r>
        <w:t xml:space="preserve"> wynikowi weryfikacji</w:t>
      </w:r>
      <w:r w:rsidRPr="000516BD">
        <w:t xml:space="preserve"> wartości </w:t>
      </w:r>
      <w:r w:rsidRPr="00155A90">
        <w:rPr>
          <w:i/>
        </w:rPr>
        <w:t>tak</w:t>
      </w:r>
      <w:r w:rsidRPr="000516BD">
        <w:t xml:space="preserve"> lub </w:t>
      </w:r>
      <w:r w:rsidRPr="00155A90">
        <w:rPr>
          <w:i/>
        </w:rPr>
        <w:t>nie</w:t>
      </w:r>
      <w:r w:rsidRPr="000516BD">
        <w:t>.</w:t>
      </w:r>
    </w:p>
    <w:p w:rsidR="00A71451" w:rsidRPr="00A10C71" w:rsidRDefault="008666C4" w:rsidP="009318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/>
        <w:jc w:val="both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0E4D4B7" wp14:editId="25C14A65">
            <wp:simplePos x="0" y="0"/>
            <wp:positionH relativeFrom="column">
              <wp:posOffset>-356235</wp:posOffset>
            </wp:positionH>
            <wp:positionV relativeFrom="paragraph">
              <wp:posOffset>327660</wp:posOffset>
            </wp:positionV>
            <wp:extent cx="278130" cy="278130"/>
            <wp:effectExtent l="0" t="0" r="0" b="0"/>
            <wp:wrapNone/>
            <wp:docPr id="2" name="Obraz 7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451">
        <w:t xml:space="preserve">Spełnienie kryteriów dostępu będzie weryfikowane na podstawie treści oferty, dlatego też wszelkie </w:t>
      </w:r>
      <w:r w:rsidR="00A71451" w:rsidRPr="00A10C71">
        <w:rPr>
          <w:b/>
        </w:rPr>
        <w:t xml:space="preserve">informacje potwierdzające spełnienie kryteriów muszą być wprost zawarte </w:t>
      </w:r>
      <w:r w:rsidR="008372A7">
        <w:rPr>
          <w:b/>
        </w:rPr>
        <w:t xml:space="preserve">– poprzez odpowiednie zapisy - </w:t>
      </w:r>
      <w:r w:rsidR="00A71451" w:rsidRPr="00A10C71">
        <w:rPr>
          <w:b/>
        </w:rPr>
        <w:t>w poszczególnych punktach oferty</w:t>
      </w:r>
      <w:r w:rsidR="00A71451">
        <w:t xml:space="preserve"> poprzez opisanie doświadczenia oferenta, jego potencjału, planowanych działań</w:t>
      </w:r>
      <w:r w:rsidR="00A71451" w:rsidRPr="00A10C71">
        <w:t xml:space="preserve"> </w:t>
      </w:r>
      <w:r w:rsidR="00A71451">
        <w:t xml:space="preserve">i ich kosztów, deklarowanych rezultatów. 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851"/>
        <w:gridCol w:w="4384"/>
        <w:gridCol w:w="3837"/>
      </w:tblGrid>
      <w:tr w:rsidR="00BA5A54" w:rsidTr="0057227E">
        <w:tc>
          <w:tcPr>
            <w:tcW w:w="851" w:type="dxa"/>
          </w:tcPr>
          <w:p w:rsidR="00BA5A54" w:rsidRDefault="00BA5A54" w:rsidP="0057227E">
            <w:pPr>
              <w:spacing w:after="0"/>
              <w:jc w:val="center"/>
            </w:pPr>
            <w:r>
              <w:t>Lp.</w:t>
            </w:r>
          </w:p>
        </w:tc>
        <w:tc>
          <w:tcPr>
            <w:tcW w:w="4384" w:type="dxa"/>
          </w:tcPr>
          <w:p w:rsidR="00BA5A54" w:rsidRPr="001F226B" w:rsidRDefault="00BA5A54" w:rsidP="0057227E">
            <w:pPr>
              <w:spacing w:after="0"/>
              <w:jc w:val="center"/>
              <w:rPr>
                <w:color w:val="262626" w:themeColor="text1" w:themeTint="D9"/>
              </w:rPr>
            </w:pPr>
            <w:r w:rsidRPr="001F226B">
              <w:rPr>
                <w:color w:val="262626" w:themeColor="text1" w:themeTint="D9"/>
              </w:rPr>
              <w:t>Nazwa kryterium dostępu</w:t>
            </w:r>
          </w:p>
        </w:tc>
        <w:tc>
          <w:tcPr>
            <w:tcW w:w="3837" w:type="dxa"/>
          </w:tcPr>
          <w:p w:rsidR="00BA5A54" w:rsidRPr="001F226B" w:rsidRDefault="00BA5A54" w:rsidP="0057227E">
            <w:pPr>
              <w:spacing w:after="0"/>
              <w:jc w:val="center"/>
              <w:rPr>
                <w:color w:val="262626" w:themeColor="text1" w:themeTint="D9"/>
              </w:rPr>
            </w:pPr>
            <w:r w:rsidRPr="001F226B">
              <w:rPr>
                <w:color w:val="262626" w:themeColor="text1" w:themeTint="D9"/>
              </w:rPr>
              <w:t xml:space="preserve">Etap oceny </w:t>
            </w:r>
            <w:r w:rsidRPr="001F226B">
              <w:rPr>
                <w:color w:val="262626" w:themeColor="text1" w:themeTint="D9"/>
              </w:rPr>
              <w:br/>
              <w:t>(ocena formalna/ocena merytoryczna)</w:t>
            </w:r>
          </w:p>
        </w:tc>
      </w:tr>
      <w:tr w:rsidR="00BA5A54" w:rsidRPr="00C25628" w:rsidTr="0057227E">
        <w:tc>
          <w:tcPr>
            <w:tcW w:w="851" w:type="dxa"/>
          </w:tcPr>
          <w:p w:rsidR="00BA5A54" w:rsidRPr="00C25628" w:rsidRDefault="00BA5A54" w:rsidP="00C25628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4384" w:type="dxa"/>
          </w:tcPr>
          <w:p w:rsidR="00436BC1" w:rsidRPr="00C25628" w:rsidRDefault="00436BC1" w:rsidP="00C25628">
            <w:pPr>
              <w:suppressAutoHyphens/>
              <w:spacing w:after="0"/>
              <w:rPr>
                <w:rFonts w:cs="Arial"/>
                <w:color w:val="262626" w:themeColor="text1" w:themeTint="D9"/>
              </w:rPr>
            </w:pPr>
            <w:r w:rsidRPr="00C25628">
              <w:rPr>
                <w:rFonts w:cs="Arial"/>
                <w:color w:val="262626" w:themeColor="text1" w:themeTint="D9"/>
              </w:rPr>
              <w:t xml:space="preserve">Oferent posiada doświadczenie w przeprowadzaniu kampanii społecznych lub reklamowych </w:t>
            </w:r>
            <w:r w:rsidR="006361A6" w:rsidRPr="00C25628">
              <w:rPr>
                <w:rFonts w:cs="Arial"/>
                <w:color w:val="262626" w:themeColor="text1" w:themeTint="D9"/>
              </w:rPr>
              <w:t xml:space="preserve">o wartości powyżej 1 mln zł. </w:t>
            </w:r>
            <w:r w:rsidRPr="00C25628">
              <w:rPr>
                <w:rFonts w:cs="Arial"/>
                <w:color w:val="262626" w:themeColor="text1" w:themeTint="D9"/>
              </w:rPr>
              <w:t xml:space="preserve">i przedstawi opis </w:t>
            </w:r>
            <w:r w:rsidR="00A9191E" w:rsidRPr="00C25628">
              <w:rPr>
                <w:rFonts w:cs="Arial"/>
                <w:color w:val="262626" w:themeColor="text1" w:themeTint="D9"/>
              </w:rPr>
              <w:t>minimum</w:t>
            </w:r>
            <w:r w:rsidRPr="00C25628">
              <w:rPr>
                <w:rFonts w:cs="Arial"/>
                <w:color w:val="262626" w:themeColor="text1" w:themeTint="D9"/>
              </w:rPr>
              <w:t xml:space="preserve"> dwóch zrealizowanych przez siebie projektów</w:t>
            </w:r>
            <w:r w:rsidR="00865119" w:rsidRPr="00C25628">
              <w:rPr>
                <w:rFonts w:cs="Arial"/>
                <w:color w:val="262626" w:themeColor="text1" w:themeTint="D9"/>
              </w:rPr>
              <w:t xml:space="preserve"> lub kampanii</w:t>
            </w:r>
            <w:r w:rsidR="00A9191E" w:rsidRPr="00C25628">
              <w:rPr>
                <w:rFonts w:cs="Arial"/>
                <w:color w:val="262626" w:themeColor="text1" w:themeTint="D9"/>
              </w:rPr>
              <w:t xml:space="preserve"> (o wartości wskazanej powyżej)</w:t>
            </w:r>
            <w:r w:rsidR="00390DAF" w:rsidRPr="00C25628">
              <w:rPr>
                <w:rFonts w:cs="Arial"/>
                <w:color w:val="262626" w:themeColor="text1" w:themeTint="D9"/>
              </w:rPr>
              <w:t>.</w:t>
            </w:r>
          </w:p>
        </w:tc>
        <w:tc>
          <w:tcPr>
            <w:tcW w:w="3837" w:type="dxa"/>
          </w:tcPr>
          <w:p w:rsidR="00BA5A54" w:rsidRPr="00C25628" w:rsidRDefault="00BA5A54" w:rsidP="00C25628">
            <w:pPr>
              <w:suppressAutoHyphens/>
              <w:spacing w:after="0"/>
              <w:rPr>
                <w:color w:val="262626" w:themeColor="text1" w:themeTint="D9"/>
              </w:rPr>
            </w:pPr>
            <w:r w:rsidRPr="00C25628">
              <w:rPr>
                <w:color w:val="262626" w:themeColor="text1" w:themeTint="D9"/>
              </w:rPr>
              <w:t>Ocena</w:t>
            </w:r>
            <w:r w:rsidR="007E2486" w:rsidRPr="00C25628">
              <w:rPr>
                <w:color w:val="262626" w:themeColor="text1" w:themeTint="D9"/>
              </w:rPr>
              <w:t xml:space="preserve"> formalna</w:t>
            </w:r>
          </w:p>
        </w:tc>
      </w:tr>
      <w:tr w:rsidR="006F4CA9" w:rsidRPr="00C25628" w:rsidTr="0057227E">
        <w:tc>
          <w:tcPr>
            <w:tcW w:w="851" w:type="dxa"/>
          </w:tcPr>
          <w:p w:rsidR="006F4CA9" w:rsidRPr="00C25628" w:rsidRDefault="006F4CA9" w:rsidP="00C25628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4384" w:type="dxa"/>
          </w:tcPr>
          <w:p w:rsidR="00255130" w:rsidRPr="00C25628" w:rsidRDefault="00255130" w:rsidP="00C25628">
            <w:pPr>
              <w:suppressAutoHyphens/>
              <w:spacing w:after="0"/>
              <w:rPr>
                <w:rFonts w:cs="Arial"/>
                <w:color w:val="262626" w:themeColor="text1" w:themeTint="D9"/>
              </w:rPr>
            </w:pPr>
            <w:r w:rsidRPr="00C25628">
              <w:rPr>
                <w:rFonts w:cs="Arial"/>
                <w:color w:val="262626" w:themeColor="text1" w:themeTint="D9"/>
              </w:rPr>
              <w:t xml:space="preserve">Oferent nie </w:t>
            </w:r>
            <w:r w:rsidR="00544711" w:rsidRPr="00C25628">
              <w:rPr>
                <w:rFonts w:cs="Arial"/>
                <w:color w:val="262626" w:themeColor="text1" w:themeTint="D9"/>
              </w:rPr>
              <w:t xml:space="preserve">jest producentem preparatów zastępujących mleko kobiece, nie </w:t>
            </w:r>
            <w:r w:rsidRPr="00C25628">
              <w:rPr>
                <w:rFonts w:cs="Arial"/>
                <w:color w:val="262626" w:themeColor="text1" w:themeTint="D9"/>
              </w:rPr>
              <w:t>został utworzony przez producenta żywności dla dzieci ani preparatów zastępujących mleko kobiece ani inny podmiot związany bezpośrednio z producentem produktów zastępujących mleko kobiece.</w:t>
            </w:r>
          </w:p>
          <w:p w:rsidR="006F4CA9" w:rsidRPr="00C25628" w:rsidRDefault="00255130" w:rsidP="00C25628">
            <w:pPr>
              <w:suppressAutoHyphens/>
              <w:spacing w:after="0"/>
              <w:rPr>
                <w:rFonts w:cs="Arial"/>
                <w:color w:val="262626" w:themeColor="text1" w:themeTint="D9"/>
              </w:rPr>
            </w:pPr>
            <w:r w:rsidRPr="00C25628">
              <w:rPr>
                <w:rFonts w:cs="Arial"/>
                <w:color w:val="262626" w:themeColor="text1" w:themeTint="D9"/>
              </w:rPr>
              <w:t>(wymagane oświadczenie w treści oferty lub jako załącznik)</w:t>
            </w:r>
          </w:p>
        </w:tc>
        <w:tc>
          <w:tcPr>
            <w:tcW w:w="3837" w:type="dxa"/>
          </w:tcPr>
          <w:p w:rsidR="006F4CA9" w:rsidRPr="00C25628" w:rsidRDefault="00255130" w:rsidP="00C25628">
            <w:pPr>
              <w:suppressAutoHyphens/>
              <w:spacing w:after="0"/>
              <w:rPr>
                <w:color w:val="262626" w:themeColor="text1" w:themeTint="D9"/>
              </w:rPr>
            </w:pPr>
            <w:r w:rsidRPr="00C25628">
              <w:rPr>
                <w:color w:val="262626" w:themeColor="text1" w:themeTint="D9"/>
              </w:rPr>
              <w:t>Ocena formalna</w:t>
            </w:r>
          </w:p>
        </w:tc>
      </w:tr>
      <w:tr w:rsidR="00C029CF" w:rsidRPr="00C25628" w:rsidTr="0057227E">
        <w:tc>
          <w:tcPr>
            <w:tcW w:w="851" w:type="dxa"/>
          </w:tcPr>
          <w:p w:rsidR="00C029CF" w:rsidRPr="00C25628" w:rsidRDefault="00C029CF" w:rsidP="00C25628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4384" w:type="dxa"/>
          </w:tcPr>
          <w:p w:rsidR="00C029CF" w:rsidRPr="00C25628" w:rsidRDefault="00C029CF" w:rsidP="00C25628">
            <w:pPr>
              <w:autoSpaceDE w:val="0"/>
              <w:autoSpaceDN w:val="0"/>
              <w:adjustRightInd w:val="0"/>
              <w:spacing w:after="0"/>
              <w:rPr>
                <w:color w:val="262626" w:themeColor="text1" w:themeTint="D9"/>
              </w:rPr>
            </w:pPr>
            <w:r w:rsidRPr="00C25628">
              <w:rPr>
                <w:color w:val="262626" w:themeColor="text1" w:themeTint="D9"/>
              </w:rPr>
              <w:t xml:space="preserve">W przypadku materiałów przeznaczonych do prezentowania na stronach internetowych - dokument powinien być przystosowany do standardu WCAG 2.0,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2016 r. poz. 113, z późn. zm.). </w:t>
            </w:r>
            <w:r w:rsidRPr="00C25628">
              <w:rPr>
                <w:rStyle w:val="Odwoanieprzypisudolnego"/>
                <w:color w:val="262626" w:themeColor="text1" w:themeTint="D9"/>
              </w:rPr>
              <w:footnoteReference w:id="2"/>
            </w:r>
          </w:p>
          <w:p w:rsidR="00DB5B7F" w:rsidRPr="00C25628" w:rsidRDefault="00DB5B7F" w:rsidP="00C25628">
            <w:pPr>
              <w:autoSpaceDE w:val="0"/>
              <w:autoSpaceDN w:val="0"/>
              <w:adjustRightInd w:val="0"/>
              <w:spacing w:after="0"/>
              <w:rPr>
                <w:color w:val="262626" w:themeColor="text1" w:themeTint="D9"/>
              </w:rPr>
            </w:pPr>
            <w:r w:rsidRPr="00C25628">
              <w:rPr>
                <w:color w:val="262626" w:themeColor="text1" w:themeTint="D9"/>
              </w:rPr>
              <w:t>Wymagane oświadczenie w treści oferty lub w załączniku.</w:t>
            </w:r>
          </w:p>
        </w:tc>
        <w:tc>
          <w:tcPr>
            <w:tcW w:w="3837" w:type="dxa"/>
          </w:tcPr>
          <w:p w:rsidR="00C029CF" w:rsidRPr="00C25628" w:rsidRDefault="000B7A90" w:rsidP="00C25628">
            <w:pPr>
              <w:suppressAutoHyphens/>
              <w:spacing w:after="0"/>
              <w:rPr>
                <w:color w:val="262626" w:themeColor="text1" w:themeTint="D9"/>
              </w:rPr>
            </w:pPr>
            <w:r w:rsidRPr="00C25628">
              <w:rPr>
                <w:color w:val="262626" w:themeColor="text1" w:themeTint="D9"/>
              </w:rPr>
              <w:t>Ocena formalna</w:t>
            </w:r>
          </w:p>
        </w:tc>
      </w:tr>
      <w:tr w:rsidR="00C029CF" w:rsidRPr="00C25628" w:rsidTr="0057227E">
        <w:tc>
          <w:tcPr>
            <w:tcW w:w="851" w:type="dxa"/>
          </w:tcPr>
          <w:p w:rsidR="00C029CF" w:rsidRPr="00C25628" w:rsidRDefault="00C029CF" w:rsidP="00C25628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4384" w:type="dxa"/>
          </w:tcPr>
          <w:p w:rsidR="00C029CF" w:rsidRPr="00C25628" w:rsidRDefault="00C029CF" w:rsidP="00C25628">
            <w:pPr>
              <w:suppressAutoHyphens/>
              <w:spacing w:after="0"/>
              <w:rPr>
                <w:color w:val="262626" w:themeColor="text1" w:themeTint="D9"/>
              </w:rPr>
            </w:pPr>
            <w:r w:rsidRPr="00C25628">
              <w:rPr>
                <w:color w:val="262626" w:themeColor="text1" w:themeTint="D9"/>
              </w:rPr>
              <w:t xml:space="preserve">Oferent zobowiąże się, </w:t>
            </w:r>
            <w:r w:rsidR="000B7A90" w:rsidRPr="00C25628">
              <w:rPr>
                <w:color w:val="262626" w:themeColor="text1" w:themeTint="D9"/>
              </w:rPr>
              <w:t>poprzez odpowiednie zapisy</w:t>
            </w:r>
            <w:r w:rsidR="00442E44" w:rsidRPr="00C25628">
              <w:rPr>
                <w:color w:val="262626" w:themeColor="text1" w:themeTint="D9"/>
              </w:rPr>
              <w:t xml:space="preserve"> w ofercie</w:t>
            </w:r>
            <w:r w:rsidR="000B7A90" w:rsidRPr="00C25628">
              <w:rPr>
                <w:color w:val="262626" w:themeColor="text1" w:themeTint="D9"/>
              </w:rPr>
              <w:t xml:space="preserve">, </w:t>
            </w:r>
            <w:r w:rsidRPr="00C25628">
              <w:rPr>
                <w:color w:val="262626" w:themeColor="text1" w:themeTint="D9"/>
              </w:rPr>
              <w:t xml:space="preserve">że wytworzone produkty (utwory), w tym materiały informacyjno-edukacyjne, opracowane w wersji papierowej lub  </w:t>
            </w:r>
            <w:r w:rsidR="00B32866" w:rsidRPr="00C25628">
              <w:rPr>
                <w:color w:val="262626" w:themeColor="text1" w:themeTint="D9"/>
              </w:rPr>
              <w:t>cyfrowej</w:t>
            </w:r>
            <w:r w:rsidRPr="00C25628">
              <w:rPr>
                <w:color w:val="262626" w:themeColor="text1" w:themeTint="D9"/>
              </w:rPr>
              <w:t xml:space="preserve"> zostaną przekazane do Ministerstwa Zdrowia także w formie edytowalnej, na nośniku elektronicznym.</w:t>
            </w:r>
          </w:p>
        </w:tc>
        <w:tc>
          <w:tcPr>
            <w:tcW w:w="3837" w:type="dxa"/>
          </w:tcPr>
          <w:p w:rsidR="00C029CF" w:rsidRPr="00C25628" w:rsidRDefault="000B7A90" w:rsidP="00C25628">
            <w:pPr>
              <w:suppressAutoHyphens/>
              <w:spacing w:after="0"/>
              <w:rPr>
                <w:color w:val="262626" w:themeColor="text1" w:themeTint="D9"/>
              </w:rPr>
            </w:pPr>
            <w:r w:rsidRPr="00C25628">
              <w:rPr>
                <w:color w:val="262626" w:themeColor="text1" w:themeTint="D9"/>
              </w:rPr>
              <w:t>Ocena formalna</w:t>
            </w:r>
          </w:p>
        </w:tc>
      </w:tr>
      <w:tr w:rsidR="00C029CF" w:rsidRPr="00C25628" w:rsidTr="0057227E">
        <w:trPr>
          <w:trHeight w:val="771"/>
        </w:trPr>
        <w:tc>
          <w:tcPr>
            <w:tcW w:w="851" w:type="dxa"/>
          </w:tcPr>
          <w:p w:rsidR="00C029CF" w:rsidRPr="00C25628" w:rsidRDefault="00C029CF" w:rsidP="00C25628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4384" w:type="dxa"/>
          </w:tcPr>
          <w:p w:rsidR="00C029CF" w:rsidRPr="00C25628" w:rsidRDefault="00C029CF" w:rsidP="00C25628">
            <w:pPr>
              <w:spacing w:after="0"/>
              <w:rPr>
                <w:color w:val="262626" w:themeColor="text1" w:themeTint="D9"/>
              </w:rPr>
            </w:pPr>
            <w:r w:rsidRPr="00C25628">
              <w:rPr>
                <w:rFonts w:cs="Century Gothic"/>
                <w:color w:val="262626" w:themeColor="text1" w:themeTint="D9"/>
              </w:rPr>
              <w:t>Oferent określi wskaźniki rezultatu bezpośredniego – odnoszące się do sytuacji bezpośrednio po zakończeniu wsparcia, tj. w przypadku osób lub podmiotów – po zakończeniu ich udziału w projekcie oraz przedstawi planowany sposób ich pomiaru.</w:t>
            </w:r>
          </w:p>
        </w:tc>
        <w:tc>
          <w:tcPr>
            <w:tcW w:w="3837" w:type="dxa"/>
          </w:tcPr>
          <w:p w:rsidR="00C029CF" w:rsidRPr="00C25628" w:rsidRDefault="00C029CF" w:rsidP="00C25628">
            <w:pPr>
              <w:spacing w:after="0"/>
              <w:rPr>
                <w:color w:val="262626" w:themeColor="text1" w:themeTint="D9"/>
              </w:rPr>
            </w:pPr>
            <w:r w:rsidRPr="00C25628">
              <w:rPr>
                <w:color w:val="262626" w:themeColor="text1" w:themeTint="D9"/>
              </w:rPr>
              <w:t>Ocena formalna</w:t>
            </w:r>
          </w:p>
        </w:tc>
      </w:tr>
      <w:tr w:rsidR="00C029CF" w:rsidRPr="00C25628" w:rsidTr="0057227E">
        <w:tc>
          <w:tcPr>
            <w:tcW w:w="851" w:type="dxa"/>
          </w:tcPr>
          <w:p w:rsidR="00C029CF" w:rsidRPr="00C25628" w:rsidRDefault="00C029CF" w:rsidP="00C25628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4384" w:type="dxa"/>
          </w:tcPr>
          <w:p w:rsidR="00C029CF" w:rsidRPr="00C25628" w:rsidRDefault="00C029CF" w:rsidP="00C25628">
            <w:pPr>
              <w:pStyle w:val="Default"/>
              <w:spacing w:line="276" w:lineRule="auto"/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 w:rsidRPr="00C25628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Oferent zagwarantuje, </w:t>
            </w:r>
            <w:r w:rsidR="001F226B" w:rsidRPr="00C25628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poprzez odpowiednie zapisy w ofercie, </w:t>
            </w:r>
            <w:r w:rsidRPr="00C25628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że dokona wyboru, zgodnie z zasadami konkurencyjności, określonymi w części B ogłoszenia, niezależnego podmiotu, który przeprowadzi ewaluację realizacji zadania opisanego w ogłoszenia konkursowym oraz wesprze go w osiągnięciu zakładanych efektów. </w:t>
            </w:r>
          </w:p>
          <w:p w:rsidR="00EE47F4" w:rsidRPr="00C25628" w:rsidRDefault="00EE47F4" w:rsidP="00C25628">
            <w:pPr>
              <w:spacing w:after="0"/>
              <w:rPr>
                <w:rFonts w:cs="Arial"/>
              </w:rPr>
            </w:pPr>
            <w:r w:rsidRPr="00C25628">
              <w:rPr>
                <w:rFonts w:cs="Arial"/>
              </w:rPr>
              <w:t>Celem ewaluacji będzie monitorowanie, ocena procesu wdrażania zadania i jego efektywność w odniesieniu do celu zadania, z</w:t>
            </w:r>
            <w:r w:rsidR="00C10DE3" w:rsidRPr="00C25628">
              <w:rPr>
                <w:rFonts w:cs="Arial"/>
              </w:rPr>
              <w:t> </w:t>
            </w:r>
            <w:r w:rsidRPr="00C25628">
              <w:rPr>
                <w:rFonts w:cs="Arial"/>
              </w:rPr>
              <w:t>uwzględnieniem m.in. następujących kryteriów ewaluacji:</w:t>
            </w:r>
          </w:p>
          <w:p w:rsidR="00EE47F4" w:rsidRPr="00C25628" w:rsidRDefault="00EE47F4" w:rsidP="00C25628">
            <w:pPr>
              <w:pStyle w:val="Akapitzlist"/>
              <w:numPr>
                <w:ilvl w:val="0"/>
                <w:numId w:val="12"/>
              </w:numPr>
              <w:spacing w:after="0"/>
              <w:ind w:left="288" w:hanging="288"/>
              <w:contextualSpacing w:val="0"/>
              <w:rPr>
                <w:rFonts w:cs="Arial"/>
              </w:rPr>
            </w:pPr>
            <w:r w:rsidRPr="00C25628">
              <w:rPr>
                <w:rFonts w:cs="Arial"/>
              </w:rPr>
              <w:t xml:space="preserve">trafność – stopień dopasowania treści szkolenia oraz kanałów komunikowania do potrzeb grup docelowych, </w:t>
            </w:r>
          </w:p>
          <w:p w:rsidR="00EE47F4" w:rsidRPr="00C25628" w:rsidRDefault="00EE47F4" w:rsidP="00C25628">
            <w:pPr>
              <w:pStyle w:val="Akapitzlist"/>
              <w:numPr>
                <w:ilvl w:val="0"/>
                <w:numId w:val="12"/>
              </w:numPr>
              <w:spacing w:after="0"/>
              <w:ind w:left="288" w:hanging="288"/>
              <w:contextualSpacing w:val="0"/>
              <w:rPr>
                <w:rFonts w:cs="Arial"/>
              </w:rPr>
            </w:pPr>
            <w:r w:rsidRPr="00C25628">
              <w:rPr>
                <w:rFonts w:cs="Arial"/>
              </w:rPr>
              <w:t>skuteczność – stopień realizacji celów i osiągnięcia wskaźników określonych dla przedsięwzięcia,</w:t>
            </w:r>
          </w:p>
          <w:p w:rsidR="001F226B" w:rsidRPr="00C25628" w:rsidRDefault="00EE47F4" w:rsidP="00C25628">
            <w:pPr>
              <w:pStyle w:val="Akapitzlist"/>
              <w:numPr>
                <w:ilvl w:val="0"/>
                <w:numId w:val="12"/>
              </w:numPr>
              <w:spacing w:after="0"/>
              <w:ind w:left="288" w:hanging="288"/>
              <w:contextualSpacing w:val="0"/>
              <w:rPr>
                <w:color w:val="262626" w:themeColor="text1" w:themeTint="D9"/>
              </w:rPr>
            </w:pPr>
            <w:r w:rsidRPr="00C25628">
              <w:rPr>
                <w:rFonts w:cs="Arial"/>
              </w:rPr>
              <w:t xml:space="preserve">efektywność – stosunek poniesionych nakładów do uzyskanych efektów działań </w:t>
            </w:r>
            <w:r w:rsidRPr="00C25628">
              <w:rPr>
                <w:rFonts w:cs="Arial"/>
              </w:rPr>
              <w:br/>
              <w:t>w praktyce.</w:t>
            </w:r>
          </w:p>
        </w:tc>
        <w:tc>
          <w:tcPr>
            <w:tcW w:w="3837" w:type="dxa"/>
          </w:tcPr>
          <w:p w:rsidR="00C029CF" w:rsidRPr="00C25628" w:rsidRDefault="000B7A90" w:rsidP="00C25628">
            <w:pPr>
              <w:spacing w:after="0"/>
              <w:rPr>
                <w:color w:val="262626" w:themeColor="text1" w:themeTint="D9"/>
              </w:rPr>
            </w:pPr>
            <w:r w:rsidRPr="00C25628">
              <w:rPr>
                <w:color w:val="262626" w:themeColor="text1" w:themeTint="D9"/>
              </w:rPr>
              <w:t>Ocena formalna</w:t>
            </w:r>
          </w:p>
        </w:tc>
      </w:tr>
      <w:tr w:rsidR="00865119" w:rsidRPr="00C25628" w:rsidTr="0057227E">
        <w:tc>
          <w:tcPr>
            <w:tcW w:w="851" w:type="dxa"/>
          </w:tcPr>
          <w:p w:rsidR="00865119" w:rsidRPr="00C25628" w:rsidRDefault="00865119" w:rsidP="00C25628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4384" w:type="dxa"/>
          </w:tcPr>
          <w:p w:rsidR="00865119" w:rsidRPr="00C25628" w:rsidRDefault="00865119" w:rsidP="00C25628">
            <w:pPr>
              <w:pStyle w:val="Default"/>
              <w:spacing w:line="276" w:lineRule="auto"/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</w:pPr>
            <w:r w:rsidRPr="00C25628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Oferent wykaże zasoby kadrowe, z których będzie korzystał przy realizacji kampanii, w tym ekspertów </w:t>
            </w:r>
            <w:r w:rsidR="000B6486" w:rsidRPr="00C25628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z którymi będzie współpracował </w:t>
            </w:r>
            <w:r w:rsidRPr="00C25628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(imię, nazwisko, wykształcenie, ew</w:t>
            </w:r>
            <w:r w:rsidR="000B6486" w:rsidRPr="00C25628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>entualne</w:t>
            </w:r>
            <w:r w:rsidRPr="00C25628">
              <w:rPr>
                <w:rFonts w:asciiTheme="minorHAnsi" w:hAnsiTheme="minorHAnsi"/>
                <w:color w:val="262626" w:themeColor="text1" w:themeTint="D9"/>
                <w:sz w:val="22"/>
                <w:szCs w:val="22"/>
              </w:rPr>
              <w:t xml:space="preserve"> publikacje) oraz zakres ich zadań.</w:t>
            </w:r>
          </w:p>
        </w:tc>
        <w:tc>
          <w:tcPr>
            <w:tcW w:w="3837" w:type="dxa"/>
          </w:tcPr>
          <w:p w:rsidR="00865119" w:rsidRPr="00C25628" w:rsidRDefault="00865119" w:rsidP="00C25628">
            <w:pPr>
              <w:spacing w:after="0"/>
              <w:rPr>
                <w:color w:val="262626" w:themeColor="text1" w:themeTint="D9"/>
              </w:rPr>
            </w:pPr>
            <w:r w:rsidRPr="00C25628">
              <w:rPr>
                <w:color w:val="262626" w:themeColor="text1" w:themeTint="D9"/>
              </w:rPr>
              <w:t>Ocena formalna</w:t>
            </w:r>
          </w:p>
        </w:tc>
      </w:tr>
      <w:tr w:rsidR="00312548" w:rsidRPr="00C25628" w:rsidTr="00312548">
        <w:tc>
          <w:tcPr>
            <w:tcW w:w="851" w:type="dxa"/>
          </w:tcPr>
          <w:p w:rsidR="00312548" w:rsidRPr="00C25628" w:rsidRDefault="00312548" w:rsidP="00C25628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4384" w:type="dxa"/>
          </w:tcPr>
          <w:p w:rsidR="00312548" w:rsidRPr="00C25628" w:rsidRDefault="00312548" w:rsidP="00C2562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2562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Oferent wskaże zasoby techniczne, z których będzie korzystał przy realizacji zadania. </w:t>
            </w:r>
          </w:p>
        </w:tc>
        <w:tc>
          <w:tcPr>
            <w:tcW w:w="3837" w:type="dxa"/>
          </w:tcPr>
          <w:p w:rsidR="00312548" w:rsidRPr="00C25628" w:rsidRDefault="00312548" w:rsidP="00C25628">
            <w:pPr>
              <w:suppressAutoHyphens/>
              <w:spacing w:after="0"/>
              <w:rPr>
                <w:rFonts w:cs="Calibri"/>
              </w:rPr>
            </w:pPr>
            <w:r w:rsidRPr="00C25628">
              <w:rPr>
                <w:color w:val="262626" w:themeColor="text1" w:themeTint="D9"/>
              </w:rPr>
              <w:t>Ocena formalna</w:t>
            </w:r>
          </w:p>
        </w:tc>
      </w:tr>
      <w:tr w:rsidR="00496717" w:rsidRPr="00C25628" w:rsidTr="0057227E">
        <w:tc>
          <w:tcPr>
            <w:tcW w:w="851" w:type="dxa"/>
          </w:tcPr>
          <w:p w:rsidR="00496717" w:rsidRPr="00C25628" w:rsidRDefault="00496717" w:rsidP="00C25628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4384" w:type="dxa"/>
          </w:tcPr>
          <w:p w:rsidR="00496717" w:rsidRPr="00C25628" w:rsidRDefault="009E1555" w:rsidP="00BB2BDD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25628">
              <w:rPr>
                <w:rFonts w:asciiTheme="minorHAnsi" w:hAnsiTheme="minorHAnsi"/>
                <w:sz w:val="22"/>
                <w:szCs w:val="22"/>
              </w:rPr>
              <w:t xml:space="preserve">Oferent przedstawi koncepcję kampanii promocyjnej oraz szczegółowy sposób realizacji zadania, w tym określi kanały komunikacji, które zostaną wykorzystane w celu promocji karmienia piersią (np. audycje radiowe, telewizyjne (np. programy śniadaniowe), billboardy, wywiady prasowe, filmy, konkursy itd.) oraz przedstawi co najmniej 3 odmienne koncepcje kreatywne </w:t>
            </w:r>
            <w:r w:rsidR="00BB2BDD">
              <w:rPr>
                <w:rFonts w:asciiTheme="minorHAnsi" w:hAnsiTheme="minorHAnsi"/>
                <w:sz w:val="22"/>
                <w:szCs w:val="22"/>
              </w:rPr>
              <w:t>głównych</w:t>
            </w:r>
            <w:r w:rsidRPr="00C25628">
              <w:rPr>
                <w:rFonts w:asciiTheme="minorHAnsi" w:hAnsiTheme="minorHAnsi"/>
                <w:sz w:val="22"/>
                <w:szCs w:val="22"/>
              </w:rPr>
              <w:t xml:space="preserve"> produktów</w:t>
            </w:r>
            <w:r w:rsidR="00BB2BDD">
              <w:rPr>
                <w:rFonts w:asciiTheme="minorHAnsi" w:hAnsiTheme="minorHAnsi"/>
                <w:sz w:val="22"/>
                <w:szCs w:val="22"/>
              </w:rPr>
              <w:t xml:space="preserve">/materiałów </w:t>
            </w:r>
            <w:r w:rsidR="00BB2BDD" w:rsidRPr="00C25628">
              <w:rPr>
                <w:rFonts w:asciiTheme="minorHAnsi" w:hAnsiTheme="minorHAnsi"/>
                <w:sz w:val="22"/>
                <w:szCs w:val="22"/>
              </w:rPr>
              <w:t>opracowywanych</w:t>
            </w:r>
            <w:r w:rsidR="00BB2BDD">
              <w:rPr>
                <w:rFonts w:asciiTheme="minorHAnsi" w:hAnsiTheme="minorHAnsi"/>
                <w:sz w:val="22"/>
                <w:szCs w:val="22"/>
              </w:rPr>
              <w:t xml:space="preserve"> w ramach kampanii</w:t>
            </w:r>
            <w:r w:rsidRPr="00C2562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837" w:type="dxa"/>
          </w:tcPr>
          <w:p w:rsidR="00496717" w:rsidRPr="00C25628" w:rsidRDefault="00496717" w:rsidP="00C25628">
            <w:pPr>
              <w:suppressAutoHyphens/>
              <w:spacing w:after="0"/>
              <w:rPr>
                <w:rFonts w:cs="Calibri"/>
              </w:rPr>
            </w:pPr>
            <w:r w:rsidRPr="00C25628">
              <w:rPr>
                <w:rFonts w:cs="Calibri"/>
              </w:rPr>
              <w:t>Ocena merytoryczna</w:t>
            </w:r>
          </w:p>
        </w:tc>
      </w:tr>
      <w:tr w:rsidR="00BB0026" w:rsidRPr="00C25628" w:rsidTr="0057227E">
        <w:tc>
          <w:tcPr>
            <w:tcW w:w="851" w:type="dxa"/>
          </w:tcPr>
          <w:p w:rsidR="00BB0026" w:rsidRPr="00C25628" w:rsidRDefault="00BB0026" w:rsidP="00C25628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4384" w:type="dxa"/>
          </w:tcPr>
          <w:p w:rsidR="00BB0026" w:rsidRPr="00C25628" w:rsidRDefault="00BB0026" w:rsidP="00C2562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2562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Oferent zapewni udział w kampanii personelu medycznego zaangażowanego w promocję karmienia piersią oraz aktywistek promujących karmienie piersią lub kobiet, które karmiły dzieci powyżej 1 roku życia.  </w:t>
            </w:r>
          </w:p>
        </w:tc>
        <w:tc>
          <w:tcPr>
            <w:tcW w:w="3837" w:type="dxa"/>
          </w:tcPr>
          <w:p w:rsidR="00BB0026" w:rsidRPr="00C25628" w:rsidRDefault="00BB0026" w:rsidP="00C25628">
            <w:pPr>
              <w:suppressAutoHyphens/>
              <w:spacing w:after="0"/>
              <w:rPr>
                <w:rFonts w:cs="Calibri"/>
              </w:rPr>
            </w:pPr>
            <w:r w:rsidRPr="00C25628">
              <w:rPr>
                <w:rFonts w:cs="Calibri"/>
              </w:rPr>
              <w:t>Ocena merytoryczna</w:t>
            </w:r>
          </w:p>
        </w:tc>
      </w:tr>
      <w:tr w:rsidR="00255130" w:rsidRPr="00C25628" w:rsidTr="0057227E">
        <w:tc>
          <w:tcPr>
            <w:tcW w:w="851" w:type="dxa"/>
          </w:tcPr>
          <w:p w:rsidR="00255130" w:rsidRPr="00C25628" w:rsidRDefault="00255130" w:rsidP="00C25628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4384" w:type="dxa"/>
          </w:tcPr>
          <w:p w:rsidR="00255130" w:rsidRPr="00C25628" w:rsidRDefault="00A9191E" w:rsidP="00C25628">
            <w:pPr>
              <w:suppressAutoHyphens/>
              <w:spacing w:after="0"/>
              <w:rPr>
                <w:rFonts w:cs="Arial"/>
                <w:color w:val="262626" w:themeColor="text1" w:themeTint="D9"/>
              </w:rPr>
            </w:pPr>
            <w:r w:rsidRPr="00C25628">
              <w:rPr>
                <w:rFonts w:cs="Arial"/>
                <w:color w:val="262626" w:themeColor="text1" w:themeTint="D9"/>
              </w:rPr>
              <w:t xml:space="preserve">Kampania promocyjna będzie trwała co najmniej </w:t>
            </w:r>
            <w:r w:rsidR="00C713E7" w:rsidRPr="00C25628">
              <w:rPr>
                <w:rFonts w:cs="Arial"/>
                <w:color w:val="262626" w:themeColor="text1" w:themeTint="D9"/>
              </w:rPr>
              <w:t>2 miesiące</w:t>
            </w:r>
            <w:r w:rsidRPr="00C25628">
              <w:rPr>
                <w:rFonts w:cs="Arial"/>
                <w:color w:val="262626" w:themeColor="text1" w:themeTint="D9"/>
              </w:rPr>
              <w:t xml:space="preserve">. </w:t>
            </w:r>
            <w:r w:rsidR="00255130" w:rsidRPr="00C25628">
              <w:rPr>
                <w:rFonts w:cs="Arial"/>
                <w:color w:val="262626" w:themeColor="text1" w:themeTint="D9"/>
              </w:rPr>
              <w:t xml:space="preserve"> </w:t>
            </w:r>
          </w:p>
        </w:tc>
        <w:tc>
          <w:tcPr>
            <w:tcW w:w="3837" w:type="dxa"/>
          </w:tcPr>
          <w:p w:rsidR="00255130" w:rsidRPr="00C25628" w:rsidRDefault="00255130" w:rsidP="00C25628">
            <w:pPr>
              <w:suppressAutoHyphens/>
              <w:spacing w:after="0"/>
              <w:rPr>
                <w:color w:val="262626" w:themeColor="text1" w:themeTint="D9"/>
              </w:rPr>
            </w:pPr>
            <w:r w:rsidRPr="00C25628">
              <w:rPr>
                <w:color w:val="262626" w:themeColor="text1" w:themeTint="D9"/>
              </w:rPr>
              <w:t>Ocena merytoryczna</w:t>
            </w:r>
          </w:p>
        </w:tc>
      </w:tr>
      <w:tr w:rsidR="00255130" w:rsidRPr="00C25628" w:rsidTr="0057227E">
        <w:tc>
          <w:tcPr>
            <w:tcW w:w="851" w:type="dxa"/>
          </w:tcPr>
          <w:p w:rsidR="00255130" w:rsidRPr="00C25628" w:rsidDel="006F4CA9" w:rsidRDefault="00255130" w:rsidP="00C25628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4384" w:type="dxa"/>
          </w:tcPr>
          <w:p w:rsidR="00255130" w:rsidRPr="00C25628" w:rsidDel="00D503C0" w:rsidRDefault="005D6859" w:rsidP="00C2562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2562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Kampania będzie </w:t>
            </w:r>
            <w:r w:rsidR="003D0D8D" w:rsidRPr="00C25628">
              <w:rPr>
                <w:rFonts w:asciiTheme="minorHAnsi" w:hAnsiTheme="minorHAnsi"/>
                <w:color w:val="auto"/>
                <w:sz w:val="22"/>
                <w:szCs w:val="22"/>
              </w:rPr>
              <w:t>miał</w:t>
            </w:r>
            <w:r w:rsidRPr="00C25628">
              <w:rPr>
                <w:rFonts w:asciiTheme="minorHAnsi" w:hAnsiTheme="minorHAnsi"/>
                <w:color w:val="auto"/>
                <w:sz w:val="22"/>
                <w:szCs w:val="22"/>
              </w:rPr>
              <w:t>a</w:t>
            </w:r>
            <w:r w:rsidR="003D0D8D" w:rsidRPr="00C2562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zasięg </w:t>
            </w:r>
            <w:r w:rsidR="000B5E5F" w:rsidRPr="00C25628">
              <w:rPr>
                <w:rFonts w:asciiTheme="minorHAnsi" w:hAnsiTheme="minorHAnsi"/>
                <w:color w:val="auto"/>
                <w:sz w:val="22"/>
                <w:szCs w:val="22"/>
              </w:rPr>
              <w:t>ogólnopolski.</w:t>
            </w:r>
            <w:r w:rsidR="00EE6F1C" w:rsidRPr="00C2562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37" w:type="dxa"/>
          </w:tcPr>
          <w:p w:rsidR="00255130" w:rsidRPr="00C25628" w:rsidRDefault="003D0D8D" w:rsidP="00C25628">
            <w:pPr>
              <w:suppressAutoHyphens/>
              <w:spacing w:after="0"/>
              <w:rPr>
                <w:rFonts w:cs="Calibri"/>
              </w:rPr>
            </w:pPr>
            <w:r w:rsidRPr="00C25628">
              <w:rPr>
                <w:rFonts w:cs="Calibri"/>
              </w:rPr>
              <w:t>Ocena merytoryczna</w:t>
            </w:r>
          </w:p>
        </w:tc>
      </w:tr>
      <w:tr w:rsidR="00B43C44" w:rsidRPr="00C25628" w:rsidTr="0057227E">
        <w:tc>
          <w:tcPr>
            <w:tcW w:w="851" w:type="dxa"/>
          </w:tcPr>
          <w:p w:rsidR="00B43C44" w:rsidRPr="00C25628" w:rsidRDefault="00B43C44" w:rsidP="00C25628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4384" w:type="dxa"/>
          </w:tcPr>
          <w:p w:rsidR="00B43C44" w:rsidRPr="00C25628" w:rsidRDefault="00B43C44" w:rsidP="00C2562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2562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Oferent zagwarantuje poprzez odpowiednie zapisy w ofercie, że w opracowanych materiałach oraz w ramach przeprowadzanych działań będzie promował korzystanie z poradnika karmienia piersią dostępnego na stronie Ministra Zdrowia </w:t>
            </w:r>
            <w:hyperlink r:id="rId10" w:history="1">
              <w:r w:rsidRPr="00C25628">
                <w:rPr>
                  <w:rStyle w:val="Hipercze"/>
                  <w:rFonts w:asciiTheme="minorHAnsi" w:hAnsiTheme="minorHAnsi" w:cs="Calibri"/>
                  <w:sz w:val="22"/>
                  <w:szCs w:val="22"/>
                </w:rPr>
                <w:t>https://www.gov.pl/zdrowie/karmienie-piersia</w:t>
              </w:r>
            </w:hyperlink>
            <w:r w:rsidRPr="00C2562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37" w:type="dxa"/>
          </w:tcPr>
          <w:p w:rsidR="00B43C44" w:rsidRPr="00C25628" w:rsidRDefault="00B43C44" w:rsidP="00C25628">
            <w:pPr>
              <w:suppressAutoHyphens/>
              <w:spacing w:after="0"/>
              <w:rPr>
                <w:color w:val="262626" w:themeColor="text1" w:themeTint="D9"/>
              </w:rPr>
            </w:pPr>
            <w:r w:rsidRPr="00C25628">
              <w:rPr>
                <w:color w:val="262626" w:themeColor="text1" w:themeTint="D9"/>
              </w:rPr>
              <w:t>Ocena merytoryczna</w:t>
            </w:r>
          </w:p>
        </w:tc>
      </w:tr>
      <w:tr w:rsidR="00F2637D" w:rsidRPr="00C25628" w:rsidTr="0057227E">
        <w:tc>
          <w:tcPr>
            <w:tcW w:w="851" w:type="dxa"/>
          </w:tcPr>
          <w:p w:rsidR="00F2637D" w:rsidRPr="00C25628" w:rsidRDefault="00F2637D" w:rsidP="00C25628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4384" w:type="dxa"/>
          </w:tcPr>
          <w:p w:rsidR="00F2637D" w:rsidRPr="00C25628" w:rsidRDefault="00F2637D" w:rsidP="00C2562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25628">
              <w:rPr>
                <w:rFonts w:asciiTheme="minorHAnsi" w:hAnsiTheme="minorHAnsi"/>
                <w:color w:val="auto"/>
                <w:sz w:val="22"/>
                <w:szCs w:val="22"/>
              </w:rPr>
              <w:t>Oferent zobowiąże się poprzez odpowiedni zapisy w ofercie, że będzie upowszechniał aktualną wiedzę o karmieniu piersią, spójną z poradnikiem i magazynem dotyczącymi karmienia piersią opublikowanymi na stronie Ministerstwa Zdrowia</w:t>
            </w:r>
          </w:p>
        </w:tc>
        <w:tc>
          <w:tcPr>
            <w:tcW w:w="3837" w:type="dxa"/>
          </w:tcPr>
          <w:p w:rsidR="00F2637D" w:rsidRPr="00C25628" w:rsidRDefault="00F2637D" w:rsidP="00C25628">
            <w:pPr>
              <w:suppressAutoHyphens/>
              <w:spacing w:after="0"/>
              <w:rPr>
                <w:color w:val="262626" w:themeColor="text1" w:themeTint="D9"/>
              </w:rPr>
            </w:pPr>
            <w:r w:rsidRPr="00C25628">
              <w:rPr>
                <w:color w:val="262626" w:themeColor="text1" w:themeTint="D9"/>
              </w:rPr>
              <w:t>Ocena merytoryczna</w:t>
            </w:r>
          </w:p>
        </w:tc>
      </w:tr>
      <w:tr w:rsidR="00865119" w:rsidRPr="00C25628" w:rsidTr="0057227E">
        <w:tc>
          <w:tcPr>
            <w:tcW w:w="851" w:type="dxa"/>
          </w:tcPr>
          <w:p w:rsidR="00865119" w:rsidRPr="00C25628" w:rsidRDefault="00865119" w:rsidP="00C25628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4384" w:type="dxa"/>
          </w:tcPr>
          <w:p w:rsidR="00865119" w:rsidRPr="00C25628" w:rsidRDefault="00865119" w:rsidP="00C2562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25628">
              <w:rPr>
                <w:rFonts w:asciiTheme="minorHAnsi" w:hAnsiTheme="minorHAnsi"/>
                <w:color w:val="auto"/>
                <w:sz w:val="22"/>
                <w:szCs w:val="22"/>
              </w:rPr>
              <w:t>Oferent zapewni recenzję opracowywanych materiałów promocyjno-edukacyjnych przez przedstawiciela zawodu medycznego z tytułem IBCLC lub ukończonym kursem „edukacja i wsparcie kobiety w okresie laktacji”.</w:t>
            </w:r>
          </w:p>
        </w:tc>
        <w:tc>
          <w:tcPr>
            <w:tcW w:w="3837" w:type="dxa"/>
          </w:tcPr>
          <w:p w:rsidR="00865119" w:rsidRPr="00C25628" w:rsidRDefault="00865119" w:rsidP="00C25628">
            <w:pPr>
              <w:suppressAutoHyphens/>
              <w:spacing w:after="0"/>
              <w:rPr>
                <w:color w:val="262626" w:themeColor="text1" w:themeTint="D9"/>
              </w:rPr>
            </w:pPr>
            <w:r w:rsidRPr="00C25628">
              <w:rPr>
                <w:color w:val="262626" w:themeColor="text1" w:themeTint="D9"/>
              </w:rPr>
              <w:t>Ocena merytoryczna</w:t>
            </w:r>
          </w:p>
        </w:tc>
      </w:tr>
      <w:tr w:rsidR="001D26F4" w:rsidRPr="00C25628" w:rsidTr="00312548">
        <w:tc>
          <w:tcPr>
            <w:tcW w:w="851" w:type="dxa"/>
          </w:tcPr>
          <w:p w:rsidR="001D26F4" w:rsidRPr="00C25628" w:rsidRDefault="001D26F4" w:rsidP="00C25628">
            <w:pPr>
              <w:pStyle w:val="Akapitzlist"/>
              <w:numPr>
                <w:ilvl w:val="0"/>
                <w:numId w:val="14"/>
              </w:numPr>
              <w:spacing w:after="0"/>
            </w:pPr>
          </w:p>
        </w:tc>
        <w:tc>
          <w:tcPr>
            <w:tcW w:w="4384" w:type="dxa"/>
          </w:tcPr>
          <w:p w:rsidR="001D26F4" w:rsidRPr="00C25628" w:rsidRDefault="001D26F4" w:rsidP="00C25628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25628">
              <w:rPr>
                <w:rFonts w:asciiTheme="minorHAnsi" w:hAnsiTheme="minorHAnsi"/>
                <w:sz w:val="22"/>
                <w:szCs w:val="22"/>
              </w:rPr>
              <w:t xml:space="preserve">W ramach realizowanej kampanii oferent zagwarantuje realizację co najmniej jednej z zaproponowanych w treści ogłoszenia form promocji karmienia piersią. </w:t>
            </w:r>
          </w:p>
        </w:tc>
        <w:tc>
          <w:tcPr>
            <w:tcW w:w="3837" w:type="dxa"/>
          </w:tcPr>
          <w:p w:rsidR="001D26F4" w:rsidRPr="00C25628" w:rsidRDefault="001D26F4" w:rsidP="00C25628">
            <w:pPr>
              <w:suppressAutoHyphens/>
              <w:spacing w:after="0"/>
              <w:rPr>
                <w:color w:val="262626" w:themeColor="text1" w:themeTint="D9"/>
              </w:rPr>
            </w:pPr>
            <w:r w:rsidRPr="00C25628">
              <w:rPr>
                <w:color w:val="262626" w:themeColor="text1" w:themeTint="D9"/>
              </w:rPr>
              <w:t>Ocena merytoryczna</w:t>
            </w:r>
          </w:p>
        </w:tc>
      </w:tr>
    </w:tbl>
    <w:p w:rsidR="00085E42" w:rsidRDefault="00085E42" w:rsidP="00975AEE">
      <w:pPr>
        <w:pStyle w:val="Akapitzlist"/>
        <w:spacing w:after="0"/>
        <w:ind w:left="0"/>
        <w:contextualSpacing w:val="0"/>
        <w:jc w:val="both"/>
        <w:rPr>
          <w:b/>
        </w:rPr>
      </w:pPr>
    </w:p>
    <w:p w:rsidR="00975AEE" w:rsidRPr="00666E26" w:rsidRDefault="00975AEE" w:rsidP="00FC6443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ind w:left="0"/>
        <w:contextualSpacing w:val="0"/>
        <w:jc w:val="both"/>
        <w:rPr>
          <w:rStyle w:val="Tytuksiki"/>
          <w:sz w:val="28"/>
          <w:szCs w:val="28"/>
        </w:rPr>
      </w:pPr>
      <w:r w:rsidRPr="00666E26">
        <w:rPr>
          <w:rStyle w:val="Tytuksiki"/>
          <w:sz w:val="28"/>
          <w:szCs w:val="28"/>
        </w:rPr>
        <w:t>Wysokość środków przeznaczonych na realizację zadania</w:t>
      </w:r>
    </w:p>
    <w:p w:rsidR="00730687" w:rsidRPr="00730687" w:rsidRDefault="00CF092A">
      <w:pPr>
        <w:spacing w:after="120"/>
        <w:jc w:val="both"/>
      </w:pPr>
      <w:r>
        <w:t xml:space="preserve">Na realizację zadania w ramach ogłaszanego </w:t>
      </w:r>
      <w:r w:rsidR="000065F6">
        <w:t xml:space="preserve">konkursu przeznaczono </w:t>
      </w:r>
      <w:r>
        <w:t>dotację celową w</w:t>
      </w:r>
      <w:r w:rsidR="00C10DE3">
        <w:t> </w:t>
      </w:r>
      <w:r w:rsidR="000065F6" w:rsidRPr="000065F6">
        <w:t xml:space="preserve">kwocie </w:t>
      </w:r>
      <w:r w:rsidR="00797FBF" w:rsidRPr="00797FBF">
        <w:t>2</w:t>
      </w:r>
      <w:r w:rsidR="00797FBF">
        <w:t> </w:t>
      </w:r>
      <w:r w:rsidR="00F772FF">
        <w:t>62</w:t>
      </w:r>
      <w:r w:rsidR="00797FBF" w:rsidRPr="00797FBF">
        <w:t>6</w:t>
      </w:r>
      <w:r w:rsidR="00797FBF">
        <w:t xml:space="preserve"> </w:t>
      </w:r>
      <w:r w:rsidR="00927620">
        <w:t>00</w:t>
      </w:r>
      <w:r w:rsidR="00797FBF" w:rsidRPr="00797FBF">
        <w:t>0</w:t>
      </w:r>
      <w:r w:rsidR="00797FBF" w:rsidRPr="00797FBF" w:rsidDel="00797FBF">
        <w:t xml:space="preserve"> </w:t>
      </w:r>
      <w:r w:rsidR="00797FBF">
        <w:t xml:space="preserve">zł </w:t>
      </w:r>
      <w:r w:rsidRPr="000065F6">
        <w:t>(słownie:</w:t>
      </w:r>
      <w:r w:rsidR="000065F6">
        <w:t xml:space="preserve"> </w:t>
      </w:r>
      <w:r w:rsidR="00797FBF">
        <w:rPr>
          <w:i/>
        </w:rPr>
        <w:t xml:space="preserve">dwa miliony sześćset </w:t>
      </w:r>
      <w:r w:rsidR="00F772FF">
        <w:rPr>
          <w:i/>
        </w:rPr>
        <w:t>dwadzieścia</w:t>
      </w:r>
      <w:r w:rsidR="00927620">
        <w:rPr>
          <w:i/>
        </w:rPr>
        <w:t xml:space="preserve"> sześć tysięcy </w:t>
      </w:r>
      <w:r w:rsidR="00797FBF">
        <w:rPr>
          <w:i/>
        </w:rPr>
        <w:t>złotych</w:t>
      </w:r>
      <w:r w:rsidRPr="000065F6">
        <w:t>)</w:t>
      </w:r>
      <w:r w:rsidR="006B7144">
        <w:t xml:space="preserve"> ze</w:t>
      </w:r>
      <w:r w:rsidR="004A1A11">
        <w:t> </w:t>
      </w:r>
      <w:r w:rsidR="006B7144">
        <w:t>Funduszu Rozwiązywania Problemów Hazardowych</w:t>
      </w:r>
      <w:r w:rsidR="00787424">
        <w:t>.</w:t>
      </w:r>
    </w:p>
    <w:p w:rsidR="00CF092A" w:rsidRPr="003F772C" w:rsidRDefault="00CF092A" w:rsidP="00CF092A">
      <w:pPr>
        <w:spacing w:after="120"/>
        <w:jc w:val="both"/>
      </w:pPr>
      <w:r w:rsidRPr="00FB5112">
        <w:t xml:space="preserve">Oferent wskaże o jaką kwotę dotacji </w:t>
      </w:r>
      <w:r>
        <w:t xml:space="preserve">celowej </w:t>
      </w:r>
      <w:r w:rsidRPr="00FB5112">
        <w:t xml:space="preserve">się ubiega, przy czym maksymalna kwota </w:t>
      </w:r>
      <w:r>
        <w:t xml:space="preserve"> finansowania zadania ze środków </w:t>
      </w:r>
      <w:r w:rsidRPr="00FB5112">
        <w:t xml:space="preserve">dotacji nie może przekroczyć </w:t>
      </w:r>
      <w:r w:rsidR="00797FBF" w:rsidRPr="00797FBF">
        <w:t>2</w:t>
      </w:r>
      <w:r w:rsidR="00797FBF">
        <w:t> </w:t>
      </w:r>
      <w:r w:rsidR="00F772FF">
        <w:t>62</w:t>
      </w:r>
      <w:r w:rsidR="00797FBF" w:rsidRPr="00797FBF">
        <w:t>6</w:t>
      </w:r>
      <w:r w:rsidR="00797FBF">
        <w:t xml:space="preserve"> </w:t>
      </w:r>
      <w:r w:rsidR="00F1544D">
        <w:t>00</w:t>
      </w:r>
      <w:r w:rsidR="00797FBF" w:rsidRPr="00797FBF">
        <w:t>0</w:t>
      </w:r>
      <w:r w:rsidR="00797FBF" w:rsidRPr="00797FBF" w:rsidDel="00797FBF">
        <w:t xml:space="preserve"> </w:t>
      </w:r>
      <w:r w:rsidR="00797FBF">
        <w:t>zł.</w:t>
      </w:r>
      <w:r w:rsidR="00730687" w:rsidRPr="00730687">
        <w:t xml:space="preserve"> Możliwy jest wybór kilku realizatorów w ramach kwoty przeznaczonej na konkurs.</w:t>
      </w:r>
    </w:p>
    <w:p w:rsidR="00CF092A" w:rsidRPr="00945F2C" w:rsidRDefault="00CF092A" w:rsidP="00CF092A">
      <w:pPr>
        <w:spacing w:after="120"/>
        <w:jc w:val="both"/>
      </w:pPr>
      <w:r w:rsidRPr="00945F2C">
        <w:t xml:space="preserve">Środki finansowe pochodzić będą ze środków budżetu państwa ujętych </w:t>
      </w:r>
      <w:r w:rsidR="00797FBF">
        <w:t xml:space="preserve">w </w:t>
      </w:r>
      <w:r w:rsidR="00C10DE3">
        <w:t>planie finansowym</w:t>
      </w:r>
      <w:r w:rsidR="001C3EE0" w:rsidRPr="001C3EE0">
        <w:t xml:space="preserve"> </w:t>
      </w:r>
      <w:r w:rsidR="001C3EE0">
        <w:t>Funduszu Rozwiązywania Problemów Hazardowych</w:t>
      </w:r>
      <w:r w:rsidRPr="00945F2C">
        <w:t>. Dysponentem środków jest minister właściwy do spraw zdrowia, który przekazuje środki realizatorom zadań, na zasadach określonych w art. 9 ust. 4 ustawy, tj. w formie dotacji celowej.</w:t>
      </w:r>
    </w:p>
    <w:p w:rsidR="00CF092A" w:rsidRDefault="00CF092A" w:rsidP="00CF092A">
      <w:pPr>
        <w:spacing w:after="120"/>
        <w:jc w:val="both"/>
      </w:pPr>
      <w:r w:rsidRPr="001E2022">
        <w:t xml:space="preserve">Maksymalny dopuszczalny poziom finansowania zadania ze środków </w:t>
      </w:r>
      <w:r w:rsidR="001C3EE0">
        <w:t>Funduszu Rozwiązywania Problemów Hazardowych</w:t>
      </w:r>
      <w:r w:rsidRPr="001E2022">
        <w:t xml:space="preserve"> przeznaczonych na realizację NPZ wynosi 100%. </w:t>
      </w:r>
    </w:p>
    <w:p w:rsidR="007F44CC" w:rsidRDefault="00E80B5F" w:rsidP="009318FB">
      <w:pPr>
        <w:autoSpaceDE w:val="0"/>
        <w:autoSpaceDN w:val="0"/>
        <w:adjustRightInd w:val="0"/>
        <w:spacing w:before="120" w:after="0" w:line="240" w:lineRule="auto"/>
        <w:jc w:val="both"/>
      </w:pPr>
      <w:r w:rsidRPr="00E80B5F">
        <w:t xml:space="preserve">Umowy na realizację zadania ze środków Funduszu Rozwiązywania Problemów Hazardowych będą zawierane </w:t>
      </w:r>
      <w:r>
        <w:t xml:space="preserve">po zabezpieczeniu środków w planie finansowym </w:t>
      </w:r>
      <w:r w:rsidRPr="00E80B5F">
        <w:t>Funduszu Rozwiązywania Problemów Hazardowych na realizację rozporządzenia Rady Ministrów z dnia 4 sierpnia 2016 r. w sprawie Narodowego Programu Zdrowia na lata 2016-2020.</w:t>
      </w:r>
    </w:p>
    <w:p w:rsidR="00CF092A" w:rsidRPr="004A2748" w:rsidRDefault="00CF092A" w:rsidP="00CF092A">
      <w:pPr>
        <w:spacing w:after="120"/>
        <w:jc w:val="both"/>
        <w:rPr>
          <w:rStyle w:val="Tytuksiki"/>
          <w:b w:val="0"/>
          <w:bCs w:val="0"/>
          <w:smallCaps w:val="0"/>
        </w:rPr>
      </w:pPr>
      <w:r w:rsidRPr="00666E26">
        <w:rPr>
          <w:rStyle w:val="Tytuksiki"/>
          <w:sz w:val="28"/>
          <w:szCs w:val="28"/>
        </w:rPr>
        <w:t>Terminy realizacji zadania</w:t>
      </w:r>
    </w:p>
    <w:p w:rsidR="00CF092A" w:rsidRPr="002F5DB1" w:rsidRDefault="00CF092A" w:rsidP="00CF092A">
      <w:pPr>
        <w:spacing w:after="120"/>
        <w:jc w:val="both"/>
        <w:rPr>
          <w:b/>
          <w:bCs/>
        </w:rPr>
      </w:pPr>
      <w:r w:rsidRPr="002F5DB1">
        <w:t xml:space="preserve">Zadanie należy zrealizować nie później niż </w:t>
      </w:r>
      <w:r>
        <w:t xml:space="preserve">do dnia </w:t>
      </w:r>
      <w:r w:rsidR="00797FBF">
        <w:t xml:space="preserve">31 grudnia 2018 roku. </w:t>
      </w:r>
    </w:p>
    <w:p w:rsidR="00CF092A" w:rsidRPr="004A2748" w:rsidRDefault="00CF092A" w:rsidP="00CF092A">
      <w:pPr>
        <w:spacing w:after="120"/>
        <w:jc w:val="both"/>
        <w:rPr>
          <w:rStyle w:val="Tytuksiki"/>
          <w:b w:val="0"/>
          <w:bCs w:val="0"/>
          <w:smallCaps w:val="0"/>
        </w:rPr>
      </w:pPr>
      <w:r w:rsidRPr="00756516">
        <w:rPr>
          <w:rStyle w:val="Tytuksiki"/>
          <w:sz w:val="28"/>
          <w:szCs w:val="28"/>
        </w:rPr>
        <w:t>Miejsce i termin składania ofert</w:t>
      </w:r>
    </w:p>
    <w:p w:rsidR="00CF092A" w:rsidRDefault="00CF092A" w:rsidP="00CF092A">
      <w:pPr>
        <w:spacing w:after="120"/>
        <w:jc w:val="both"/>
      </w:pPr>
      <w:r>
        <w:t xml:space="preserve">Prawidłowo przygotowaną i wypełnioną ofertę wraz z załącznikami </w:t>
      </w:r>
      <w:r w:rsidRPr="00877A6A">
        <w:t>(w jednym egzemplarzu)</w:t>
      </w:r>
      <w:r>
        <w:t xml:space="preserve"> należy </w:t>
      </w:r>
      <w:r w:rsidRPr="00EC7769">
        <w:t xml:space="preserve">złożyć </w:t>
      </w:r>
      <w:r>
        <w:t xml:space="preserve">w formie papierowej </w:t>
      </w:r>
      <w:r w:rsidRPr="001958BA">
        <w:rPr>
          <w:b/>
          <w:highlight w:val="yellow"/>
        </w:rPr>
        <w:t xml:space="preserve">w terminie od dnia </w:t>
      </w:r>
      <w:r w:rsidR="001958BA" w:rsidRPr="001958BA">
        <w:rPr>
          <w:b/>
          <w:highlight w:val="yellow"/>
        </w:rPr>
        <w:t>16 lipca 2018 r.</w:t>
      </w:r>
      <w:r w:rsidRPr="001958BA">
        <w:rPr>
          <w:b/>
          <w:highlight w:val="yellow"/>
        </w:rPr>
        <w:t xml:space="preserve"> do dnia</w:t>
      </w:r>
      <w:r w:rsidR="001958BA" w:rsidRPr="001958BA">
        <w:rPr>
          <w:b/>
          <w:highlight w:val="yellow"/>
        </w:rPr>
        <w:t xml:space="preserve"> 30 lipca</w:t>
      </w:r>
      <w:r w:rsidR="001958BA" w:rsidRPr="001958BA">
        <w:rPr>
          <w:b/>
        </w:rPr>
        <w:t xml:space="preserve"> </w:t>
      </w:r>
      <w:r w:rsidRPr="001958BA">
        <w:t>na</w:t>
      </w:r>
      <w:r w:rsidRPr="0031081E">
        <w:t xml:space="preserve"> adres:</w:t>
      </w:r>
    </w:p>
    <w:p w:rsidR="00CF092A" w:rsidRDefault="00CF092A" w:rsidP="00CF092A">
      <w:pPr>
        <w:spacing w:after="120" w:line="240" w:lineRule="auto"/>
        <w:jc w:val="center"/>
        <w:rPr>
          <w:b/>
        </w:rPr>
      </w:pPr>
      <w:r w:rsidRPr="00EC7769">
        <w:rPr>
          <w:b/>
        </w:rPr>
        <w:t>Ministerstwo Zdrowia</w:t>
      </w:r>
    </w:p>
    <w:p w:rsidR="00CF092A" w:rsidRPr="00EC7769" w:rsidRDefault="00CF092A" w:rsidP="00CF092A">
      <w:pPr>
        <w:spacing w:after="120" w:line="240" w:lineRule="auto"/>
        <w:jc w:val="center"/>
        <w:rPr>
          <w:b/>
        </w:rPr>
      </w:pPr>
      <w:r w:rsidRPr="00002D00">
        <w:rPr>
          <w:b/>
          <w:highlight w:val="yellow"/>
        </w:rPr>
        <w:t xml:space="preserve">Departament </w:t>
      </w:r>
      <w:r w:rsidR="00797FBF" w:rsidRPr="00002D00">
        <w:rPr>
          <w:b/>
          <w:highlight w:val="yellow"/>
        </w:rPr>
        <w:t>Matki i Dziecka</w:t>
      </w:r>
    </w:p>
    <w:p w:rsidR="00CF092A" w:rsidRDefault="00CF092A" w:rsidP="00CF092A">
      <w:pPr>
        <w:spacing w:after="120" w:line="240" w:lineRule="auto"/>
        <w:jc w:val="center"/>
      </w:pPr>
      <w:r>
        <w:t>ul. Miodowa 15</w:t>
      </w:r>
    </w:p>
    <w:p w:rsidR="00CF092A" w:rsidRDefault="00CF092A" w:rsidP="00CF092A">
      <w:pPr>
        <w:spacing w:after="120" w:line="240" w:lineRule="auto"/>
        <w:jc w:val="center"/>
      </w:pPr>
      <w:r>
        <w:t>00‐952 Warszawa</w:t>
      </w:r>
    </w:p>
    <w:p w:rsidR="00797FBF" w:rsidRPr="006B0C57" w:rsidRDefault="00CF092A" w:rsidP="00797FBF">
      <w:pPr>
        <w:pStyle w:val="Akapitzlist"/>
        <w:spacing w:after="0"/>
        <w:jc w:val="center"/>
        <w:rPr>
          <w:b/>
        </w:rPr>
      </w:pPr>
      <w:r>
        <w:t xml:space="preserve">z dopiskiem na kopercie: </w:t>
      </w:r>
      <w:r w:rsidRPr="001E2022">
        <w:t>Konkurs NPZ</w:t>
      </w:r>
      <w:r w:rsidR="002C28E8">
        <w:t xml:space="preserve"> na rok 2018</w:t>
      </w:r>
      <w:r w:rsidRPr="001E2022">
        <w:t>, zadanie:</w:t>
      </w:r>
      <w:r w:rsidR="00E22DBE" w:rsidRPr="00E22DBE">
        <w:rPr>
          <w:b/>
          <w:sz w:val="28"/>
          <w:szCs w:val="28"/>
        </w:rPr>
        <w:t xml:space="preserve"> </w:t>
      </w:r>
      <w:r w:rsidR="00797FBF" w:rsidRPr="006B0C57">
        <w:rPr>
          <w:b/>
        </w:rPr>
        <w:t>b) upowszechnianie w społeczeństwie wiedzy o zaletach karmienia piersią</w:t>
      </w:r>
      <w:r w:rsidR="00797FBF">
        <w:rPr>
          <w:b/>
        </w:rPr>
        <w:t xml:space="preserve"> /</w:t>
      </w:r>
    </w:p>
    <w:p w:rsidR="00797FBF" w:rsidRPr="00E22DBE" w:rsidRDefault="00797FBF" w:rsidP="00797FBF">
      <w:pPr>
        <w:spacing w:after="0"/>
        <w:jc w:val="center"/>
        <w:rPr>
          <w:b/>
          <w:color w:val="FF0000"/>
        </w:rPr>
      </w:pPr>
      <w:r w:rsidRPr="006B0C57">
        <w:rPr>
          <w:b/>
        </w:rPr>
        <w:t xml:space="preserve">d) prowadzenie kampanii upowszechniającej aktualną wiedzę w zakresie </w:t>
      </w:r>
      <w:r w:rsidR="000B6486">
        <w:rPr>
          <w:b/>
        </w:rPr>
        <w:t>karmienia piersią</w:t>
      </w:r>
      <w:r w:rsidDel="00797FBF">
        <w:rPr>
          <w:b/>
        </w:rPr>
        <w:t xml:space="preserve"> </w:t>
      </w:r>
      <w:r>
        <w:rPr>
          <w:b/>
        </w:rPr>
        <w:t>NPZ.CO1_1.2_4b/d_2018</w:t>
      </w:r>
    </w:p>
    <w:p w:rsidR="00CF092A" w:rsidRPr="00E22DBE" w:rsidRDefault="00CF092A" w:rsidP="00797FBF">
      <w:pPr>
        <w:pStyle w:val="Akapitzlist"/>
        <w:spacing w:after="0"/>
        <w:ind w:left="0"/>
        <w:contextualSpacing w:val="0"/>
        <w:jc w:val="center"/>
        <w:rPr>
          <w:b/>
        </w:rPr>
      </w:pPr>
    </w:p>
    <w:p w:rsidR="00CF092A" w:rsidRDefault="00CF092A" w:rsidP="00CF092A">
      <w:pPr>
        <w:spacing w:after="120"/>
        <w:jc w:val="both"/>
      </w:pPr>
      <w:r>
        <w:t>Oferty należy składać (osobiście, pocztą kurierską lub listem poleconym) w siedzibie Ministerstwa Zdrowia od poniedziałku do piątku w godzinach od 8.15 do 16.15.</w:t>
      </w:r>
    </w:p>
    <w:p w:rsidR="000B6486" w:rsidRDefault="000B6486" w:rsidP="00CF092A">
      <w:pPr>
        <w:spacing w:after="120"/>
        <w:jc w:val="both"/>
      </w:pPr>
      <w:r w:rsidRPr="000B6486">
        <w:t>Koperta powinna być oznaczona w sposób pozwalający na zidentyfikowanie Oferenta, a oferta trwale spięta (np. bindowanie,</w:t>
      </w:r>
      <w:r>
        <w:t xml:space="preserve"> termobindowanie,</w:t>
      </w:r>
      <w:r w:rsidRPr="000B6486">
        <w:t xml:space="preserve"> grzbiet zaciskowy</w:t>
      </w:r>
      <w:r>
        <w:t>, zszywki</w:t>
      </w:r>
      <w:r w:rsidRPr="000B6486">
        <w:t>).</w:t>
      </w:r>
    </w:p>
    <w:p w:rsidR="000065F6" w:rsidRPr="00143845" w:rsidRDefault="00CF092A" w:rsidP="00CF092A">
      <w:pPr>
        <w:spacing w:after="120"/>
        <w:jc w:val="both"/>
        <w:rPr>
          <w:b/>
        </w:rPr>
      </w:pPr>
      <w:r w:rsidRPr="00143845">
        <w:rPr>
          <w:b/>
        </w:rPr>
        <w:t>O przyjęciu oferty decyduje data i godzina jej wpływu do Ministerstwa Zdrowia. Oferty, które wpłyną po terminie, będą odrzucane.</w:t>
      </w:r>
    </w:p>
    <w:p w:rsidR="00CF092A" w:rsidRPr="00E072AC" w:rsidRDefault="00CF092A" w:rsidP="00CF092A">
      <w:pPr>
        <w:spacing w:after="120"/>
        <w:jc w:val="both"/>
        <w:rPr>
          <w:rStyle w:val="Tytuksiki"/>
          <w:b w:val="0"/>
          <w:bCs w:val="0"/>
          <w:smallCaps w:val="0"/>
        </w:rPr>
      </w:pPr>
      <w:r w:rsidRPr="00756516">
        <w:rPr>
          <w:rStyle w:val="Tytuksiki"/>
          <w:sz w:val="28"/>
          <w:szCs w:val="28"/>
        </w:rPr>
        <w:t>Termin rozstrzygnięcia konkursu ofert</w:t>
      </w:r>
    </w:p>
    <w:p w:rsidR="00CF092A" w:rsidRDefault="00CF092A" w:rsidP="00CF092A">
      <w:pPr>
        <w:spacing w:after="120"/>
        <w:jc w:val="both"/>
      </w:pPr>
      <w:r>
        <w:t>Wyniki</w:t>
      </w:r>
      <w:r w:rsidRPr="000B38C2">
        <w:t xml:space="preserve"> konkursu ofert zostaną podane do wiadomości publicznej w terminie </w:t>
      </w:r>
      <w:r>
        <w:t>jednego miesiąca od końca terminu przewidzianego na złożenie ofert</w:t>
      </w:r>
      <w:r w:rsidRPr="000B38C2">
        <w:t>.</w:t>
      </w:r>
      <w:r>
        <w:t xml:space="preserve"> Termin ten może ulec przedłużeniu w przypadku konieczności oceny znacznej liczby ofert.</w:t>
      </w:r>
    </w:p>
    <w:p w:rsidR="00CF092A" w:rsidRDefault="00CF092A" w:rsidP="00CF092A">
      <w:pPr>
        <w:spacing w:after="120"/>
        <w:jc w:val="both"/>
      </w:pPr>
      <w:r w:rsidRPr="00A9605A">
        <w:rPr>
          <w:b/>
        </w:rPr>
        <w:t xml:space="preserve">Oferent jest zobowiązany do bieżącego zapoznawania się z informacjami na temat wyników konkursu, zamieszczanymi na stronie internetowej Ministerstwa Zdrowia </w:t>
      </w:r>
      <w:hyperlink r:id="rId11" w:history="1">
        <w:r w:rsidR="00915083" w:rsidRPr="00751491">
          <w:rPr>
            <w:rStyle w:val="Hipercze"/>
            <w:b/>
          </w:rPr>
          <w:t>www.gov.pl/zdrowie</w:t>
        </w:r>
      </w:hyperlink>
      <w:r w:rsidR="00915083">
        <w:rPr>
          <w:b/>
        </w:rPr>
        <w:t xml:space="preserve"> </w:t>
      </w:r>
      <w:r w:rsidRPr="00A9605A">
        <w:rPr>
          <w:b/>
        </w:rPr>
        <w:t>i na stronie podmiotowej Biuletynu Informacji Publicznej.</w:t>
      </w:r>
    </w:p>
    <w:p w:rsidR="00CF092A" w:rsidRDefault="00CF092A" w:rsidP="00CF092A">
      <w:pPr>
        <w:spacing w:after="120"/>
        <w:jc w:val="both"/>
        <w:rPr>
          <w:rStyle w:val="Tytuksiki"/>
          <w:sz w:val="28"/>
          <w:szCs w:val="28"/>
        </w:rPr>
      </w:pPr>
      <w:r>
        <w:rPr>
          <w:rStyle w:val="Tytuksiki"/>
          <w:sz w:val="28"/>
          <w:szCs w:val="28"/>
        </w:rPr>
        <w:t>Uwagi</w:t>
      </w:r>
    </w:p>
    <w:p w:rsidR="00CF092A" w:rsidRDefault="00CF092A" w:rsidP="00CF092A">
      <w:pPr>
        <w:spacing w:after="120"/>
        <w:jc w:val="both"/>
      </w:pPr>
      <w:r w:rsidRPr="00292861">
        <w:t>Minister Zdrowia zastrzega sobie prawo</w:t>
      </w:r>
      <w:r>
        <w:t xml:space="preserve"> do </w:t>
      </w:r>
      <w:r w:rsidRPr="00292861">
        <w:t>odwołania konkursu ofert przed upływem terminu na złożenie ofert</w:t>
      </w:r>
      <w:r>
        <w:t xml:space="preserve"> oraz prawo d</w:t>
      </w:r>
      <w:r w:rsidRPr="00292861">
        <w:t xml:space="preserve">o wprowadzania zmian w </w:t>
      </w:r>
      <w:r>
        <w:t>Ogłoszeniu, w tym do przedłużenia terminu na złożenie ofert, terminu uzupełnienia braków formalnych lub terminu rozstrzygnięcia konkursu</w:t>
      </w:r>
      <w:r w:rsidRPr="00292861">
        <w:t xml:space="preserve">, </w:t>
      </w:r>
      <w:r>
        <w:br/>
      </w:r>
      <w:r w:rsidRPr="00292861">
        <w:t>z wyłączeniem zmian skutkujących nierów</w:t>
      </w:r>
      <w:r>
        <w:t xml:space="preserve">nym traktowaniem oferentów, </w:t>
      </w:r>
      <w:r w:rsidRPr="00292861">
        <w:t>chyba że konieczność ich wprowadzenia wynika ze zmi</w:t>
      </w:r>
      <w:r>
        <w:t xml:space="preserve">any przepisów prawa powszechnie </w:t>
      </w:r>
      <w:r w:rsidRPr="00292861">
        <w:t xml:space="preserve">obowiązującego. </w:t>
      </w:r>
      <w:r w:rsidRPr="00830D8E">
        <w:t xml:space="preserve">Minister Zdrowia zastrzega sobie </w:t>
      </w:r>
      <w:r>
        <w:t xml:space="preserve">także </w:t>
      </w:r>
      <w:r w:rsidRPr="00830D8E">
        <w:t>prawo do unieważnienia konkursu ofert</w:t>
      </w:r>
      <w:r>
        <w:t xml:space="preserve"> bez podania przyczyn.</w:t>
      </w:r>
      <w:r w:rsidRPr="00830D8E">
        <w:t xml:space="preserve"> </w:t>
      </w:r>
      <w:r>
        <w:br/>
      </w:r>
      <w:r w:rsidRPr="00292861">
        <w:t xml:space="preserve">W związku z powyższym zaleca się, </w:t>
      </w:r>
      <w:r>
        <w:t xml:space="preserve">aby podmioty aplikujące o środki w </w:t>
      </w:r>
      <w:r w:rsidRPr="00292861">
        <w:t>ramach niniejszego konkursu na bieżąco zapoznawały si</w:t>
      </w:r>
      <w:r>
        <w:t xml:space="preserve">ę z informacjami zamieszczanymi </w:t>
      </w:r>
      <w:r w:rsidRPr="00292861">
        <w:t xml:space="preserve">na </w:t>
      </w:r>
      <w:r w:rsidRPr="00672641">
        <w:t xml:space="preserve">stronie internetowej </w:t>
      </w:r>
      <w:r>
        <w:t xml:space="preserve">Ministerstwa Zdrowia </w:t>
      </w:r>
      <w:hyperlink r:id="rId12" w:history="1">
        <w:r w:rsidR="00A9191E" w:rsidRPr="00751491">
          <w:rPr>
            <w:rStyle w:val="Hipercze"/>
            <w:b/>
          </w:rPr>
          <w:t>www.gov.pl/zdrowie</w:t>
        </w:r>
      </w:hyperlink>
      <w:r>
        <w:t xml:space="preserve"> </w:t>
      </w:r>
      <w:r w:rsidRPr="00672641">
        <w:t>i na stronie podmiotowej Biuletynu Informacji Publicznej</w:t>
      </w:r>
      <w:r>
        <w:t>.</w:t>
      </w:r>
    </w:p>
    <w:p w:rsidR="0075416E" w:rsidRDefault="004218AD" w:rsidP="00CF092A">
      <w:pPr>
        <w:spacing w:after="120"/>
        <w:jc w:val="both"/>
      </w:pPr>
      <w:r>
        <w:t>U</w:t>
      </w:r>
      <w:r w:rsidRPr="009916B1">
        <w:t xml:space="preserve">mowa na realizację zadania zawarta w wyniku rozstrzygnięcia postępowania konkursowego </w:t>
      </w:r>
      <w:r>
        <w:t xml:space="preserve">będzie </w:t>
      </w:r>
      <w:r w:rsidRPr="009916B1">
        <w:t>zawiera</w:t>
      </w:r>
      <w:r>
        <w:t>ła</w:t>
      </w:r>
      <w:r w:rsidRPr="009916B1">
        <w:t xml:space="preserve"> postanowienie o</w:t>
      </w:r>
      <w:r w:rsidRPr="003F0686">
        <w:t xml:space="preserve"> przenie</w:t>
      </w:r>
      <w:r w:rsidRPr="009916B1">
        <w:t>sieniu</w:t>
      </w:r>
      <w:r w:rsidRPr="003F0686">
        <w:t xml:space="preserve"> </w:t>
      </w:r>
      <w:r w:rsidRPr="009916B1">
        <w:t>autorskich praw majątkowych</w:t>
      </w:r>
      <w:r w:rsidRPr="003F0686">
        <w:t xml:space="preserve"> na Ministra Zdrowia, w</w:t>
      </w:r>
      <w:r w:rsidR="003E21B8">
        <w:t> </w:t>
      </w:r>
      <w:r w:rsidRPr="003F0686">
        <w:t xml:space="preserve">ramach kwoty finansowania przewidzianego w umowie na realizację zadania, łącznie z wyłącznym prawem do udzielania zezwoleń na wykonywanie zależnego prawa autorskiego, do utworów wytworzonych w ramach realizacji zadania </w:t>
      </w:r>
      <w:r>
        <w:t>w tym m.in.</w:t>
      </w:r>
      <w:r w:rsidR="00126B53">
        <w:t xml:space="preserve"> nieograniczonego w czasie wykorzystania</w:t>
      </w:r>
      <w:r>
        <w:t xml:space="preserve"> w</w:t>
      </w:r>
      <w:r w:rsidR="003E21B8">
        <w:t> </w:t>
      </w:r>
      <w:r>
        <w:t>celach promocyjnych, szkoleniowych, edukacyjnych i informacyjnych.</w:t>
      </w:r>
    </w:p>
    <w:p w:rsidR="00CF092A" w:rsidRPr="00292861" w:rsidRDefault="00023E28" w:rsidP="00CF092A">
      <w:pPr>
        <w:spacing w:after="120"/>
        <w:jc w:val="both"/>
      </w:pPr>
      <w:r>
        <w:pict w14:anchorId="034FDD56">
          <v:rect id="_x0000_i1025" style="width:453.6pt;height:2pt" o:hralign="center" o:hrstd="t" o:hr="t" fillcolor="#a0a0a0" stroked="f"/>
        </w:pict>
      </w:r>
    </w:p>
    <w:p w:rsidR="00CF092A" w:rsidRPr="002F6376" w:rsidRDefault="00CF092A" w:rsidP="00CF092A">
      <w:pPr>
        <w:pStyle w:val="Akapitzlist"/>
        <w:spacing w:after="120"/>
        <w:ind w:left="0"/>
        <w:contextualSpacing w:val="0"/>
        <w:jc w:val="both"/>
      </w:pPr>
      <w:r>
        <w:t>Wyjaśnienia</w:t>
      </w:r>
      <w:r w:rsidRPr="002F6376">
        <w:t xml:space="preserve"> </w:t>
      </w:r>
      <w:r w:rsidRPr="00B81290">
        <w:t>w zakresie treści ogłoszenia o konkursie ofert udzielane będą telefonicznie</w:t>
      </w:r>
      <w:r w:rsidRPr="002F6376">
        <w:t xml:space="preserve"> pod</w:t>
      </w:r>
      <w:r>
        <w:t xml:space="preserve"> numerem </w:t>
      </w:r>
      <w:r w:rsidRPr="0057227E">
        <w:rPr>
          <w:b/>
        </w:rPr>
        <w:t>(22) 53-00-</w:t>
      </w:r>
      <w:r w:rsidR="006361A6" w:rsidRPr="0057227E">
        <w:rPr>
          <w:b/>
        </w:rPr>
        <w:t>383</w:t>
      </w:r>
      <w:r w:rsidRPr="0057227E">
        <w:rPr>
          <w:b/>
        </w:rPr>
        <w:t xml:space="preserve"> </w:t>
      </w:r>
      <w:r w:rsidR="00F772FF" w:rsidRPr="006361A6">
        <w:rPr>
          <w:b/>
        </w:rPr>
        <w:t xml:space="preserve"> </w:t>
      </w:r>
      <w:r w:rsidRPr="006361A6">
        <w:t xml:space="preserve">w godzinach pracy Ministerstwa Zdrowia lub na pisemną prośbę oferenta. Prośba, o której mowa powyżej, może zostać przesłana drogą elektroniczną na adres: </w:t>
      </w:r>
      <w:r w:rsidR="00915083" w:rsidRPr="0057227E">
        <w:rPr>
          <w:b/>
        </w:rPr>
        <w:t>dep-md</w:t>
      </w:r>
      <w:r w:rsidRPr="0057227E">
        <w:rPr>
          <w:b/>
        </w:rPr>
        <w:t>@mz.gov.pl</w:t>
      </w:r>
      <w:r w:rsidR="008E51E8" w:rsidRPr="006361A6">
        <w:t xml:space="preserve"> bez obowiązku zastosowania podpisu elektronicznego w formie przewidzianej ustawą z dnia 5 września</w:t>
      </w:r>
      <w:r w:rsidR="008E51E8">
        <w:t xml:space="preserve"> 2016 r. o usługach zaufania oraz identyfikacji elektronicznej (Dz.U. z 2016 r., poz. 1579)</w:t>
      </w:r>
      <w:r>
        <w:t>. Odpowiedź na pytania udzielona zostanie w ww. formie.</w:t>
      </w:r>
    </w:p>
    <w:p w:rsidR="00CF092A" w:rsidRDefault="00CF092A" w:rsidP="00CF092A">
      <w:pPr>
        <w:spacing w:after="120"/>
        <w:jc w:val="both"/>
      </w:pPr>
      <w:r>
        <w:t xml:space="preserve">Wyjaśnienia o charakterze ogólnym publikowane są na stronie internetowej </w:t>
      </w:r>
      <w:hyperlink r:id="rId13" w:history="1">
        <w:r w:rsidR="00A9191E" w:rsidRPr="00751491">
          <w:rPr>
            <w:rStyle w:val="Hipercze"/>
            <w:b/>
          </w:rPr>
          <w:t>www.gov.pl/zdrowie</w:t>
        </w:r>
      </w:hyperlink>
      <w:r>
        <w:t xml:space="preserve">. </w:t>
      </w:r>
    </w:p>
    <w:p w:rsidR="00CF092A" w:rsidRPr="002F7AE3" w:rsidRDefault="00CF092A" w:rsidP="00CF092A">
      <w:pPr>
        <w:spacing w:after="120"/>
        <w:jc w:val="both"/>
      </w:pPr>
      <w:r w:rsidRPr="009B1AC5">
        <w:t>W ramach udzielanych wyjaśnień nie</w:t>
      </w:r>
      <w:r>
        <w:t xml:space="preserve"> są prowadzone konsultacje dotyczące</w:t>
      </w:r>
      <w:r w:rsidRPr="009B1AC5">
        <w:t xml:space="preserve"> </w:t>
      </w:r>
      <w:r>
        <w:t>prawidłowości zapisów ofert</w:t>
      </w:r>
      <w:r w:rsidRPr="009B1AC5">
        <w:t>, gdyż le</w:t>
      </w:r>
      <w:r>
        <w:t xml:space="preserve">ży to w zakresie oceny formalnej i </w:t>
      </w:r>
      <w:r w:rsidRPr="009B1AC5">
        <w:t>merytorycznej prowadzonej przez K</w:t>
      </w:r>
      <w:r>
        <w:t>omisję Konkursową</w:t>
      </w:r>
      <w:r w:rsidRPr="009B1AC5">
        <w:t>.</w:t>
      </w:r>
      <w:r>
        <w:t xml:space="preserve"> </w:t>
      </w:r>
      <w:r>
        <w:rPr>
          <w:rStyle w:val="Tytuksiki"/>
          <w:sz w:val="28"/>
          <w:szCs w:val="28"/>
        </w:rPr>
        <w:t xml:space="preserve">Pozostałe informacje o konkursie zawiera </w:t>
      </w:r>
      <w:r w:rsidRPr="00954220">
        <w:rPr>
          <w:rStyle w:val="Tytuksiki"/>
          <w:color w:val="0070C0"/>
          <w:sz w:val="28"/>
          <w:szCs w:val="28"/>
        </w:rPr>
        <w:t>część b</w:t>
      </w:r>
      <w:r>
        <w:rPr>
          <w:rStyle w:val="Tytuksiki"/>
          <w:sz w:val="28"/>
          <w:szCs w:val="28"/>
        </w:rPr>
        <w:t xml:space="preserve"> ogłoszenia </w:t>
      </w:r>
      <w:r w:rsidRPr="00AB23A6">
        <w:rPr>
          <w:rStyle w:val="Tytuksiki"/>
          <w:color w:val="0070C0"/>
          <w:sz w:val="28"/>
          <w:szCs w:val="28"/>
        </w:rPr>
        <w:t>–</w:t>
      </w:r>
      <w:r>
        <w:rPr>
          <w:rStyle w:val="Tytuksiki"/>
          <w:sz w:val="28"/>
          <w:szCs w:val="28"/>
        </w:rPr>
        <w:t xml:space="preserve"> </w:t>
      </w:r>
      <w:r w:rsidRPr="00AB23A6">
        <w:rPr>
          <w:b/>
          <w:bCs/>
          <w:color w:val="0070C0"/>
        </w:rPr>
        <w:t xml:space="preserve">Pobierz </w:t>
      </w:r>
      <w:r>
        <w:rPr>
          <w:b/>
          <w:bCs/>
          <w:color w:val="0070C0"/>
        </w:rPr>
        <w:t>CZĘŚĆ</w:t>
      </w:r>
      <w:r w:rsidRPr="00AB23A6">
        <w:rPr>
          <w:b/>
          <w:bCs/>
          <w:color w:val="0070C0"/>
        </w:rPr>
        <w:t xml:space="preserve"> B ogłoszenia</w:t>
      </w:r>
      <w:r>
        <w:rPr>
          <w:b/>
          <w:bCs/>
          <w:color w:val="0070C0"/>
        </w:rPr>
        <w:t xml:space="preserve"> </w:t>
      </w:r>
    </w:p>
    <w:p w:rsidR="00CF092A" w:rsidRPr="001E4ED4" w:rsidRDefault="00CF092A" w:rsidP="00CF092A">
      <w:pPr>
        <w:spacing w:after="120"/>
        <w:jc w:val="center"/>
        <w:rPr>
          <w:b/>
          <w:bCs/>
          <w:color w:val="0070C0"/>
        </w:rPr>
      </w:pPr>
      <w:r w:rsidRPr="00D43953">
        <w:rPr>
          <w:b/>
          <w:bCs/>
          <w:smallCaps/>
          <w:color w:val="0070C0"/>
          <w:sz w:val="28"/>
        </w:rPr>
        <w:t>Zapraszamy do złożenia oferty</w:t>
      </w:r>
    </w:p>
    <w:p w:rsidR="007713EE" w:rsidRDefault="007713EE"/>
    <w:sectPr w:rsidR="007713E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E28" w:rsidRDefault="00023E28" w:rsidP="001C3EE0">
      <w:pPr>
        <w:spacing w:after="0" w:line="240" w:lineRule="auto"/>
      </w:pPr>
      <w:r>
        <w:separator/>
      </w:r>
    </w:p>
  </w:endnote>
  <w:endnote w:type="continuationSeparator" w:id="0">
    <w:p w:rsidR="00023E28" w:rsidRDefault="00023E28" w:rsidP="001C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F2" w:rsidRDefault="009827F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F113B">
      <w:rPr>
        <w:noProof/>
      </w:rPr>
      <w:t>6</w:t>
    </w:r>
    <w:r>
      <w:fldChar w:fldCharType="end"/>
    </w:r>
  </w:p>
  <w:p w:rsidR="009827F2" w:rsidRDefault="009827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E28" w:rsidRDefault="00023E28" w:rsidP="001C3EE0">
      <w:pPr>
        <w:spacing w:after="0" w:line="240" w:lineRule="auto"/>
      </w:pPr>
      <w:r>
        <w:separator/>
      </w:r>
    </w:p>
  </w:footnote>
  <w:footnote w:type="continuationSeparator" w:id="0">
    <w:p w:rsidR="00023E28" w:rsidRDefault="00023E28" w:rsidP="001C3EE0">
      <w:pPr>
        <w:spacing w:after="0" w:line="240" w:lineRule="auto"/>
      </w:pPr>
      <w:r>
        <w:continuationSeparator/>
      </w:r>
    </w:p>
  </w:footnote>
  <w:footnote w:id="1">
    <w:p w:rsidR="00D74974" w:rsidRDefault="00760992">
      <w:pPr>
        <w:pStyle w:val="Tekstprzypisudolnego"/>
      </w:pPr>
      <w:r>
        <w:rPr>
          <w:rStyle w:val="Odwoanieprzypisudolnego"/>
        </w:rPr>
        <w:footnoteRef/>
      </w:r>
      <w:r>
        <w:t xml:space="preserve"> Istnieje </w:t>
      </w:r>
      <w:r w:rsidR="008F1FC7">
        <w:t xml:space="preserve">możliwość skorzystania ze wzoru </w:t>
      </w:r>
      <w:r>
        <w:t>będącego w posiadaniu Ministerstwa Zdrowia.</w:t>
      </w:r>
    </w:p>
  </w:footnote>
  <w:footnote w:id="2">
    <w:p w:rsidR="00D74974" w:rsidRDefault="00C029CF" w:rsidP="0059633D">
      <w:pPr>
        <w:pStyle w:val="Tekstprzypisudolnego"/>
      </w:pPr>
      <w:r>
        <w:rPr>
          <w:rStyle w:val="Odwoanieprzypisudolnego"/>
        </w:rPr>
        <w:footnoteRef/>
      </w:r>
      <w:r>
        <w:t xml:space="preserve"> Kryterium dotyczy zadań, w których przewidziane jest opracowanie materiałów edukacyjno-promocyjnych do publikacji na stronę internetową. W przypadku gdy Oferent nie przewiduje takiej formy realizacji zadania – kryterium nie dotyczy ocenianej oferty.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57AF"/>
    <w:multiLevelType w:val="hybridMultilevel"/>
    <w:tmpl w:val="14009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25E8"/>
    <w:multiLevelType w:val="hybridMultilevel"/>
    <w:tmpl w:val="3B6AE2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D409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F0D5B39"/>
    <w:multiLevelType w:val="hybridMultilevel"/>
    <w:tmpl w:val="BAB648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6F24BF6"/>
    <w:multiLevelType w:val="multilevel"/>
    <w:tmpl w:val="A09C07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5" w15:restartNumberingAfterBreak="0">
    <w:nsid w:val="2D5255C3"/>
    <w:multiLevelType w:val="hybridMultilevel"/>
    <w:tmpl w:val="9F3EB9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B8614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F81E65"/>
    <w:multiLevelType w:val="hybridMultilevel"/>
    <w:tmpl w:val="93A8F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C59E8"/>
    <w:multiLevelType w:val="hybridMultilevel"/>
    <w:tmpl w:val="D1BCCC9A"/>
    <w:lvl w:ilvl="0" w:tplc="095E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7530F"/>
    <w:multiLevelType w:val="hybridMultilevel"/>
    <w:tmpl w:val="570032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9" w15:restartNumberingAfterBreak="0">
    <w:nsid w:val="571D48C5"/>
    <w:multiLevelType w:val="hybridMultilevel"/>
    <w:tmpl w:val="FCD4D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D397C"/>
    <w:multiLevelType w:val="hybridMultilevel"/>
    <w:tmpl w:val="F3221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E2561B"/>
    <w:multiLevelType w:val="hybridMultilevel"/>
    <w:tmpl w:val="0D2214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4864001"/>
    <w:multiLevelType w:val="hybridMultilevel"/>
    <w:tmpl w:val="64F2F80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6546ED0"/>
    <w:multiLevelType w:val="hybridMultilevel"/>
    <w:tmpl w:val="051E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047BD6"/>
    <w:multiLevelType w:val="hybridMultilevel"/>
    <w:tmpl w:val="D12AB19E"/>
    <w:lvl w:ilvl="0" w:tplc="09EE73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6"/>
  </w:num>
  <w:num w:numId="13">
    <w:abstractNumId w:val="9"/>
  </w:num>
  <w:num w:numId="14">
    <w:abstractNumId w:val="8"/>
  </w:num>
  <w:num w:numId="1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51"/>
    <w:rsid w:val="00002D00"/>
    <w:rsid w:val="000065F6"/>
    <w:rsid w:val="00010E79"/>
    <w:rsid w:val="00020868"/>
    <w:rsid w:val="00023E28"/>
    <w:rsid w:val="00024EC3"/>
    <w:rsid w:val="00043A20"/>
    <w:rsid w:val="0004714B"/>
    <w:rsid w:val="000510F8"/>
    <w:rsid w:val="000516BD"/>
    <w:rsid w:val="00057E48"/>
    <w:rsid w:val="00071175"/>
    <w:rsid w:val="00075D9D"/>
    <w:rsid w:val="00085E42"/>
    <w:rsid w:val="000A2B69"/>
    <w:rsid w:val="000B38C2"/>
    <w:rsid w:val="000B5E5F"/>
    <w:rsid w:val="000B6486"/>
    <w:rsid w:val="000B7A90"/>
    <w:rsid w:val="000C5BD4"/>
    <w:rsid w:val="000D623A"/>
    <w:rsid w:val="000E4485"/>
    <w:rsid w:val="000F03AA"/>
    <w:rsid w:val="001148D9"/>
    <w:rsid w:val="001229E5"/>
    <w:rsid w:val="00123901"/>
    <w:rsid w:val="00126B53"/>
    <w:rsid w:val="00137459"/>
    <w:rsid w:val="00143845"/>
    <w:rsid w:val="001452A2"/>
    <w:rsid w:val="00153367"/>
    <w:rsid w:val="00155092"/>
    <w:rsid w:val="00155A90"/>
    <w:rsid w:val="00160A34"/>
    <w:rsid w:val="00181F54"/>
    <w:rsid w:val="001878F9"/>
    <w:rsid w:val="0019478B"/>
    <w:rsid w:val="001958BA"/>
    <w:rsid w:val="001C01A3"/>
    <w:rsid w:val="001C1886"/>
    <w:rsid w:val="001C3BC8"/>
    <w:rsid w:val="001C3EE0"/>
    <w:rsid w:val="001D26F4"/>
    <w:rsid w:val="001E2022"/>
    <w:rsid w:val="001E4ED4"/>
    <w:rsid w:val="001F226B"/>
    <w:rsid w:val="00200EEC"/>
    <w:rsid w:val="00220902"/>
    <w:rsid w:val="002245B7"/>
    <w:rsid w:val="00234AC5"/>
    <w:rsid w:val="0024674D"/>
    <w:rsid w:val="002529A3"/>
    <w:rsid w:val="00255130"/>
    <w:rsid w:val="0026531F"/>
    <w:rsid w:val="00275A1C"/>
    <w:rsid w:val="00292861"/>
    <w:rsid w:val="002C28E8"/>
    <w:rsid w:val="002D1B95"/>
    <w:rsid w:val="002E2E70"/>
    <w:rsid w:val="002F113B"/>
    <w:rsid w:val="002F5DB1"/>
    <w:rsid w:val="002F6376"/>
    <w:rsid w:val="002F7AE3"/>
    <w:rsid w:val="002F7FE2"/>
    <w:rsid w:val="0031081E"/>
    <w:rsid w:val="00312548"/>
    <w:rsid w:val="003134C9"/>
    <w:rsid w:val="00324190"/>
    <w:rsid w:val="003327DF"/>
    <w:rsid w:val="00363698"/>
    <w:rsid w:val="00390DAF"/>
    <w:rsid w:val="003B186F"/>
    <w:rsid w:val="003B2391"/>
    <w:rsid w:val="003C2776"/>
    <w:rsid w:val="003C7097"/>
    <w:rsid w:val="003D0D8D"/>
    <w:rsid w:val="003D5940"/>
    <w:rsid w:val="003D7C46"/>
    <w:rsid w:val="003E0C37"/>
    <w:rsid w:val="003E21B8"/>
    <w:rsid w:val="003F0686"/>
    <w:rsid w:val="003F161C"/>
    <w:rsid w:val="003F5C00"/>
    <w:rsid w:val="003F772C"/>
    <w:rsid w:val="00406BC8"/>
    <w:rsid w:val="004218AD"/>
    <w:rsid w:val="00427B40"/>
    <w:rsid w:val="0043488B"/>
    <w:rsid w:val="00436BC1"/>
    <w:rsid w:val="00442E44"/>
    <w:rsid w:val="00442F7A"/>
    <w:rsid w:val="004723F0"/>
    <w:rsid w:val="00481741"/>
    <w:rsid w:val="00496717"/>
    <w:rsid w:val="004A1A11"/>
    <w:rsid w:val="004A2748"/>
    <w:rsid w:val="004A3DAB"/>
    <w:rsid w:val="004D08DB"/>
    <w:rsid w:val="004E6836"/>
    <w:rsid w:val="00504A53"/>
    <w:rsid w:val="00505763"/>
    <w:rsid w:val="00531236"/>
    <w:rsid w:val="00531C26"/>
    <w:rsid w:val="00544711"/>
    <w:rsid w:val="00564CE5"/>
    <w:rsid w:val="0057227E"/>
    <w:rsid w:val="00573E14"/>
    <w:rsid w:val="00587C7A"/>
    <w:rsid w:val="00592F22"/>
    <w:rsid w:val="00594D84"/>
    <w:rsid w:val="0059633D"/>
    <w:rsid w:val="005A340D"/>
    <w:rsid w:val="005B4E4E"/>
    <w:rsid w:val="005D6859"/>
    <w:rsid w:val="006109D7"/>
    <w:rsid w:val="006165B9"/>
    <w:rsid w:val="006274B3"/>
    <w:rsid w:val="006361A6"/>
    <w:rsid w:val="00666E26"/>
    <w:rsid w:val="00672493"/>
    <w:rsid w:val="00672641"/>
    <w:rsid w:val="0068581E"/>
    <w:rsid w:val="0069626A"/>
    <w:rsid w:val="006A7D72"/>
    <w:rsid w:val="006B0C57"/>
    <w:rsid w:val="006B7144"/>
    <w:rsid w:val="006D72C4"/>
    <w:rsid w:val="006F4CA9"/>
    <w:rsid w:val="00702B7A"/>
    <w:rsid w:val="007171E2"/>
    <w:rsid w:val="00730687"/>
    <w:rsid w:val="007407C4"/>
    <w:rsid w:val="00751491"/>
    <w:rsid w:val="0075416E"/>
    <w:rsid w:val="00754BE3"/>
    <w:rsid w:val="00756516"/>
    <w:rsid w:val="00760992"/>
    <w:rsid w:val="007713EE"/>
    <w:rsid w:val="0077748B"/>
    <w:rsid w:val="00787424"/>
    <w:rsid w:val="00797FBF"/>
    <w:rsid w:val="007A4292"/>
    <w:rsid w:val="007B28CF"/>
    <w:rsid w:val="007D4239"/>
    <w:rsid w:val="007E2486"/>
    <w:rsid w:val="007E33B8"/>
    <w:rsid w:val="007F44CC"/>
    <w:rsid w:val="00827DBA"/>
    <w:rsid w:val="00830D8E"/>
    <w:rsid w:val="00832743"/>
    <w:rsid w:val="008372A7"/>
    <w:rsid w:val="00865119"/>
    <w:rsid w:val="008666C4"/>
    <w:rsid w:val="00877A6A"/>
    <w:rsid w:val="00897B57"/>
    <w:rsid w:val="008C17C3"/>
    <w:rsid w:val="008E51E8"/>
    <w:rsid w:val="008F1FC7"/>
    <w:rsid w:val="00912318"/>
    <w:rsid w:val="00914EF5"/>
    <w:rsid w:val="00915083"/>
    <w:rsid w:val="00921898"/>
    <w:rsid w:val="00927620"/>
    <w:rsid w:val="009318FB"/>
    <w:rsid w:val="00932448"/>
    <w:rsid w:val="00945F2C"/>
    <w:rsid w:val="00954220"/>
    <w:rsid w:val="00960E3F"/>
    <w:rsid w:val="00975AEE"/>
    <w:rsid w:val="00976D80"/>
    <w:rsid w:val="00981B55"/>
    <w:rsid w:val="009827F2"/>
    <w:rsid w:val="009916B1"/>
    <w:rsid w:val="00996371"/>
    <w:rsid w:val="009B1AC5"/>
    <w:rsid w:val="009B1C1A"/>
    <w:rsid w:val="009C302C"/>
    <w:rsid w:val="009E1555"/>
    <w:rsid w:val="009E53B7"/>
    <w:rsid w:val="00A0091A"/>
    <w:rsid w:val="00A10C71"/>
    <w:rsid w:val="00A31654"/>
    <w:rsid w:val="00A34F8E"/>
    <w:rsid w:val="00A57CFE"/>
    <w:rsid w:val="00A71451"/>
    <w:rsid w:val="00A73C3B"/>
    <w:rsid w:val="00A83708"/>
    <w:rsid w:val="00A84D84"/>
    <w:rsid w:val="00A863DA"/>
    <w:rsid w:val="00A9191E"/>
    <w:rsid w:val="00A93AC9"/>
    <w:rsid w:val="00A952A5"/>
    <w:rsid w:val="00A9605A"/>
    <w:rsid w:val="00AB23A6"/>
    <w:rsid w:val="00AB4E9C"/>
    <w:rsid w:val="00AC19D2"/>
    <w:rsid w:val="00AC3367"/>
    <w:rsid w:val="00AE0F06"/>
    <w:rsid w:val="00B00C93"/>
    <w:rsid w:val="00B053F7"/>
    <w:rsid w:val="00B25DDA"/>
    <w:rsid w:val="00B32866"/>
    <w:rsid w:val="00B43C44"/>
    <w:rsid w:val="00B4530A"/>
    <w:rsid w:val="00B5150C"/>
    <w:rsid w:val="00B6010E"/>
    <w:rsid w:val="00B6052B"/>
    <w:rsid w:val="00B80DD3"/>
    <w:rsid w:val="00B81290"/>
    <w:rsid w:val="00B8249A"/>
    <w:rsid w:val="00B8260A"/>
    <w:rsid w:val="00B94F6E"/>
    <w:rsid w:val="00BA5A54"/>
    <w:rsid w:val="00BB0026"/>
    <w:rsid w:val="00BB2BDD"/>
    <w:rsid w:val="00BC14EB"/>
    <w:rsid w:val="00BC1FF4"/>
    <w:rsid w:val="00BD155E"/>
    <w:rsid w:val="00BD2733"/>
    <w:rsid w:val="00C029CF"/>
    <w:rsid w:val="00C10DE3"/>
    <w:rsid w:val="00C25628"/>
    <w:rsid w:val="00C32B95"/>
    <w:rsid w:val="00C37CB1"/>
    <w:rsid w:val="00C5591A"/>
    <w:rsid w:val="00C713E7"/>
    <w:rsid w:val="00C81845"/>
    <w:rsid w:val="00C83649"/>
    <w:rsid w:val="00C93D36"/>
    <w:rsid w:val="00C940C4"/>
    <w:rsid w:val="00CA500E"/>
    <w:rsid w:val="00CA6F08"/>
    <w:rsid w:val="00CF092A"/>
    <w:rsid w:val="00D1162A"/>
    <w:rsid w:val="00D15484"/>
    <w:rsid w:val="00D23219"/>
    <w:rsid w:val="00D363E2"/>
    <w:rsid w:val="00D3705A"/>
    <w:rsid w:val="00D41105"/>
    <w:rsid w:val="00D43259"/>
    <w:rsid w:val="00D43953"/>
    <w:rsid w:val="00D503C0"/>
    <w:rsid w:val="00D51322"/>
    <w:rsid w:val="00D74974"/>
    <w:rsid w:val="00D856A8"/>
    <w:rsid w:val="00DA3AA6"/>
    <w:rsid w:val="00DB5B7F"/>
    <w:rsid w:val="00DB7232"/>
    <w:rsid w:val="00DB7A76"/>
    <w:rsid w:val="00DC7408"/>
    <w:rsid w:val="00E022FC"/>
    <w:rsid w:val="00E02CDD"/>
    <w:rsid w:val="00E02D0D"/>
    <w:rsid w:val="00E072AC"/>
    <w:rsid w:val="00E20CF0"/>
    <w:rsid w:val="00E22DBE"/>
    <w:rsid w:val="00E24632"/>
    <w:rsid w:val="00E24A90"/>
    <w:rsid w:val="00E36F75"/>
    <w:rsid w:val="00E406E8"/>
    <w:rsid w:val="00E41EBC"/>
    <w:rsid w:val="00E53FF0"/>
    <w:rsid w:val="00E80B5F"/>
    <w:rsid w:val="00EA795C"/>
    <w:rsid w:val="00EC2D24"/>
    <w:rsid w:val="00EC7769"/>
    <w:rsid w:val="00EE47F4"/>
    <w:rsid w:val="00EE6F1C"/>
    <w:rsid w:val="00EF5A37"/>
    <w:rsid w:val="00EF6368"/>
    <w:rsid w:val="00EF7E96"/>
    <w:rsid w:val="00F1544D"/>
    <w:rsid w:val="00F22E3C"/>
    <w:rsid w:val="00F2637D"/>
    <w:rsid w:val="00F772FF"/>
    <w:rsid w:val="00F8015B"/>
    <w:rsid w:val="00F96035"/>
    <w:rsid w:val="00FB5112"/>
    <w:rsid w:val="00F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1900D"/>
  <w14:defaultImageDpi w14:val="0"/>
  <w15:docId w15:val="{CB82A1E1-FB05-4B66-A2D8-8DA32C94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451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451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A71451"/>
    <w:rPr>
      <w:rFonts w:cs="Times New Roman"/>
      <w:b/>
      <w:bCs/>
      <w:smallCaps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A71451"/>
  </w:style>
  <w:style w:type="table" w:styleId="Tabela-Siatka">
    <w:name w:val="Table Grid"/>
    <w:basedOn w:val="Standardowy"/>
    <w:uiPriority w:val="59"/>
    <w:rsid w:val="00BA5A5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5AEE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7E2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A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60A3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60A3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0A3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E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3EE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EE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47F4"/>
    <w:rPr>
      <w:rFonts w:cs="Times New Roman"/>
    </w:rPr>
  </w:style>
  <w:style w:type="character" w:customStyle="1" w:styleId="citation-line">
    <w:name w:val="citation-line"/>
    <w:basedOn w:val="Domylnaczcionkaakapitu"/>
    <w:rsid w:val="007F44C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8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827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.pl/zdrow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zdrow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zdrow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zdrowie/karmienie-piers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9A7A-5A44-43D1-808A-F2EBFFDF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2248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Trzewik Anna</dc:creator>
  <cp:keywords/>
  <dc:description/>
  <cp:lastModifiedBy>Trzewik Anna</cp:lastModifiedBy>
  <cp:revision>3</cp:revision>
  <cp:lastPrinted>2018-07-12T10:45:00Z</cp:lastPrinted>
  <dcterms:created xsi:type="dcterms:W3CDTF">2018-07-13T12:13:00Z</dcterms:created>
  <dcterms:modified xsi:type="dcterms:W3CDTF">2018-07-13T12:15:00Z</dcterms:modified>
</cp:coreProperties>
</file>