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3FF8DAB" w14:textId="77777777" w:rsidR="007A0A3D" w:rsidRPr="00CB74B0" w:rsidRDefault="00A1534B" w:rsidP="008927DE">
      <w:pPr>
        <w:jc w:val="center"/>
        <w:outlineLvl w:val="0"/>
        <w:rPr>
          <w:rFonts w:cstheme="minorHAnsi"/>
        </w:rPr>
      </w:pPr>
      <w:r w:rsidRPr="00CB74B0">
        <w:rPr>
          <w:rFonts w:cstheme="minorHAnsi"/>
        </w:rPr>
        <w:t xml:space="preserve">Raport </w:t>
      </w:r>
      <w:r w:rsidR="009D3D41" w:rsidRPr="00CB74B0">
        <w:rPr>
          <w:rFonts w:cstheme="minorHAnsi"/>
        </w:rPr>
        <w:t>końcowy z realizacji projektu</w:t>
      </w:r>
      <w:r w:rsidR="00CA79E4" w:rsidRPr="00CB74B0">
        <w:rPr>
          <w:rFonts w:cstheme="minorHAnsi"/>
        </w:rPr>
        <w:t xml:space="preserve"> informatycznego</w:t>
      </w:r>
    </w:p>
    <w:tbl>
      <w:tblPr>
        <w:tblStyle w:val="Tabela-Siatka"/>
        <w:tblW w:w="0" w:type="auto"/>
        <w:tblLayout w:type="fixed"/>
        <w:tblLook w:val="04A0" w:firstRow="1" w:lastRow="0" w:firstColumn="1" w:lastColumn="0" w:noHBand="0" w:noVBand="1"/>
      </w:tblPr>
      <w:tblGrid>
        <w:gridCol w:w="480"/>
        <w:gridCol w:w="2350"/>
        <w:gridCol w:w="6232"/>
      </w:tblGrid>
      <w:tr w:rsidR="007A0A3D" w:rsidRPr="00CB74B0" w14:paraId="78502346" w14:textId="77777777" w:rsidTr="00E369E5">
        <w:tc>
          <w:tcPr>
            <w:tcW w:w="480" w:type="dxa"/>
          </w:tcPr>
          <w:p w14:paraId="6DEAA228" w14:textId="77777777" w:rsidR="007A0A3D" w:rsidRPr="00CB74B0" w:rsidRDefault="007A0A3D" w:rsidP="007A0A3D">
            <w:pPr>
              <w:jc w:val="center"/>
              <w:rPr>
                <w:rFonts w:cstheme="minorHAnsi"/>
                <w:b/>
                <w:sz w:val="18"/>
                <w:szCs w:val="20"/>
              </w:rPr>
            </w:pPr>
            <w:r w:rsidRPr="00CB74B0">
              <w:rPr>
                <w:rFonts w:cstheme="minorHAnsi"/>
                <w:b/>
                <w:sz w:val="18"/>
                <w:szCs w:val="20"/>
              </w:rPr>
              <w:t>Lp.</w:t>
            </w:r>
          </w:p>
        </w:tc>
        <w:tc>
          <w:tcPr>
            <w:tcW w:w="2350" w:type="dxa"/>
          </w:tcPr>
          <w:p w14:paraId="5D5BBE0F" w14:textId="77777777" w:rsidR="007A0A3D" w:rsidRPr="00CB74B0" w:rsidRDefault="007A0A3D" w:rsidP="007A0A3D">
            <w:pPr>
              <w:jc w:val="center"/>
              <w:rPr>
                <w:rFonts w:cstheme="minorHAnsi"/>
                <w:b/>
                <w:sz w:val="18"/>
                <w:szCs w:val="20"/>
              </w:rPr>
            </w:pPr>
            <w:r w:rsidRPr="00CB74B0">
              <w:rPr>
                <w:rFonts w:cstheme="minorHAnsi"/>
                <w:b/>
                <w:sz w:val="18"/>
                <w:szCs w:val="20"/>
              </w:rPr>
              <w:t>Wyszczególnienie</w:t>
            </w:r>
          </w:p>
        </w:tc>
        <w:tc>
          <w:tcPr>
            <w:tcW w:w="6232" w:type="dxa"/>
          </w:tcPr>
          <w:p w14:paraId="23972416" w14:textId="77777777" w:rsidR="007A0A3D" w:rsidRPr="00CB74B0" w:rsidRDefault="007A0A3D" w:rsidP="007A0A3D">
            <w:pPr>
              <w:jc w:val="center"/>
              <w:rPr>
                <w:rFonts w:cstheme="minorHAnsi"/>
                <w:b/>
                <w:sz w:val="18"/>
                <w:szCs w:val="20"/>
              </w:rPr>
            </w:pPr>
            <w:r w:rsidRPr="00CB74B0">
              <w:rPr>
                <w:rFonts w:cstheme="minorHAnsi"/>
                <w:b/>
                <w:sz w:val="18"/>
                <w:szCs w:val="20"/>
              </w:rPr>
              <w:t>Opis</w:t>
            </w:r>
          </w:p>
        </w:tc>
      </w:tr>
      <w:tr w:rsidR="007A0A3D" w:rsidRPr="00DC2637" w14:paraId="6161686A" w14:textId="77777777" w:rsidTr="00E369E5">
        <w:tc>
          <w:tcPr>
            <w:tcW w:w="480" w:type="dxa"/>
          </w:tcPr>
          <w:p w14:paraId="356638FB" w14:textId="77777777" w:rsidR="007A0A3D" w:rsidRPr="00CB74B0" w:rsidRDefault="007A0A3D" w:rsidP="007A0A3D">
            <w:pPr>
              <w:pStyle w:val="Akapitzlist"/>
              <w:numPr>
                <w:ilvl w:val="0"/>
                <w:numId w:val="1"/>
              </w:numPr>
              <w:rPr>
                <w:rFonts w:cstheme="minorHAnsi"/>
                <w:sz w:val="18"/>
                <w:szCs w:val="20"/>
              </w:rPr>
            </w:pPr>
          </w:p>
        </w:tc>
        <w:tc>
          <w:tcPr>
            <w:tcW w:w="2350" w:type="dxa"/>
          </w:tcPr>
          <w:p w14:paraId="2DA4B519" w14:textId="77777777" w:rsidR="007A0A3D" w:rsidRPr="00CB74B0" w:rsidRDefault="007A0A3D">
            <w:pPr>
              <w:rPr>
                <w:rFonts w:cstheme="minorHAnsi"/>
                <w:sz w:val="18"/>
                <w:szCs w:val="20"/>
              </w:rPr>
            </w:pPr>
            <w:r w:rsidRPr="00CB74B0">
              <w:rPr>
                <w:rFonts w:cstheme="minorHAnsi"/>
                <w:sz w:val="18"/>
                <w:szCs w:val="20"/>
              </w:rPr>
              <w:t>Tytuł projektu</w:t>
            </w:r>
          </w:p>
        </w:tc>
        <w:tc>
          <w:tcPr>
            <w:tcW w:w="6232" w:type="dxa"/>
          </w:tcPr>
          <w:p w14:paraId="22C4579A" w14:textId="77777777" w:rsidR="007A0A3D" w:rsidRPr="00CB74B0" w:rsidRDefault="00C82EC7" w:rsidP="00DD6949">
            <w:pPr>
              <w:jc w:val="both"/>
              <w:rPr>
                <w:rFonts w:cstheme="minorHAnsi"/>
                <w:i/>
                <w:sz w:val="18"/>
                <w:szCs w:val="20"/>
              </w:rPr>
            </w:pPr>
            <w:r w:rsidRPr="00CB74B0">
              <w:rPr>
                <w:rFonts w:cstheme="minorHAnsi"/>
                <w:i/>
                <w:sz w:val="18"/>
                <w:szCs w:val="20"/>
              </w:rPr>
              <w:t>Rozwój katalogu usług publicznych Krajowej Administracji Skarbowej w zakresie cyfryzacji obsługi podatników oraz wsparcia kontroli podatkowej (CVP)</w:t>
            </w:r>
          </w:p>
        </w:tc>
      </w:tr>
      <w:tr w:rsidR="007A0A3D" w:rsidRPr="00DC2637" w14:paraId="61D3757B" w14:textId="77777777" w:rsidTr="00E369E5">
        <w:trPr>
          <w:trHeight w:val="265"/>
        </w:trPr>
        <w:tc>
          <w:tcPr>
            <w:tcW w:w="480" w:type="dxa"/>
          </w:tcPr>
          <w:p w14:paraId="70EF908F" w14:textId="77777777" w:rsidR="007A0A3D" w:rsidRPr="00DC2637" w:rsidRDefault="007A0A3D" w:rsidP="007A0A3D">
            <w:pPr>
              <w:pStyle w:val="Akapitzlist"/>
              <w:numPr>
                <w:ilvl w:val="0"/>
                <w:numId w:val="1"/>
              </w:numPr>
              <w:rPr>
                <w:rFonts w:cstheme="minorHAnsi"/>
                <w:sz w:val="18"/>
                <w:szCs w:val="20"/>
              </w:rPr>
            </w:pPr>
          </w:p>
        </w:tc>
        <w:tc>
          <w:tcPr>
            <w:tcW w:w="2350" w:type="dxa"/>
          </w:tcPr>
          <w:p w14:paraId="3189A6ED" w14:textId="77777777" w:rsidR="007A0A3D" w:rsidRPr="00DC2637" w:rsidRDefault="007A0A3D" w:rsidP="00A1534B">
            <w:pPr>
              <w:rPr>
                <w:rFonts w:cstheme="minorHAnsi"/>
                <w:sz w:val="18"/>
                <w:szCs w:val="20"/>
              </w:rPr>
            </w:pPr>
            <w:r w:rsidRPr="00DC2637">
              <w:rPr>
                <w:rFonts w:cstheme="minorHAnsi"/>
                <w:sz w:val="18"/>
                <w:szCs w:val="20"/>
              </w:rPr>
              <w:t xml:space="preserve">Beneficjent projektu </w:t>
            </w:r>
          </w:p>
        </w:tc>
        <w:tc>
          <w:tcPr>
            <w:tcW w:w="6232" w:type="dxa"/>
          </w:tcPr>
          <w:p w14:paraId="7A31C159" w14:textId="2F6B703C" w:rsidR="001C611C" w:rsidRPr="00345E59" w:rsidRDefault="00DD6949" w:rsidP="00DD6949">
            <w:pPr>
              <w:jc w:val="both"/>
              <w:rPr>
                <w:rFonts w:cstheme="minorHAnsi"/>
                <w:i/>
                <w:sz w:val="14"/>
                <w:szCs w:val="20"/>
              </w:rPr>
            </w:pPr>
            <w:r w:rsidRPr="00345E59">
              <w:rPr>
                <w:rFonts w:cstheme="minorHAnsi"/>
                <w:i/>
                <w:sz w:val="14"/>
                <w:szCs w:val="20"/>
              </w:rPr>
              <w:t>Ministerstwo Finansów – Krajowa Administracja Skarbowa</w:t>
            </w:r>
          </w:p>
        </w:tc>
      </w:tr>
      <w:tr w:rsidR="007A0A3D" w:rsidRPr="00DC2637" w14:paraId="4EB3F057" w14:textId="77777777" w:rsidTr="00E369E5">
        <w:tc>
          <w:tcPr>
            <w:tcW w:w="480" w:type="dxa"/>
          </w:tcPr>
          <w:p w14:paraId="084EDD28" w14:textId="77777777" w:rsidR="007A0A3D" w:rsidRPr="00DC2637" w:rsidRDefault="007A0A3D" w:rsidP="007A0A3D">
            <w:pPr>
              <w:pStyle w:val="Akapitzlist"/>
              <w:numPr>
                <w:ilvl w:val="0"/>
                <w:numId w:val="1"/>
              </w:numPr>
              <w:rPr>
                <w:rFonts w:cstheme="minorHAnsi"/>
                <w:sz w:val="18"/>
                <w:szCs w:val="20"/>
              </w:rPr>
            </w:pPr>
          </w:p>
        </w:tc>
        <w:tc>
          <w:tcPr>
            <w:tcW w:w="2350" w:type="dxa"/>
          </w:tcPr>
          <w:p w14:paraId="54870978" w14:textId="77777777" w:rsidR="007A0A3D" w:rsidRPr="00DC2637" w:rsidRDefault="007A0A3D" w:rsidP="007A0A3D">
            <w:pPr>
              <w:rPr>
                <w:rFonts w:cstheme="minorHAnsi"/>
                <w:sz w:val="18"/>
                <w:szCs w:val="20"/>
              </w:rPr>
            </w:pPr>
            <w:r w:rsidRPr="00DC2637">
              <w:rPr>
                <w:rFonts w:cstheme="minorHAnsi"/>
                <w:sz w:val="18"/>
                <w:szCs w:val="20"/>
              </w:rPr>
              <w:t xml:space="preserve">Partnerzy </w:t>
            </w:r>
          </w:p>
        </w:tc>
        <w:tc>
          <w:tcPr>
            <w:tcW w:w="6232" w:type="dxa"/>
          </w:tcPr>
          <w:p w14:paraId="5B831470" w14:textId="77777777" w:rsidR="007A0A3D" w:rsidRPr="00345E59" w:rsidRDefault="00DD6949" w:rsidP="00FD074F">
            <w:pPr>
              <w:jc w:val="both"/>
              <w:rPr>
                <w:rFonts w:cstheme="minorHAnsi"/>
                <w:i/>
                <w:sz w:val="14"/>
                <w:szCs w:val="20"/>
              </w:rPr>
            </w:pPr>
            <w:r w:rsidRPr="00345E59">
              <w:rPr>
                <w:rFonts w:cstheme="minorHAnsi"/>
                <w:i/>
                <w:sz w:val="14"/>
                <w:szCs w:val="20"/>
              </w:rPr>
              <w:t>nie dotyczy</w:t>
            </w:r>
            <w:r w:rsidRPr="00345E59" w:rsidDel="00C82EC7">
              <w:rPr>
                <w:rFonts w:cstheme="minorHAnsi"/>
                <w:i/>
                <w:sz w:val="14"/>
                <w:szCs w:val="20"/>
              </w:rPr>
              <w:t xml:space="preserve"> </w:t>
            </w:r>
          </w:p>
        </w:tc>
      </w:tr>
      <w:tr w:rsidR="003B107D" w:rsidRPr="00DC2637" w14:paraId="735CB1D0" w14:textId="77777777" w:rsidTr="00E369E5">
        <w:tc>
          <w:tcPr>
            <w:tcW w:w="480" w:type="dxa"/>
          </w:tcPr>
          <w:p w14:paraId="681829C5" w14:textId="77777777" w:rsidR="003B107D" w:rsidRPr="00DC2637" w:rsidRDefault="003B107D" w:rsidP="007A0A3D">
            <w:pPr>
              <w:pStyle w:val="Akapitzlist"/>
              <w:numPr>
                <w:ilvl w:val="0"/>
                <w:numId w:val="1"/>
              </w:numPr>
              <w:rPr>
                <w:rFonts w:cstheme="minorHAnsi"/>
                <w:sz w:val="18"/>
                <w:szCs w:val="20"/>
              </w:rPr>
            </w:pPr>
          </w:p>
        </w:tc>
        <w:tc>
          <w:tcPr>
            <w:tcW w:w="2350" w:type="dxa"/>
          </w:tcPr>
          <w:p w14:paraId="0207678D" w14:textId="77777777" w:rsidR="003B107D" w:rsidRPr="00DC2637" w:rsidRDefault="005A4344" w:rsidP="0092099A">
            <w:pPr>
              <w:jc w:val="both"/>
              <w:rPr>
                <w:rFonts w:cstheme="minorHAnsi"/>
                <w:sz w:val="18"/>
                <w:szCs w:val="20"/>
              </w:rPr>
            </w:pPr>
            <w:r w:rsidRPr="00DC2637">
              <w:rPr>
                <w:rFonts w:cstheme="minorHAnsi"/>
                <w:sz w:val="18"/>
                <w:szCs w:val="20"/>
              </w:rPr>
              <w:t>Postęp finansowy</w:t>
            </w:r>
          </w:p>
        </w:tc>
        <w:tc>
          <w:tcPr>
            <w:tcW w:w="6232" w:type="dxa"/>
          </w:tcPr>
          <w:p w14:paraId="711C3ECC" w14:textId="77777777" w:rsidR="00C82EC7" w:rsidRPr="00345E59" w:rsidRDefault="00C82EC7" w:rsidP="00C82EC7">
            <w:pPr>
              <w:jc w:val="both"/>
              <w:rPr>
                <w:rFonts w:cstheme="minorHAnsi"/>
                <w:i/>
                <w:sz w:val="14"/>
                <w:szCs w:val="20"/>
              </w:rPr>
            </w:pPr>
            <w:r w:rsidRPr="00345E59">
              <w:rPr>
                <w:rFonts w:cstheme="minorHAnsi"/>
                <w:i/>
                <w:sz w:val="14"/>
                <w:szCs w:val="20"/>
              </w:rPr>
              <w:t xml:space="preserve">Planowany budżet projektu zgodnie z aneksem nr 2 do Porozumienia o dofinansowanie projektu wynosił </w:t>
            </w:r>
            <w:r w:rsidR="00112D8A" w:rsidRPr="00345E59">
              <w:rPr>
                <w:rFonts w:cstheme="minorHAnsi"/>
                <w:i/>
                <w:sz w:val="14"/>
                <w:szCs w:val="20"/>
              </w:rPr>
              <w:t xml:space="preserve">- </w:t>
            </w:r>
            <w:r w:rsidRPr="00345E59">
              <w:rPr>
                <w:rFonts w:cstheme="minorHAnsi"/>
                <w:i/>
                <w:sz w:val="14"/>
                <w:szCs w:val="20"/>
              </w:rPr>
              <w:t>17.274.633,83 zł, w tym wydatki kwalifikowalne – 16.951.752,83 zł.</w:t>
            </w:r>
          </w:p>
          <w:p w14:paraId="63A20940" w14:textId="1EE1CB96" w:rsidR="00112D8A" w:rsidRPr="00345E59" w:rsidRDefault="00715F4A" w:rsidP="00112D8A">
            <w:pPr>
              <w:jc w:val="both"/>
              <w:rPr>
                <w:rFonts w:cstheme="minorHAnsi"/>
                <w:i/>
                <w:sz w:val="14"/>
                <w:szCs w:val="20"/>
              </w:rPr>
            </w:pPr>
            <w:r w:rsidRPr="006B47CB">
              <w:rPr>
                <w:rFonts w:cstheme="minorHAnsi"/>
                <w:i/>
                <w:sz w:val="14"/>
                <w:szCs w:val="20"/>
              </w:rPr>
              <w:t xml:space="preserve">Budżet projektu został zrealizowany w wysokości </w:t>
            </w:r>
            <w:r w:rsidR="007816FF" w:rsidRPr="006B47CB">
              <w:rPr>
                <w:rFonts w:cstheme="minorHAnsi"/>
                <w:i/>
                <w:sz w:val="14"/>
                <w:szCs w:val="20"/>
              </w:rPr>
              <w:t xml:space="preserve">12.695.031,33 </w:t>
            </w:r>
            <w:r w:rsidRPr="006B47CB">
              <w:rPr>
                <w:rFonts w:cstheme="minorHAnsi"/>
                <w:i/>
                <w:sz w:val="14"/>
                <w:szCs w:val="20"/>
              </w:rPr>
              <w:t>zł, tj. 73,49%.</w:t>
            </w:r>
          </w:p>
          <w:p w14:paraId="5A49D7CE" w14:textId="77777777" w:rsidR="00221D76" w:rsidRPr="00345E59" w:rsidRDefault="00112D8A" w:rsidP="00221D76">
            <w:pPr>
              <w:jc w:val="both"/>
              <w:rPr>
                <w:rFonts w:cstheme="minorHAnsi"/>
                <w:i/>
                <w:sz w:val="14"/>
                <w:szCs w:val="20"/>
              </w:rPr>
            </w:pPr>
            <w:r w:rsidRPr="00345E59">
              <w:rPr>
                <w:rFonts w:cstheme="minorHAnsi"/>
                <w:i/>
                <w:sz w:val="14"/>
                <w:szCs w:val="20"/>
              </w:rPr>
              <w:t xml:space="preserve"> Na dzień 24.05.2019 r. Beneficjent nie otrzymał od Instytucji Pośredniczącej CPPC informacji nt. wszystkich wykazanych wydatków w złożonych wnioskach o płatność.</w:t>
            </w:r>
            <w:r w:rsidR="005C1B2A" w:rsidRPr="00345E59">
              <w:rPr>
                <w:rFonts w:cstheme="minorHAnsi"/>
                <w:i/>
                <w:sz w:val="14"/>
                <w:szCs w:val="20"/>
              </w:rPr>
              <w:t xml:space="preserve"> Końcowy Wniosek o płatność</w:t>
            </w:r>
            <w:r w:rsidR="00345E59">
              <w:rPr>
                <w:rFonts w:cstheme="minorHAnsi"/>
                <w:i/>
                <w:sz w:val="14"/>
                <w:szCs w:val="20"/>
              </w:rPr>
              <w:t xml:space="preserve"> został złożony w </w:t>
            </w:r>
            <w:r w:rsidR="00622AD4" w:rsidRPr="00345E59">
              <w:rPr>
                <w:rFonts w:cstheme="minorHAnsi"/>
                <w:i/>
                <w:sz w:val="14"/>
                <w:szCs w:val="20"/>
              </w:rPr>
              <w:t>dniu 8.05.2019 r.</w:t>
            </w:r>
            <w:r w:rsidRPr="00345E59">
              <w:rPr>
                <w:rFonts w:cstheme="minorHAnsi"/>
                <w:i/>
                <w:sz w:val="14"/>
                <w:szCs w:val="20"/>
              </w:rPr>
              <w:t xml:space="preserve"> </w:t>
            </w:r>
          </w:p>
          <w:p w14:paraId="5DE8E7D4" w14:textId="77777777" w:rsidR="00221D76" w:rsidRPr="00345E59" w:rsidRDefault="00112D8A" w:rsidP="00221D76">
            <w:pPr>
              <w:jc w:val="both"/>
              <w:rPr>
                <w:rFonts w:cstheme="minorHAnsi"/>
                <w:i/>
                <w:sz w:val="14"/>
                <w:szCs w:val="20"/>
              </w:rPr>
            </w:pPr>
            <w:r w:rsidRPr="00345E59">
              <w:rPr>
                <w:rFonts w:cstheme="minorHAnsi"/>
                <w:i/>
                <w:sz w:val="14"/>
                <w:szCs w:val="20"/>
              </w:rPr>
              <w:t>Kwota zatwierdzona przez CPPC</w:t>
            </w:r>
            <w:r w:rsidR="00221D76" w:rsidRPr="00345E59">
              <w:rPr>
                <w:rFonts w:cstheme="minorHAnsi"/>
                <w:i/>
                <w:sz w:val="14"/>
                <w:szCs w:val="20"/>
              </w:rPr>
              <w:t xml:space="preserve"> </w:t>
            </w:r>
            <w:r w:rsidRPr="00345E59">
              <w:rPr>
                <w:rFonts w:cstheme="minorHAnsi"/>
                <w:i/>
                <w:sz w:val="14"/>
                <w:szCs w:val="20"/>
              </w:rPr>
              <w:t xml:space="preserve">do certyfikacji </w:t>
            </w:r>
            <w:r w:rsidR="00221D76" w:rsidRPr="00345E59">
              <w:rPr>
                <w:rFonts w:cstheme="minorHAnsi"/>
                <w:i/>
                <w:sz w:val="14"/>
                <w:szCs w:val="20"/>
              </w:rPr>
              <w:t>wynosi</w:t>
            </w:r>
            <w:r w:rsidRPr="00345E59">
              <w:rPr>
                <w:rFonts w:cstheme="minorHAnsi"/>
                <w:i/>
                <w:sz w:val="14"/>
                <w:szCs w:val="20"/>
              </w:rPr>
              <w:t xml:space="preserve"> – 8.</w:t>
            </w:r>
            <w:r w:rsidR="00622AD4" w:rsidRPr="00345E59">
              <w:rPr>
                <w:rFonts w:cstheme="minorHAnsi"/>
                <w:i/>
                <w:sz w:val="14"/>
                <w:szCs w:val="20"/>
              </w:rPr>
              <w:t>670.924</w:t>
            </w:r>
            <w:r w:rsidRPr="00345E59">
              <w:rPr>
                <w:rFonts w:cstheme="minorHAnsi"/>
                <w:i/>
                <w:sz w:val="14"/>
                <w:szCs w:val="20"/>
              </w:rPr>
              <w:t xml:space="preserve">,16 zł, </w:t>
            </w:r>
          </w:p>
          <w:p w14:paraId="4B12A2BB" w14:textId="77777777" w:rsidR="00221D76" w:rsidRPr="00345E59" w:rsidRDefault="00221D76" w:rsidP="00221D76">
            <w:pPr>
              <w:jc w:val="both"/>
              <w:rPr>
                <w:rFonts w:cstheme="minorHAnsi"/>
                <w:i/>
                <w:sz w:val="14"/>
                <w:szCs w:val="20"/>
              </w:rPr>
            </w:pPr>
            <w:r w:rsidRPr="00345E59">
              <w:rPr>
                <w:rFonts w:cstheme="minorHAnsi"/>
                <w:i/>
                <w:sz w:val="14"/>
                <w:szCs w:val="20"/>
              </w:rPr>
              <w:t>Kwota wydatków oczekujących na certyfikację wynosi</w:t>
            </w:r>
            <w:r w:rsidR="00112D8A" w:rsidRPr="00345E59">
              <w:rPr>
                <w:rFonts w:cstheme="minorHAnsi"/>
                <w:i/>
                <w:sz w:val="14"/>
                <w:szCs w:val="20"/>
              </w:rPr>
              <w:t xml:space="preserve"> – 3.971.226,17 zł</w:t>
            </w:r>
            <w:r w:rsidRPr="00345E59">
              <w:rPr>
                <w:rFonts w:cstheme="minorHAnsi"/>
                <w:i/>
                <w:sz w:val="14"/>
                <w:szCs w:val="20"/>
              </w:rPr>
              <w:t>.</w:t>
            </w:r>
          </w:p>
          <w:p w14:paraId="24F9BD4C" w14:textId="77777777" w:rsidR="005C1B2A" w:rsidRPr="00345E59" w:rsidRDefault="00221D76" w:rsidP="00221D76">
            <w:pPr>
              <w:jc w:val="both"/>
              <w:rPr>
                <w:rFonts w:cstheme="minorHAnsi"/>
                <w:i/>
                <w:sz w:val="14"/>
                <w:szCs w:val="20"/>
              </w:rPr>
            </w:pPr>
            <w:r w:rsidRPr="00345E59">
              <w:rPr>
                <w:rFonts w:cstheme="minorHAnsi"/>
                <w:i/>
                <w:sz w:val="14"/>
                <w:szCs w:val="20"/>
              </w:rPr>
              <w:t xml:space="preserve">Kwota wydatków uznanych przez CPPC za niekwalifikowalne - </w:t>
            </w:r>
            <w:r w:rsidR="00112D8A" w:rsidRPr="00345E59">
              <w:rPr>
                <w:rFonts w:cstheme="minorHAnsi"/>
                <w:i/>
                <w:sz w:val="14"/>
                <w:szCs w:val="20"/>
              </w:rPr>
              <w:t xml:space="preserve"> </w:t>
            </w:r>
            <w:r w:rsidR="00622AD4" w:rsidRPr="00345E59">
              <w:rPr>
                <w:rFonts w:cstheme="minorHAnsi"/>
                <w:i/>
                <w:sz w:val="14"/>
                <w:szCs w:val="20"/>
              </w:rPr>
              <w:t>52.881,00</w:t>
            </w:r>
            <w:r w:rsidRPr="00345E59">
              <w:rPr>
                <w:rFonts w:cstheme="minorHAnsi"/>
                <w:i/>
                <w:sz w:val="14"/>
                <w:szCs w:val="20"/>
              </w:rPr>
              <w:t xml:space="preserve"> zł</w:t>
            </w:r>
            <w:r w:rsidR="00F55768" w:rsidRPr="00345E59">
              <w:rPr>
                <w:rFonts w:cstheme="minorHAnsi"/>
                <w:i/>
                <w:sz w:val="14"/>
                <w:szCs w:val="20"/>
              </w:rPr>
              <w:t xml:space="preserve">, </w:t>
            </w:r>
          </w:p>
          <w:p w14:paraId="1BDFCC87" w14:textId="77777777" w:rsidR="00622AD4" w:rsidRPr="00345E59" w:rsidRDefault="00F55768" w:rsidP="00221D76">
            <w:pPr>
              <w:jc w:val="both"/>
              <w:rPr>
                <w:rFonts w:cstheme="minorHAnsi"/>
                <w:i/>
                <w:sz w:val="14"/>
                <w:szCs w:val="20"/>
              </w:rPr>
            </w:pPr>
            <w:r w:rsidRPr="00345E59">
              <w:rPr>
                <w:rFonts w:cstheme="minorHAnsi"/>
                <w:i/>
                <w:sz w:val="14"/>
                <w:szCs w:val="20"/>
              </w:rPr>
              <w:t>w tym:</w:t>
            </w:r>
          </w:p>
          <w:p w14:paraId="73B60831" w14:textId="77777777" w:rsidR="00F55768" w:rsidRPr="00345E59" w:rsidRDefault="005C1B2A" w:rsidP="00F55768">
            <w:pPr>
              <w:jc w:val="both"/>
              <w:rPr>
                <w:rFonts w:cstheme="minorHAnsi"/>
                <w:i/>
                <w:sz w:val="14"/>
                <w:szCs w:val="20"/>
              </w:rPr>
            </w:pPr>
            <w:r w:rsidRPr="00345E59">
              <w:rPr>
                <w:rFonts w:cstheme="minorHAnsi"/>
                <w:i/>
                <w:sz w:val="14"/>
                <w:szCs w:val="20"/>
              </w:rPr>
              <w:t xml:space="preserve">- </w:t>
            </w:r>
            <w:r w:rsidR="00F55768" w:rsidRPr="00345E59">
              <w:rPr>
                <w:rFonts w:cstheme="minorHAnsi"/>
                <w:i/>
                <w:sz w:val="14"/>
                <w:szCs w:val="20"/>
              </w:rPr>
              <w:t>7.740,00 zł wydatkowana na zakup szkolenia została uznana przez CPPC za niekwalifikowalną ze względu na brak udokumentowania poprawności oszacowania wartości zamówienia na zakup usługi szkoleniowej;</w:t>
            </w:r>
          </w:p>
          <w:p w14:paraId="29654600" w14:textId="77777777" w:rsidR="00F55768" w:rsidRPr="00345E59" w:rsidRDefault="00F55768" w:rsidP="00F55768">
            <w:pPr>
              <w:jc w:val="both"/>
              <w:rPr>
                <w:rFonts w:cstheme="minorHAnsi"/>
                <w:i/>
                <w:sz w:val="14"/>
                <w:szCs w:val="20"/>
              </w:rPr>
            </w:pPr>
            <w:r w:rsidRPr="00345E59">
              <w:rPr>
                <w:rFonts w:cstheme="minorHAnsi"/>
                <w:i/>
                <w:sz w:val="14"/>
                <w:szCs w:val="20"/>
              </w:rPr>
              <w:t>-</w:t>
            </w:r>
            <w:r w:rsidR="005C1B2A" w:rsidRPr="00345E59">
              <w:rPr>
                <w:rFonts w:cstheme="minorHAnsi"/>
                <w:i/>
                <w:sz w:val="14"/>
                <w:szCs w:val="20"/>
              </w:rPr>
              <w:t xml:space="preserve"> </w:t>
            </w:r>
            <w:r w:rsidRPr="00345E59">
              <w:rPr>
                <w:rFonts w:cstheme="minorHAnsi"/>
                <w:i/>
                <w:sz w:val="14"/>
                <w:szCs w:val="20"/>
              </w:rPr>
              <w:t xml:space="preserve">7.072,50 zł – </w:t>
            </w:r>
            <w:r w:rsidR="00D90625" w:rsidRPr="00345E59">
              <w:rPr>
                <w:rFonts w:cstheme="minorHAnsi"/>
                <w:i/>
                <w:sz w:val="14"/>
                <w:szCs w:val="20"/>
              </w:rPr>
              <w:t xml:space="preserve">kwota </w:t>
            </w:r>
            <w:r w:rsidRPr="00345E59">
              <w:rPr>
                <w:rFonts w:cstheme="minorHAnsi"/>
                <w:i/>
                <w:sz w:val="14"/>
                <w:szCs w:val="20"/>
              </w:rPr>
              <w:t xml:space="preserve">uznana </w:t>
            </w:r>
            <w:r w:rsidR="00D90625" w:rsidRPr="00345E59">
              <w:rPr>
                <w:rFonts w:cstheme="minorHAnsi"/>
                <w:i/>
                <w:sz w:val="14"/>
                <w:szCs w:val="20"/>
              </w:rPr>
              <w:t xml:space="preserve">za niekwalifikowalną </w:t>
            </w:r>
            <w:r w:rsidRPr="00345E59">
              <w:rPr>
                <w:rFonts w:cstheme="minorHAnsi"/>
                <w:i/>
                <w:sz w:val="14"/>
                <w:szCs w:val="20"/>
              </w:rPr>
              <w:t>dotycz</w:t>
            </w:r>
            <w:r w:rsidR="00D90625" w:rsidRPr="00345E59">
              <w:rPr>
                <w:rFonts w:cstheme="minorHAnsi"/>
                <w:i/>
                <w:sz w:val="14"/>
                <w:szCs w:val="20"/>
              </w:rPr>
              <w:t>ąca</w:t>
            </w:r>
            <w:r w:rsidRPr="00345E59">
              <w:rPr>
                <w:rFonts w:cstheme="minorHAnsi"/>
                <w:i/>
                <w:sz w:val="14"/>
                <w:szCs w:val="20"/>
              </w:rPr>
              <w:t xml:space="preserve"> materia</w:t>
            </w:r>
            <w:r w:rsidR="00345E59">
              <w:rPr>
                <w:rFonts w:cstheme="minorHAnsi"/>
                <w:i/>
                <w:sz w:val="14"/>
                <w:szCs w:val="20"/>
              </w:rPr>
              <w:t>łu promocyjnego wyemitowanego w </w:t>
            </w:r>
            <w:r w:rsidRPr="00345E59">
              <w:rPr>
                <w:rFonts w:cstheme="minorHAnsi"/>
                <w:i/>
                <w:sz w:val="14"/>
                <w:szCs w:val="20"/>
              </w:rPr>
              <w:t>dniu 19.03.2017 roku, w ramach którego nie zastosowano zasad promocji</w:t>
            </w:r>
            <w:r w:rsidR="005C1B2A" w:rsidRPr="00345E59">
              <w:rPr>
                <w:rFonts w:cstheme="minorHAnsi"/>
                <w:i/>
                <w:sz w:val="14"/>
                <w:szCs w:val="20"/>
              </w:rPr>
              <w:t xml:space="preserve"> zgodnie z wytycznymi</w:t>
            </w:r>
            <w:r w:rsidR="00D90625" w:rsidRPr="00345E59">
              <w:rPr>
                <w:rFonts w:cstheme="minorHAnsi"/>
                <w:i/>
                <w:sz w:val="14"/>
                <w:szCs w:val="20"/>
              </w:rPr>
              <w:t xml:space="preserve"> – brak komunikatu o finansowaniu spotu reklamowego ze środków UE</w:t>
            </w:r>
            <w:r w:rsidRPr="00345E59">
              <w:rPr>
                <w:rFonts w:cstheme="minorHAnsi"/>
                <w:i/>
                <w:sz w:val="14"/>
                <w:szCs w:val="20"/>
              </w:rPr>
              <w:t>;</w:t>
            </w:r>
          </w:p>
          <w:p w14:paraId="2D3B2DC4" w14:textId="77777777" w:rsidR="00F55768" w:rsidRPr="00345E59" w:rsidRDefault="00F55768" w:rsidP="005C1B2A">
            <w:pPr>
              <w:jc w:val="both"/>
              <w:rPr>
                <w:rFonts w:cstheme="minorHAnsi"/>
                <w:i/>
                <w:sz w:val="14"/>
                <w:szCs w:val="20"/>
              </w:rPr>
            </w:pPr>
            <w:r w:rsidRPr="00345E59">
              <w:rPr>
                <w:rFonts w:cstheme="minorHAnsi"/>
                <w:i/>
                <w:sz w:val="14"/>
                <w:szCs w:val="20"/>
              </w:rPr>
              <w:t>-</w:t>
            </w:r>
            <w:r w:rsidR="005C1B2A" w:rsidRPr="00345E59">
              <w:rPr>
                <w:rFonts w:cstheme="minorHAnsi"/>
                <w:i/>
                <w:sz w:val="14"/>
                <w:szCs w:val="20"/>
              </w:rPr>
              <w:t xml:space="preserve"> </w:t>
            </w:r>
            <w:r w:rsidRPr="00345E59">
              <w:rPr>
                <w:rFonts w:cstheme="minorHAnsi"/>
                <w:i/>
                <w:sz w:val="14"/>
                <w:szCs w:val="20"/>
              </w:rPr>
              <w:t xml:space="preserve">38.068,50 zł </w:t>
            </w:r>
            <w:r w:rsidR="005C1B2A" w:rsidRPr="00345E59">
              <w:rPr>
                <w:rFonts w:cstheme="minorHAnsi"/>
                <w:i/>
                <w:sz w:val="14"/>
                <w:szCs w:val="20"/>
              </w:rPr>
              <w:t>–</w:t>
            </w:r>
            <w:r w:rsidRPr="00345E59">
              <w:rPr>
                <w:rFonts w:cstheme="minorHAnsi"/>
                <w:i/>
                <w:sz w:val="14"/>
                <w:szCs w:val="20"/>
              </w:rPr>
              <w:t xml:space="preserve"> </w:t>
            </w:r>
            <w:r w:rsidR="005C1B2A" w:rsidRPr="00345E59">
              <w:rPr>
                <w:rFonts w:cstheme="minorHAnsi"/>
                <w:i/>
                <w:sz w:val="14"/>
                <w:szCs w:val="20"/>
              </w:rPr>
              <w:t>dotyczy wydatku na przygotowanie animacji oraz przeprowadzenie internetowej kampanii informacyjno – promocyjnej, koszty w wysokości 38 068,50 PLN zostały uznane przez CPPC za niekwalifikowalne, (co stanowi 25 % wydatków przedstawionych do rozlicze</w:t>
            </w:r>
            <w:r w:rsidR="00D90625" w:rsidRPr="00345E59">
              <w:rPr>
                <w:rFonts w:cstheme="minorHAnsi"/>
                <w:i/>
                <w:sz w:val="14"/>
                <w:szCs w:val="20"/>
              </w:rPr>
              <w:t>nia w ramach ww. umowy (tj. 152.</w:t>
            </w:r>
            <w:r w:rsidR="005C1B2A" w:rsidRPr="00345E59">
              <w:rPr>
                <w:rFonts w:cstheme="minorHAnsi"/>
                <w:i/>
                <w:sz w:val="14"/>
                <w:szCs w:val="20"/>
              </w:rPr>
              <w:t>274,00 PLN x 25 %) ze względu na brak zastosowania zasady konkurencyjności.</w:t>
            </w:r>
          </w:p>
          <w:p w14:paraId="525781C8" w14:textId="77777777" w:rsidR="005C1B2A" w:rsidRPr="00345E59" w:rsidRDefault="005C1B2A" w:rsidP="005C1B2A">
            <w:pPr>
              <w:jc w:val="both"/>
              <w:rPr>
                <w:rFonts w:cstheme="minorHAnsi"/>
                <w:i/>
                <w:sz w:val="14"/>
                <w:szCs w:val="20"/>
              </w:rPr>
            </w:pPr>
            <w:r w:rsidRPr="00345E59">
              <w:rPr>
                <w:rFonts w:cstheme="minorHAnsi"/>
                <w:i/>
                <w:sz w:val="14"/>
                <w:szCs w:val="20"/>
              </w:rPr>
              <w:t xml:space="preserve">Brak wydatkowania środków w </w:t>
            </w:r>
            <w:r w:rsidR="00E8494E" w:rsidRPr="00345E59">
              <w:rPr>
                <w:rFonts w:cstheme="minorHAnsi"/>
                <w:i/>
                <w:sz w:val="14"/>
                <w:szCs w:val="20"/>
              </w:rPr>
              <w:t>pełn</w:t>
            </w:r>
            <w:r w:rsidR="00B67E2B" w:rsidRPr="00345E59">
              <w:rPr>
                <w:rFonts w:cstheme="minorHAnsi"/>
                <w:i/>
                <w:sz w:val="14"/>
                <w:szCs w:val="20"/>
              </w:rPr>
              <w:t>e</w:t>
            </w:r>
            <w:r w:rsidR="00E8494E" w:rsidRPr="00345E59">
              <w:rPr>
                <w:rFonts w:cstheme="minorHAnsi"/>
                <w:i/>
                <w:sz w:val="14"/>
                <w:szCs w:val="20"/>
              </w:rPr>
              <w:t>j wysokości wynika z:</w:t>
            </w:r>
          </w:p>
          <w:p w14:paraId="021ABDBC" w14:textId="77777777" w:rsidR="00B67E2B" w:rsidRPr="00345E59" w:rsidRDefault="00B67E2B" w:rsidP="005C1B2A">
            <w:pPr>
              <w:jc w:val="both"/>
              <w:rPr>
                <w:rFonts w:cstheme="minorHAnsi"/>
                <w:i/>
                <w:sz w:val="14"/>
                <w:szCs w:val="20"/>
              </w:rPr>
            </w:pPr>
            <w:r w:rsidRPr="00345E59">
              <w:rPr>
                <w:rFonts w:cstheme="minorHAnsi"/>
                <w:i/>
                <w:sz w:val="14"/>
                <w:szCs w:val="20"/>
              </w:rPr>
              <w:t>- braku wydatkowania środków na wynagrodzenie osób zaangażowanych w realizację projektu. Od lipca 2017 roku do maja 2018 roku zostały wstrzymane dodatki zadaniowe dla osób z zespołów projektowych ze względu na opóźnienia w realizacji projektu spowodowane prob</w:t>
            </w:r>
            <w:r w:rsidR="00345E59">
              <w:rPr>
                <w:rFonts w:cstheme="minorHAnsi"/>
                <w:i/>
                <w:sz w:val="14"/>
                <w:szCs w:val="20"/>
              </w:rPr>
              <w:t>lemami w realizacji Kontraktu z </w:t>
            </w:r>
            <w:r w:rsidRPr="00345E59">
              <w:rPr>
                <w:rFonts w:cstheme="minorHAnsi"/>
                <w:i/>
                <w:sz w:val="14"/>
                <w:szCs w:val="20"/>
              </w:rPr>
              <w:t>Generalnym Wykonawcą Systemu e-Podatki</w:t>
            </w:r>
            <w:r w:rsidR="00DD6949" w:rsidRPr="00345E59">
              <w:rPr>
                <w:rFonts w:cstheme="minorHAnsi"/>
                <w:i/>
                <w:sz w:val="14"/>
                <w:szCs w:val="20"/>
              </w:rPr>
              <w:t>, d</w:t>
            </w:r>
            <w:r w:rsidRPr="00345E59">
              <w:rPr>
                <w:rFonts w:cstheme="minorHAnsi"/>
                <w:i/>
                <w:sz w:val="14"/>
                <w:szCs w:val="20"/>
              </w:rPr>
              <w:t>o czasu restrukturyzacji projektu CVP i aktualizacji zespołów projektowych. Aneks do Porozumienia o dofinansowanie projektu CVP zmieniający jego zakres został podpisany w dniu 25.04.2018 roku. Oszczędności w kategorii</w:t>
            </w:r>
            <w:r w:rsidR="00345E59">
              <w:rPr>
                <w:rFonts w:cstheme="minorHAnsi"/>
                <w:i/>
                <w:sz w:val="14"/>
                <w:szCs w:val="20"/>
              </w:rPr>
              <w:t xml:space="preserve"> wynagrodzenia wyniosły ponad 2 </w:t>
            </w:r>
            <w:r w:rsidRPr="00345E59">
              <w:rPr>
                <w:rFonts w:cstheme="minorHAnsi"/>
                <w:i/>
                <w:sz w:val="14"/>
                <w:szCs w:val="20"/>
              </w:rPr>
              <w:t>miliony</w:t>
            </w:r>
            <w:r w:rsidR="00D90625" w:rsidRPr="00345E59">
              <w:rPr>
                <w:rFonts w:cstheme="minorHAnsi"/>
                <w:i/>
                <w:sz w:val="14"/>
                <w:szCs w:val="20"/>
              </w:rPr>
              <w:t xml:space="preserve"> złotych</w:t>
            </w:r>
            <w:r w:rsidRPr="00345E59">
              <w:rPr>
                <w:rFonts w:cstheme="minorHAnsi"/>
                <w:i/>
                <w:sz w:val="14"/>
                <w:szCs w:val="20"/>
              </w:rPr>
              <w:t>;</w:t>
            </w:r>
          </w:p>
          <w:p w14:paraId="56ED943C" w14:textId="77777777" w:rsidR="00E8494E" w:rsidRPr="00345E59" w:rsidRDefault="00B67E2B" w:rsidP="00345E59">
            <w:pPr>
              <w:jc w:val="both"/>
              <w:rPr>
                <w:rFonts w:cstheme="minorHAnsi"/>
                <w:i/>
                <w:sz w:val="14"/>
                <w:szCs w:val="20"/>
              </w:rPr>
            </w:pPr>
            <w:r w:rsidRPr="00345E59">
              <w:rPr>
                <w:rFonts w:cstheme="minorHAnsi"/>
                <w:i/>
                <w:sz w:val="14"/>
                <w:szCs w:val="20"/>
              </w:rPr>
              <w:t xml:space="preserve">- </w:t>
            </w:r>
            <w:r w:rsidR="00D90625" w:rsidRPr="00345E59">
              <w:rPr>
                <w:rFonts w:cstheme="minorHAnsi"/>
                <w:i/>
                <w:sz w:val="14"/>
                <w:szCs w:val="20"/>
              </w:rPr>
              <w:t>powstało w kategorii wydatku Usługi zewnętrzne. Niskie wykonanie wynika głównie z długotrwałej procedury postępowania na usługi doradcze i wsparcie prawne dla projektu CVP. Podpisania umowy nastąpiło dopiero w II połowie 2017 roku. Pierwsze postępowanie przeprowadzono jeszcze w 2016 roku, jednak ze względu na skomplikowany charakter przedmiotu zamówienia musiało zostać unieważnione i</w:t>
            </w:r>
            <w:r w:rsidR="00345E59">
              <w:rPr>
                <w:rFonts w:cstheme="minorHAnsi"/>
                <w:i/>
                <w:sz w:val="14"/>
                <w:szCs w:val="20"/>
              </w:rPr>
              <w:t> </w:t>
            </w:r>
            <w:r w:rsidR="00D90625" w:rsidRPr="00345E59">
              <w:rPr>
                <w:rFonts w:cstheme="minorHAnsi"/>
                <w:i/>
                <w:sz w:val="14"/>
                <w:szCs w:val="20"/>
              </w:rPr>
              <w:t xml:space="preserve">rozpoczęte ponownie. Oszczędności w tej kategorii wyniosły także ponad 2 miliony złotych. </w:t>
            </w:r>
          </w:p>
        </w:tc>
      </w:tr>
      <w:tr w:rsidR="007A0A3D" w:rsidRPr="00DC2637" w14:paraId="57A8B63F" w14:textId="77777777" w:rsidTr="00E369E5">
        <w:tc>
          <w:tcPr>
            <w:tcW w:w="480" w:type="dxa"/>
          </w:tcPr>
          <w:p w14:paraId="461E7E9C" w14:textId="77777777" w:rsidR="007A0A3D" w:rsidRPr="00DC2637" w:rsidRDefault="007A0A3D" w:rsidP="007A0A3D">
            <w:pPr>
              <w:pStyle w:val="Akapitzlist"/>
              <w:numPr>
                <w:ilvl w:val="0"/>
                <w:numId w:val="1"/>
              </w:numPr>
              <w:rPr>
                <w:rFonts w:cstheme="minorHAnsi"/>
                <w:sz w:val="18"/>
                <w:szCs w:val="20"/>
              </w:rPr>
            </w:pPr>
          </w:p>
        </w:tc>
        <w:tc>
          <w:tcPr>
            <w:tcW w:w="2350" w:type="dxa"/>
          </w:tcPr>
          <w:p w14:paraId="1AEBFEDD" w14:textId="77777777" w:rsidR="007A0A3D" w:rsidRPr="00DC2637" w:rsidRDefault="005A4344">
            <w:pPr>
              <w:rPr>
                <w:rFonts w:cstheme="minorHAnsi"/>
                <w:sz w:val="18"/>
                <w:szCs w:val="20"/>
              </w:rPr>
            </w:pPr>
            <w:r w:rsidRPr="00DC2637">
              <w:rPr>
                <w:rFonts w:cstheme="minorHAnsi"/>
                <w:sz w:val="18"/>
                <w:szCs w:val="20"/>
              </w:rPr>
              <w:t>Postęp rzeczowy</w:t>
            </w:r>
          </w:p>
        </w:tc>
        <w:tc>
          <w:tcPr>
            <w:tcW w:w="6232" w:type="dxa"/>
          </w:tcPr>
          <w:tbl>
            <w:tblPr>
              <w:tblStyle w:val="Tabela-Siatka"/>
              <w:tblW w:w="5983" w:type="dxa"/>
              <w:tblLayout w:type="fixed"/>
              <w:tblLook w:val="04A0" w:firstRow="1" w:lastRow="0" w:firstColumn="1" w:lastColumn="0" w:noHBand="0" w:noVBand="1"/>
              <w:tblCaption w:val="Kamienie milowe."/>
            </w:tblPr>
            <w:tblGrid>
              <w:gridCol w:w="1358"/>
              <w:gridCol w:w="733"/>
              <w:gridCol w:w="768"/>
              <w:gridCol w:w="3124"/>
            </w:tblGrid>
            <w:tr w:rsidR="00E857FF" w:rsidRPr="00345E59" w14:paraId="7D78E256" w14:textId="77777777" w:rsidTr="00345E59">
              <w:trPr>
                <w:tblHeader/>
              </w:trPr>
              <w:tc>
                <w:tcPr>
                  <w:tcW w:w="1358" w:type="dxa"/>
                  <w:shd w:val="clear" w:color="auto" w:fill="D0CECE" w:themeFill="background2" w:themeFillShade="E6"/>
                </w:tcPr>
                <w:p w14:paraId="6A9D361B" w14:textId="77777777" w:rsidR="008E28E5" w:rsidRPr="00345E59" w:rsidRDefault="008E28E5" w:rsidP="001E46BF">
                  <w:pPr>
                    <w:rPr>
                      <w:rFonts w:cstheme="minorHAnsi"/>
                      <w:sz w:val="12"/>
                      <w:szCs w:val="18"/>
                    </w:rPr>
                  </w:pPr>
                  <w:r w:rsidRPr="00345E59">
                    <w:rPr>
                      <w:rFonts w:cstheme="minorHAnsi"/>
                      <w:sz w:val="12"/>
                      <w:szCs w:val="18"/>
                    </w:rPr>
                    <w:t>Nazwa</w:t>
                  </w:r>
                  <w:r w:rsidR="00CB74B0" w:rsidRPr="00345E59">
                    <w:rPr>
                      <w:rFonts w:cstheme="minorHAnsi"/>
                      <w:sz w:val="12"/>
                      <w:szCs w:val="18"/>
                    </w:rPr>
                    <w:t xml:space="preserve"> kamienia milowego</w:t>
                  </w:r>
                </w:p>
              </w:tc>
              <w:tc>
                <w:tcPr>
                  <w:tcW w:w="733" w:type="dxa"/>
                  <w:shd w:val="clear" w:color="auto" w:fill="D0CECE" w:themeFill="background2" w:themeFillShade="E6"/>
                </w:tcPr>
                <w:p w14:paraId="2C319123" w14:textId="77777777" w:rsidR="008E28E5" w:rsidRPr="00345E59" w:rsidRDefault="008E28E5" w:rsidP="001E46BF">
                  <w:pPr>
                    <w:rPr>
                      <w:rFonts w:cstheme="minorHAnsi"/>
                      <w:sz w:val="12"/>
                      <w:szCs w:val="18"/>
                    </w:rPr>
                  </w:pPr>
                  <w:r w:rsidRPr="00345E59">
                    <w:rPr>
                      <w:rFonts w:cstheme="minorHAnsi"/>
                      <w:sz w:val="12"/>
                      <w:szCs w:val="18"/>
                    </w:rPr>
                    <w:t>Planowany termin osiągnięcia</w:t>
                  </w:r>
                </w:p>
              </w:tc>
              <w:tc>
                <w:tcPr>
                  <w:tcW w:w="768" w:type="dxa"/>
                  <w:shd w:val="clear" w:color="auto" w:fill="D0CECE" w:themeFill="background2" w:themeFillShade="E6"/>
                </w:tcPr>
                <w:p w14:paraId="0499B1B4" w14:textId="77777777" w:rsidR="008E28E5" w:rsidRPr="00345E59" w:rsidRDefault="008E28E5" w:rsidP="001E46BF">
                  <w:pPr>
                    <w:rPr>
                      <w:rFonts w:cstheme="minorHAnsi"/>
                      <w:sz w:val="12"/>
                      <w:szCs w:val="18"/>
                    </w:rPr>
                  </w:pPr>
                  <w:r w:rsidRPr="00345E59">
                    <w:rPr>
                      <w:rFonts w:cstheme="minorHAnsi"/>
                      <w:sz w:val="12"/>
                      <w:szCs w:val="18"/>
                    </w:rPr>
                    <w:t>Rzeczywisty termin osiągnięcia</w:t>
                  </w:r>
                </w:p>
              </w:tc>
              <w:tc>
                <w:tcPr>
                  <w:tcW w:w="3124" w:type="dxa"/>
                  <w:shd w:val="clear" w:color="auto" w:fill="D0CECE" w:themeFill="background2" w:themeFillShade="E6"/>
                </w:tcPr>
                <w:p w14:paraId="1742EC88" w14:textId="77777777" w:rsidR="008E28E5" w:rsidRPr="00345E59" w:rsidRDefault="008E28E5" w:rsidP="001E46BF">
                  <w:pPr>
                    <w:rPr>
                      <w:rFonts w:cstheme="minorHAnsi"/>
                      <w:sz w:val="12"/>
                      <w:szCs w:val="18"/>
                    </w:rPr>
                  </w:pPr>
                  <w:r w:rsidRPr="00345E59">
                    <w:rPr>
                      <w:rFonts w:cstheme="minorHAnsi"/>
                      <w:sz w:val="12"/>
                      <w:szCs w:val="18"/>
                    </w:rPr>
                    <w:t>Status realizacji kamienia milowego</w:t>
                  </w:r>
                </w:p>
              </w:tc>
            </w:tr>
            <w:tr w:rsidR="00E857FF" w:rsidRPr="00345E59" w14:paraId="4047A98B" w14:textId="77777777" w:rsidTr="00345E59">
              <w:tc>
                <w:tcPr>
                  <w:tcW w:w="1358" w:type="dxa"/>
                </w:tcPr>
                <w:p w14:paraId="219001A5" w14:textId="77777777" w:rsidR="008E28E5" w:rsidRPr="00345E59" w:rsidRDefault="008E28E5" w:rsidP="00AF2165">
                  <w:pPr>
                    <w:pStyle w:val="Akapitzlist"/>
                    <w:numPr>
                      <w:ilvl w:val="0"/>
                      <w:numId w:val="7"/>
                    </w:numPr>
                    <w:ind w:left="176" w:hanging="176"/>
                    <w:rPr>
                      <w:rFonts w:cstheme="minorHAnsi"/>
                      <w:color w:val="0070C0"/>
                      <w:sz w:val="12"/>
                      <w:szCs w:val="18"/>
                    </w:rPr>
                  </w:pPr>
                  <w:r w:rsidRPr="00345E59">
                    <w:rPr>
                      <w:rFonts w:cstheme="minorHAnsi"/>
                      <w:sz w:val="12"/>
                      <w:szCs w:val="18"/>
                    </w:rPr>
                    <w:t>Przygotowanie szczegółowej koncepcji realizacji projektu</w:t>
                  </w:r>
                </w:p>
              </w:tc>
              <w:tc>
                <w:tcPr>
                  <w:tcW w:w="733" w:type="dxa"/>
                </w:tcPr>
                <w:p w14:paraId="2C9BC8EC" w14:textId="77777777" w:rsidR="008E28E5" w:rsidRPr="00345E59" w:rsidRDefault="008E28E5" w:rsidP="00DC2637">
                  <w:pPr>
                    <w:jc w:val="center"/>
                    <w:rPr>
                      <w:rFonts w:cstheme="minorHAnsi"/>
                      <w:sz w:val="12"/>
                      <w:szCs w:val="18"/>
                      <w:lang w:eastAsia="pl-PL"/>
                    </w:rPr>
                  </w:pPr>
                  <w:r w:rsidRPr="00345E59">
                    <w:rPr>
                      <w:rFonts w:cstheme="minorHAnsi"/>
                      <w:sz w:val="12"/>
                      <w:szCs w:val="18"/>
                      <w:lang w:eastAsia="pl-PL"/>
                    </w:rPr>
                    <w:t>12-2018</w:t>
                  </w:r>
                </w:p>
              </w:tc>
              <w:tc>
                <w:tcPr>
                  <w:tcW w:w="768" w:type="dxa"/>
                </w:tcPr>
                <w:p w14:paraId="6F77BF20" w14:textId="77777777" w:rsidR="008E28E5" w:rsidRPr="00345E59" w:rsidRDefault="008E28E5" w:rsidP="00DC2637">
                  <w:pPr>
                    <w:jc w:val="center"/>
                    <w:rPr>
                      <w:rFonts w:cstheme="minorHAnsi"/>
                      <w:sz w:val="12"/>
                      <w:szCs w:val="18"/>
                      <w:lang w:eastAsia="pl-PL"/>
                    </w:rPr>
                  </w:pPr>
                  <w:r w:rsidRPr="00345E59">
                    <w:rPr>
                      <w:rFonts w:cstheme="minorHAnsi"/>
                      <w:sz w:val="12"/>
                      <w:szCs w:val="18"/>
                      <w:lang w:eastAsia="pl-PL"/>
                    </w:rPr>
                    <w:t>12-2018</w:t>
                  </w:r>
                </w:p>
              </w:tc>
              <w:tc>
                <w:tcPr>
                  <w:tcW w:w="3124" w:type="dxa"/>
                </w:tcPr>
                <w:p w14:paraId="5FEC3412" w14:textId="77777777" w:rsidR="008E28E5" w:rsidRPr="00345E59" w:rsidRDefault="008E28E5" w:rsidP="00DC2637">
                  <w:pPr>
                    <w:jc w:val="center"/>
                    <w:rPr>
                      <w:rFonts w:cstheme="minorHAnsi"/>
                      <w:sz w:val="12"/>
                      <w:szCs w:val="18"/>
                    </w:rPr>
                  </w:pPr>
                  <w:r w:rsidRPr="00345E59">
                    <w:rPr>
                      <w:rFonts w:cstheme="minorHAnsi"/>
                      <w:sz w:val="12"/>
                      <w:szCs w:val="18"/>
                    </w:rPr>
                    <w:t>Osiągnięty</w:t>
                  </w:r>
                </w:p>
                <w:p w14:paraId="039683B7" w14:textId="77777777" w:rsidR="008E28E5" w:rsidRPr="00345E59" w:rsidRDefault="008E28E5" w:rsidP="00DC2637">
                  <w:pPr>
                    <w:jc w:val="center"/>
                    <w:rPr>
                      <w:rFonts w:cstheme="minorHAnsi"/>
                      <w:color w:val="0070C0"/>
                      <w:sz w:val="12"/>
                      <w:szCs w:val="18"/>
                    </w:rPr>
                  </w:pPr>
                </w:p>
              </w:tc>
            </w:tr>
            <w:tr w:rsidR="00E857FF" w:rsidRPr="00345E59" w14:paraId="7A245970" w14:textId="77777777" w:rsidTr="00345E59">
              <w:tc>
                <w:tcPr>
                  <w:tcW w:w="1358" w:type="dxa"/>
                </w:tcPr>
                <w:p w14:paraId="18401DD4" w14:textId="77777777" w:rsidR="008E28E5" w:rsidRPr="00345E59" w:rsidRDefault="008E28E5" w:rsidP="00AF2165">
                  <w:pPr>
                    <w:pStyle w:val="Akapitzlist"/>
                    <w:numPr>
                      <w:ilvl w:val="0"/>
                      <w:numId w:val="7"/>
                    </w:numPr>
                    <w:ind w:left="176" w:hanging="176"/>
                    <w:rPr>
                      <w:rFonts w:cstheme="minorHAnsi"/>
                      <w:sz w:val="12"/>
                      <w:szCs w:val="18"/>
                    </w:rPr>
                  </w:pPr>
                  <w:r w:rsidRPr="00345E59">
                    <w:rPr>
                      <w:rFonts w:cstheme="minorHAnsi"/>
                      <w:sz w:val="12"/>
                      <w:szCs w:val="18"/>
                    </w:rPr>
                    <w:t>Nadzór nad realizacją projektu</w:t>
                  </w:r>
                </w:p>
              </w:tc>
              <w:tc>
                <w:tcPr>
                  <w:tcW w:w="733" w:type="dxa"/>
                </w:tcPr>
                <w:p w14:paraId="6EC509CE" w14:textId="77777777" w:rsidR="008E28E5" w:rsidRPr="00345E59" w:rsidRDefault="008E28E5" w:rsidP="00DC2637">
                  <w:pPr>
                    <w:jc w:val="center"/>
                    <w:rPr>
                      <w:rFonts w:cstheme="minorHAnsi"/>
                      <w:sz w:val="12"/>
                      <w:szCs w:val="18"/>
                      <w:lang w:eastAsia="pl-PL"/>
                    </w:rPr>
                  </w:pPr>
                  <w:r w:rsidRPr="00345E59">
                    <w:rPr>
                      <w:rFonts w:cstheme="minorHAnsi"/>
                      <w:sz w:val="12"/>
                      <w:szCs w:val="18"/>
                      <w:lang w:eastAsia="pl-PL"/>
                    </w:rPr>
                    <w:t>03-2019</w:t>
                  </w:r>
                </w:p>
              </w:tc>
              <w:tc>
                <w:tcPr>
                  <w:tcW w:w="768" w:type="dxa"/>
                </w:tcPr>
                <w:p w14:paraId="18162218" w14:textId="77777777" w:rsidR="008E28E5" w:rsidRPr="00345E59" w:rsidRDefault="008E28E5" w:rsidP="00DC2637">
                  <w:pPr>
                    <w:jc w:val="center"/>
                    <w:rPr>
                      <w:rFonts w:cstheme="minorHAnsi"/>
                      <w:sz w:val="12"/>
                      <w:szCs w:val="18"/>
                      <w:lang w:eastAsia="pl-PL"/>
                    </w:rPr>
                  </w:pPr>
                  <w:r w:rsidRPr="00345E59">
                    <w:rPr>
                      <w:rFonts w:cstheme="minorHAnsi"/>
                      <w:sz w:val="12"/>
                      <w:szCs w:val="18"/>
                      <w:lang w:eastAsia="pl-PL"/>
                    </w:rPr>
                    <w:t>03-2019</w:t>
                  </w:r>
                </w:p>
              </w:tc>
              <w:tc>
                <w:tcPr>
                  <w:tcW w:w="3124" w:type="dxa"/>
                </w:tcPr>
                <w:p w14:paraId="2426A8BE" w14:textId="77777777" w:rsidR="008E28E5" w:rsidRPr="00345E59" w:rsidRDefault="008E28E5" w:rsidP="00DC2637">
                  <w:pPr>
                    <w:jc w:val="center"/>
                    <w:rPr>
                      <w:rFonts w:cstheme="minorHAnsi"/>
                      <w:color w:val="0070C0"/>
                      <w:sz w:val="12"/>
                      <w:szCs w:val="18"/>
                    </w:rPr>
                  </w:pPr>
                  <w:r w:rsidRPr="00345E59">
                    <w:rPr>
                      <w:rFonts w:cstheme="minorHAnsi"/>
                      <w:sz w:val="12"/>
                      <w:szCs w:val="18"/>
                    </w:rPr>
                    <w:t>Osiągnięty</w:t>
                  </w:r>
                </w:p>
              </w:tc>
            </w:tr>
            <w:tr w:rsidR="00E857FF" w:rsidRPr="00345E59" w14:paraId="6AD33A56" w14:textId="77777777" w:rsidTr="00345E59">
              <w:tc>
                <w:tcPr>
                  <w:tcW w:w="1358" w:type="dxa"/>
                </w:tcPr>
                <w:p w14:paraId="5F88046A" w14:textId="77777777" w:rsidR="008E28E5" w:rsidRPr="00345E59" w:rsidRDefault="008E28E5" w:rsidP="00AF2165">
                  <w:pPr>
                    <w:pStyle w:val="Akapitzlist"/>
                    <w:numPr>
                      <w:ilvl w:val="0"/>
                      <w:numId w:val="7"/>
                    </w:numPr>
                    <w:ind w:left="176" w:hanging="176"/>
                    <w:rPr>
                      <w:rFonts w:cstheme="minorHAnsi"/>
                      <w:sz w:val="12"/>
                      <w:szCs w:val="18"/>
                    </w:rPr>
                  </w:pPr>
                  <w:r w:rsidRPr="00345E59">
                    <w:rPr>
                      <w:rFonts w:cstheme="minorHAnsi"/>
                      <w:sz w:val="12"/>
                      <w:szCs w:val="18"/>
                    </w:rPr>
                    <w:t>Przygotowanie i przeprowadzenie postępowań przetargowych</w:t>
                  </w:r>
                </w:p>
              </w:tc>
              <w:tc>
                <w:tcPr>
                  <w:tcW w:w="733" w:type="dxa"/>
                </w:tcPr>
                <w:p w14:paraId="001E318D" w14:textId="77777777" w:rsidR="008E28E5" w:rsidRPr="00345E59" w:rsidRDefault="008E28E5" w:rsidP="00DC2637">
                  <w:pPr>
                    <w:jc w:val="center"/>
                    <w:rPr>
                      <w:rFonts w:cstheme="minorHAnsi"/>
                      <w:sz w:val="12"/>
                      <w:szCs w:val="18"/>
                      <w:lang w:eastAsia="pl-PL"/>
                    </w:rPr>
                  </w:pPr>
                  <w:r w:rsidRPr="00345E59">
                    <w:rPr>
                      <w:rFonts w:cstheme="minorHAnsi"/>
                      <w:sz w:val="12"/>
                      <w:szCs w:val="18"/>
                      <w:lang w:eastAsia="pl-PL"/>
                    </w:rPr>
                    <w:t>03-2018</w:t>
                  </w:r>
                </w:p>
              </w:tc>
              <w:tc>
                <w:tcPr>
                  <w:tcW w:w="768" w:type="dxa"/>
                </w:tcPr>
                <w:p w14:paraId="215F95F0" w14:textId="77777777" w:rsidR="008E28E5" w:rsidRPr="00345E59" w:rsidRDefault="008E28E5" w:rsidP="00DC2637">
                  <w:pPr>
                    <w:pStyle w:val="Akapitzlist"/>
                    <w:ind w:left="7"/>
                    <w:jc w:val="center"/>
                    <w:rPr>
                      <w:rFonts w:cstheme="minorHAnsi"/>
                      <w:sz w:val="12"/>
                      <w:szCs w:val="18"/>
                      <w:lang w:eastAsia="pl-PL"/>
                    </w:rPr>
                  </w:pPr>
                  <w:r w:rsidRPr="00345E59">
                    <w:rPr>
                      <w:rFonts w:cstheme="minorHAnsi"/>
                      <w:sz w:val="12"/>
                      <w:szCs w:val="18"/>
                      <w:lang w:eastAsia="pl-PL"/>
                    </w:rPr>
                    <w:t>06-2018</w:t>
                  </w:r>
                </w:p>
              </w:tc>
              <w:tc>
                <w:tcPr>
                  <w:tcW w:w="3124" w:type="dxa"/>
                </w:tcPr>
                <w:p w14:paraId="6B07D601" w14:textId="77777777" w:rsidR="008E28E5" w:rsidRPr="00345E59" w:rsidRDefault="008E28E5" w:rsidP="00DC2637">
                  <w:pPr>
                    <w:jc w:val="center"/>
                    <w:rPr>
                      <w:rFonts w:cstheme="minorHAnsi"/>
                      <w:sz w:val="12"/>
                      <w:szCs w:val="18"/>
                    </w:rPr>
                  </w:pPr>
                  <w:r w:rsidRPr="00345E59">
                    <w:rPr>
                      <w:rFonts w:cstheme="minorHAnsi"/>
                      <w:sz w:val="12"/>
                      <w:szCs w:val="18"/>
                    </w:rPr>
                    <w:t>Osiągnięty</w:t>
                  </w:r>
                </w:p>
                <w:p w14:paraId="26A9C6F9" w14:textId="77777777" w:rsidR="008E28E5" w:rsidRPr="00345E59" w:rsidRDefault="008E28E5" w:rsidP="00DC2637">
                  <w:pPr>
                    <w:jc w:val="center"/>
                    <w:rPr>
                      <w:rFonts w:cstheme="minorHAnsi"/>
                      <w:sz w:val="12"/>
                      <w:szCs w:val="18"/>
                    </w:rPr>
                  </w:pPr>
                  <w:r w:rsidRPr="00345E59">
                    <w:rPr>
                      <w:rFonts w:cstheme="minorHAnsi"/>
                      <w:sz w:val="12"/>
                      <w:szCs w:val="18"/>
                    </w:rPr>
                    <w:t>Zadanie zrealizowane przed datą punktu ostatecznego tj. 30</w:t>
                  </w:r>
                  <w:r w:rsidR="00AF2165" w:rsidRPr="00345E59">
                    <w:rPr>
                      <w:rFonts w:cstheme="minorHAnsi"/>
                      <w:sz w:val="12"/>
                      <w:szCs w:val="18"/>
                    </w:rPr>
                    <w:t>-</w:t>
                  </w:r>
                  <w:r w:rsidRPr="00345E59">
                    <w:rPr>
                      <w:rFonts w:cstheme="minorHAnsi"/>
                      <w:sz w:val="12"/>
                      <w:szCs w:val="18"/>
                    </w:rPr>
                    <w:t>06</w:t>
                  </w:r>
                  <w:r w:rsidR="00AF2165" w:rsidRPr="00345E59">
                    <w:rPr>
                      <w:rFonts w:cstheme="minorHAnsi"/>
                      <w:sz w:val="12"/>
                      <w:szCs w:val="18"/>
                    </w:rPr>
                    <w:t>-</w:t>
                  </w:r>
                  <w:r w:rsidR="00345E59" w:rsidRPr="00345E59">
                    <w:rPr>
                      <w:rFonts w:cstheme="minorHAnsi"/>
                      <w:sz w:val="12"/>
                      <w:szCs w:val="18"/>
                    </w:rPr>
                    <w:t>2018r. określonego w </w:t>
                  </w:r>
                  <w:r w:rsidRPr="00345E59">
                    <w:rPr>
                      <w:rFonts w:cstheme="minorHAnsi"/>
                      <w:sz w:val="12"/>
                      <w:szCs w:val="18"/>
                    </w:rPr>
                    <w:t>aneksie nr 2.</w:t>
                  </w:r>
                </w:p>
                <w:p w14:paraId="5A42F36E" w14:textId="77777777" w:rsidR="008E28E5" w:rsidRPr="00345E59" w:rsidRDefault="008E28E5" w:rsidP="00DC2637">
                  <w:pPr>
                    <w:jc w:val="center"/>
                    <w:rPr>
                      <w:rFonts w:cstheme="minorHAnsi"/>
                      <w:sz w:val="12"/>
                      <w:szCs w:val="18"/>
                    </w:rPr>
                  </w:pPr>
                  <w:r w:rsidRPr="00345E59">
                    <w:rPr>
                      <w:rFonts w:cstheme="minorHAnsi"/>
                      <w:sz w:val="12"/>
                      <w:szCs w:val="18"/>
                    </w:rPr>
                    <w:t>Przesunięcie terminu wynikało z</w:t>
                  </w:r>
                  <w:r w:rsidR="00AF2165" w:rsidRPr="00345E59">
                    <w:rPr>
                      <w:rFonts w:cstheme="minorHAnsi"/>
                      <w:sz w:val="12"/>
                      <w:szCs w:val="18"/>
                    </w:rPr>
                    <w:t> </w:t>
                  </w:r>
                  <w:r w:rsidRPr="00345E59">
                    <w:rPr>
                      <w:rFonts w:cstheme="minorHAnsi"/>
                      <w:sz w:val="12"/>
                      <w:szCs w:val="18"/>
                    </w:rPr>
                    <w:t>przełożenia daty wejścia w życie części przepisów w zakresie KAS z 1 stycznia 2017 r. na dzień 1 marca 2017r. Zmianie uległ termin powołania nowej struktury organizacyjnej, co miało wpływ na  OPZ w</w:t>
                  </w:r>
                  <w:r w:rsidR="00AF2165" w:rsidRPr="00345E59">
                    <w:rPr>
                      <w:rFonts w:cstheme="minorHAnsi"/>
                      <w:sz w:val="12"/>
                      <w:szCs w:val="18"/>
                    </w:rPr>
                    <w:t> </w:t>
                  </w:r>
                  <w:r w:rsidRPr="00345E59">
                    <w:rPr>
                      <w:rFonts w:cstheme="minorHAnsi"/>
                      <w:sz w:val="12"/>
                      <w:szCs w:val="18"/>
                    </w:rPr>
                    <w:t>zakresie wskazania liczby użytkowników końcowych oraz docelowej lokalizacji dostaw sprzętu.</w:t>
                  </w:r>
                </w:p>
                <w:p w14:paraId="5581ACE9" w14:textId="77777777" w:rsidR="008E28E5" w:rsidRPr="00345E59" w:rsidRDefault="008E28E5" w:rsidP="00DC2637">
                  <w:pPr>
                    <w:jc w:val="center"/>
                    <w:rPr>
                      <w:rFonts w:cstheme="minorHAnsi"/>
                      <w:sz w:val="12"/>
                      <w:szCs w:val="18"/>
                    </w:rPr>
                  </w:pPr>
                  <w:r w:rsidRPr="00345E59">
                    <w:rPr>
                      <w:rFonts w:cstheme="minorHAnsi"/>
                      <w:sz w:val="12"/>
                      <w:szCs w:val="18"/>
                    </w:rPr>
                    <w:t xml:space="preserve">Ponadto, oferty złożone w postępowaniu na zakup usług wsparcia przewyższały wartość szacunkową </w:t>
                  </w:r>
                  <w:r w:rsidR="00AF2165" w:rsidRPr="00345E59">
                    <w:rPr>
                      <w:rFonts w:cstheme="minorHAnsi"/>
                      <w:sz w:val="12"/>
                      <w:szCs w:val="18"/>
                    </w:rPr>
                    <w:t>z</w:t>
                  </w:r>
                  <w:r w:rsidRPr="00345E59">
                    <w:rPr>
                      <w:rFonts w:cstheme="minorHAnsi"/>
                      <w:sz w:val="12"/>
                      <w:szCs w:val="18"/>
                    </w:rPr>
                    <w:t>amówienia określoną przez Zamawiającego, co spowodowało konieczność ponownego przeprowadzenia postępowania.</w:t>
                  </w:r>
                </w:p>
              </w:tc>
            </w:tr>
            <w:tr w:rsidR="00E857FF" w:rsidRPr="00345E59" w14:paraId="229F87B1" w14:textId="77777777" w:rsidTr="00345E59">
              <w:tc>
                <w:tcPr>
                  <w:tcW w:w="1358" w:type="dxa"/>
                </w:tcPr>
                <w:p w14:paraId="4471F153" w14:textId="77777777" w:rsidR="008E28E5" w:rsidRPr="00345E59" w:rsidRDefault="008E28E5" w:rsidP="00AF2165">
                  <w:pPr>
                    <w:pStyle w:val="Akapitzlist"/>
                    <w:numPr>
                      <w:ilvl w:val="0"/>
                      <w:numId w:val="7"/>
                    </w:numPr>
                    <w:ind w:left="176" w:hanging="176"/>
                    <w:rPr>
                      <w:rFonts w:cstheme="minorHAnsi"/>
                      <w:sz w:val="12"/>
                      <w:szCs w:val="18"/>
                    </w:rPr>
                  </w:pPr>
                  <w:r w:rsidRPr="00345E59">
                    <w:rPr>
                      <w:rFonts w:cstheme="minorHAnsi"/>
                      <w:sz w:val="12"/>
                      <w:szCs w:val="18"/>
                    </w:rPr>
                    <w:t>Przygotowanie i wdrożenie zmian organizacyjnych</w:t>
                  </w:r>
                </w:p>
              </w:tc>
              <w:tc>
                <w:tcPr>
                  <w:tcW w:w="733" w:type="dxa"/>
                </w:tcPr>
                <w:p w14:paraId="6243CF32" w14:textId="77777777" w:rsidR="008E28E5" w:rsidRPr="00345E59" w:rsidRDefault="008E28E5" w:rsidP="00DC2637">
                  <w:pPr>
                    <w:jc w:val="center"/>
                    <w:rPr>
                      <w:rFonts w:cstheme="minorHAnsi"/>
                      <w:color w:val="0070C0"/>
                      <w:sz w:val="12"/>
                      <w:szCs w:val="18"/>
                      <w:lang w:eastAsia="pl-PL"/>
                    </w:rPr>
                  </w:pPr>
                  <w:r w:rsidRPr="00345E59">
                    <w:rPr>
                      <w:rFonts w:cstheme="minorHAnsi"/>
                      <w:sz w:val="12"/>
                      <w:szCs w:val="18"/>
                      <w:lang w:eastAsia="pl-PL"/>
                    </w:rPr>
                    <w:t>10-2018</w:t>
                  </w:r>
                </w:p>
              </w:tc>
              <w:tc>
                <w:tcPr>
                  <w:tcW w:w="768" w:type="dxa"/>
                </w:tcPr>
                <w:p w14:paraId="5E70AD65" w14:textId="77777777" w:rsidR="008E28E5" w:rsidRPr="00345E59" w:rsidRDefault="008E28E5" w:rsidP="00DC2637">
                  <w:pPr>
                    <w:pStyle w:val="Akapitzlist"/>
                    <w:ind w:left="7"/>
                    <w:jc w:val="center"/>
                    <w:rPr>
                      <w:rFonts w:cstheme="minorHAnsi"/>
                      <w:color w:val="0070C0"/>
                      <w:sz w:val="12"/>
                      <w:szCs w:val="18"/>
                      <w:lang w:eastAsia="pl-PL"/>
                    </w:rPr>
                  </w:pPr>
                  <w:r w:rsidRPr="00345E59">
                    <w:rPr>
                      <w:rFonts w:cstheme="minorHAnsi"/>
                      <w:sz w:val="12"/>
                      <w:szCs w:val="18"/>
                      <w:lang w:eastAsia="pl-PL"/>
                    </w:rPr>
                    <w:t>10-2018</w:t>
                  </w:r>
                </w:p>
              </w:tc>
              <w:tc>
                <w:tcPr>
                  <w:tcW w:w="3124" w:type="dxa"/>
                </w:tcPr>
                <w:p w14:paraId="23B8DBAD" w14:textId="77777777" w:rsidR="008E28E5" w:rsidRPr="00345E59" w:rsidRDefault="008E28E5" w:rsidP="00DC2637">
                  <w:pPr>
                    <w:jc w:val="center"/>
                    <w:rPr>
                      <w:rFonts w:cstheme="minorHAnsi"/>
                      <w:sz w:val="12"/>
                      <w:szCs w:val="18"/>
                    </w:rPr>
                  </w:pPr>
                  <w:r w:rsidRPr="00345E59">
                    <w:rPr>
                      <w:rFonts w:cstheme="minorHAnsi"/>
                      <w:sz w:val="12"/>
                      <w:szCs w:val="18"/>
                    </w:rPr>
                    <w:t>Osiągnięty</w:t>
                  </w:r>
                </w:p>
                <w:p w14:paraId="05D0497A" w14:textId="77777777" w:rsidR="008E28E5" w:rsidRPr="00345E59" w:rsidRDefault="008E28E5" w:rsidP="00DC2637">
                  <w:pPr>
                    <w:jc w:val="center"/>
                    <w:rPr>
                      <w:rFonts w:cstheme="minorHAnsi"/>
                      <w:color w:val="0070C0"/>
                      <w:sz w:val="12"/>
                      <w:szCs w:val="18"/>
                    </w:rPr>
                  </w:pPr>
                </w:p>
              </w:tc>
            </w:tr>
            <w:tr w:rsidR="00E857FF" w:rsidRPr="00345E59" w14:paraId="5B7D6A60" w14:textId="77777777" w:rsidTr="00345E59">
              <w:tc>
                <w:tcPr>
                  <w:tcW w:w="1358" w:type="dxa"/>
                </w:tcPr>
                <w:p w14:paraId="5D2557E2" w14:textId="77777777" w:rsidR="008E28E5" w:rsidRPr="00345E59" w:rsidRDefault="008E28E5" w:rsidP="00AF2165">
                  <w:pPr>
                    <w:pStyle w:val="Akapitzlist"/>
                    <w:numPr>
                      <w:ilvl w:val="0"/>
                      <w:numId w:val="7"/>
                    </w:numPr>
                    <w:ind w:left="176" w:hanging="176"/>
                    <w:rPr>
                      <w:rFonts w:cstheme="minorHAnsi"/>
                      <w:sz w:val="12"/>
                      <w:szCs w:val="18"/>
                    </w:rPr>
                  </w:pPr>
                  <w:r w:rsidRPr="00345E59">
                    <w:rPr>
                      <w:rFonts w:cstheme="minorHAnsi"/>
                      <w:sz w:val="12"/>
                      <w:szCs w:val="18"/>
                    </w:rPr>
                    <w:t>Budowa usługi Elektroniczne czynności kontrolne z użyciem JPK</w:t>
                  </w:r>
                </w:p>
              </w:tc>
              <w:tc>
                <w:tcPr>
                  <w:tcW w:w="733" w:type="dxa"/>
                </w:tcPr>
                <w:p w14:paraId="7CA956FC" w14:textId="77777777" w:rsidR="008E28E5" w:rsidRPr="00345E59" w:rsidRDefault="008E28E5" w:rsidP="00DC2637">
                  <w:pPr>
                    <w:jc w:val="center"/>
                    <w:rPr>
                      <w:rFonts w:cstheme="minorHAnsi"/>
                      <w:color w:val="0070C0"/>
                      <w:sz w:val="12"/>
                      <w:szCs w:val="18"/>
                      <w:lang w:eastAsia="pl-PL"/>
                    </w:rPr>
                  </w:pPr>
                  <w:r w:rsidRPr="00345E59">
                    <w:rPr>
                      <w:rFonts w:cstheme="minorHAnsi"/>
                      <w:sz w:val="12"/>
                      <w:szCs w:val="18"/>
                      <w:lang w:eastAsia="pl-PL"/>
                    </w:rPr>
                    <w:t>12-2018</w:t>
                  </w:r>
                </w:p>
              </w:tc>
              <w:tc>
                <w:tcPr>
                  <w:tcW w:w="768" w:type="dxa"/>
                </w:tcPr>
                <w:p w14:paraId="077AF23E" w14:textId="77777777" w:rsidR="008E28E5" w:rsidRPr="00345E59" w:rsidRDefault="008E28E5" w:rsidP="00DC2637">
                  <w:pPr>
                    <w:pStyle w:val="Akapitzlist"/>
                    <w:ind w:left="7"/>
                    <w:jc w:val="center"/>
                    <w:rPr>
                      <w:rFonts w:cstheme="minorHAnsi"/>
                      <w:color w:val="0070C0"/>
                      <w:sz w:val="12"/>
                      <w:szCs w:val="18"/>
                      <w:lang w:eastAsia="pl-PL"/>
                    </w:rPr>
                  </w:pPr>
                  <w:r w:rsidRPr="00345E59">
                    <w:rPr>
                      <w:rFonts w:cstheme="minorHAnsi"/>
                      <w:sz w:val="12"/>
                      <w:szCs w:val="18"/>
                      <w:lang w:eastAsia="pl-PL"/>
                    </w:rPr>
                    <w:t>12-2018</w:t>
                  </w:r>
                </w:p>
              </w:tc>
              <w:tc>
                <w:tcPr>
                  <w:tcW w:w="3124" w:type="dxa"/>
                </w:tcPr>
                <w:p w14:paraId="12ABEF32" w14:textId="77777777" w:rsidR="008E28E5" w:rsidRPr="00345E59" w:rsidRDefault="008E28E5" w:rsidP="00DC2637">
                  <w:pPr>
                    <w:jc w:val="center"/>
                    <w:rPr>
                      <w:rFonts w:cstheme="minorHAnsi"/>
                      <w:sz w:val="12"/>
                      <w:szCs w:val="18"/>
                    </w:rPr>
                  </w:pPr>
                  <w:r w:rsidRPr="00345E59">
                    <w:rPr>
                      <w:rFonts w:cstheme="minorHAnsi"/>
                      <w:sz w:val="12"/>
                      <w:szCs w:val="18"/>
                    </w:rPr>
                    <w:t>Osiągnięty</w:t>
                  </w:r>
                </w:p>
                <w:p w14:paraId="69040D41" w14:textId="77777777" w:rsidR="008E28E5" w:rsidRPr="00345E59" w:rsidRDefault="008E28E5" w:rsidP="00DC2637">
                  <w:pPr>
                    <w:jc w:val="center"/>
                    <w:rPr>
                      <w:rFonts w:cstheme="minorHAnsi"/>
                      <w:color w:val="0070C0"/>
                      <w:sz w:val="12"/>
                      <w:szCs w:val="18"/>
                    </w:rPr>
                  </w:pPr>
                </w:p>
              </w:tc>
            </w:tr>
            <w:tr w:rsidR="00E857FF" w:rsidRPr="00345E59" w14:paraId="4EDC21B0" w14:textId="77777777" w:rsidTr="00345E59">
              <w:tc>
                <w:tcPr>
                  <w:tcW w:w="1358" w:type="dxa"/>
                </w:tcPr>
                <w:p w14:paraId="7566D710" w14:textId="77777777" w:rsidR="008E28E5" w:rsidRPr="00345E59" w:rsidRDefault="008E28E5" w:rsidP="00AF2165">
                  <w:pPr>
                    <w:pStyle w:val="Akapitzlist"/>
                    <w:numPr>
                      <w:ilvl w:val="0"/>
                      <w:numId w:val="7"/>
                    </w:numPr>
                    <w:ind w:left="176" w:hanging="176"/>
                    <w:rPr>
                      <w:rFonts w:cstheme="minorHAnsi"/>
                      <w:sz w:val="12"/>
                      <w:szCs w:val="18"/>
                    </w:rPr>
                  </w:pPr>
                  <w:r w:rsidRPr="00345E59">
                    <w:rPr>
                      <w:rFonts w:cstheme="minorHAnsi"/>
                      <w:sz w:val="12"/>
                      <w:szCs w:val="18"/>
                    </w:rPr>
                    <w:t>Budowa usługi Zintegrowana obsługa klienta (ZOK)</w:t>
                  </w:r>
                </w:p>
              </w:tc>
              <w:tc>
                <w:tcPr>
                  <w:tcW w:w="733" w:type="dxa"/>
                </w:tcPr>
                <w:p w14:paraId="05557A20" w14:textId="77777777" w:rsidR="008E28E5" w:rsidRPr="00345E59" w:rsidRDefault="008E28E5" w:rsidP="00DC2637">
                  <w:pPr>
                    <w:jc w:val="center"/>
                    <w:rPr>
                      <w:rFonts w:cstheme="minorHAnsi"/>
                      <w:color w:val="0070C0"/>
                      <w:sz w:val="12"/>
                      <w:szCs w:val="18"/>
                      <w:lang w:eastAsia="pl-PL"/>
                    </w:rPr>
                  </w:pPr>
                  <w:r w:rsidRPr="00345E59">
                    <w:rPr>
                      <w:rFonts w:cstheme="minorHAnsi"/>
                      <w:sz w:val="12"/>
                      <w:szCs w:val="18"/>
                      <w:lang w:eastAsia="pl-PL"/>
                    </w:rPr>
                    <w:t>12-2018</w:t>
                  </w:r>
                </w:p>
              </w:tc>
              <w:tc>
                <w:tcPr>
                  <w:tcW w:w="768" w:type="dxa"/>
                </w:tcPr>
                <w:p w14:paraId="3B3AD419" w14:textId="77777777" w:rsidR="008E28E5" w:rsidRPr="00345E59" w:rsidRDefault="008E28E5" w:rsidP="00DC2637">
                  <w:pPr>
                    <w:pStyle w:val="Akapitzlist"/>
                    <w:ind w:left="7"/>
                    <w:jc w:val="center"/>
                    <w:rPr>
                      <w:rFonts w:cstheme="minorHAnsi"/>
                      <w:color w:val="0070C0"/>
                      <w:sz w:val="12"/>
                      <w:szCs w:val="18"/>
                      <w:lang w:eastAsia="pl-PL"/>
                    </w:rPr>
                  </w:pPr>
                  <w:r w:rsidRPr="00345E59">
                    <w:rPr>
                      <w:rFonts w:cstheme="minorHAnsi"/>
                      <w:sz w:val="12"/>
                      <w:szCs w:val="18"/>
                      <w:lang w:eastAsia="pl-PL"/>
                    </w:rPr>
                    <w:t>03-2019</w:t>
                  </w:r>
                </w:p>
              </w:tc>
              <w:tc>
                <w:tcPr>
                  <w:tcW w:w="3124" w:type="dxa"/>
                </w:tcPr>
                <w:p w14:paraId="5AE79EF1" w14:textId="77777777" w:rsidR="008E28E5" w:rsidRPr="00345E59" w:rsidRDefault="008E28E5" w:rsidP="00DC2637">
                  <w:pPr>
                    <w:jc w:val="center"/>
                    <w:rPr>
                      <w:rFonts w:cstheme="minorHAnsi"/>
                      <w:sz w:val="12"/>
                      <w:szCs w:val="18"/>
                    </w:rPr>
                  </w:pPr>
                  <w:r w:rsidRPr="00345E59">
                    <w:rPr>
                      <w:rFonts w:cstheme="minorHAnsi"/>
                      <w:sz w:val="12"/>
                      <w:szCs w:val="18"/>
                    </w:rPr>
                    <w:t>Osiągnięty</w:t>
                  </w:r>
                </w:p>
                <w:p w14:paraId="02C977EB" w14:textId="77777777" w:rsidR="008E28E5" w:rsidRPr="00345E59" w:rsidRDefault="008E28E5" w:rsidP="00DC2637">
                  <w:pPr>
                    <w:jc w:val="center"/>
                    <w:rPr>
                      <w:rFonts w:cstheme="minorHAnsi"/>
                      <w:sz w:val="12"/>
                      <w:szCs w:val="18"/>
                    </w:rPr>
                  </w:pPr>
                  <w:r w:rsidRPr="00345E59">
                    <w:rPr>
                      <w:rFonts w:cstheme="minorHAnsi"/>
                      <w:sz w:val="12"/>
                      <w:szCs w:val="18"/>
                    </w:rPr>
                    <w:t>Data punktu ostatecznego określona w</w:t>
                  </w:r>
                  <w:r w:rsidR="00AF2165" w:rsidRPr="00345E59">
                    <w:rPr>
                      <w:rFonts w:cstheme="minorHAnsi"/>
                      <w:sz w:val="12"/>
                      <w:szCs w:val="18"/>
                    </w:rPr>
                    <w:t> </w:t>
                  </w:r>
                  <w:r w:rsidRPr="00345E59">
                    <w:rPr>
                      <w:rFonts w:cstheme="minorHAnsi"/>
                      <w:sz w:val="12"/>
                      <w:szCs w:val="18"/>
                    </w:rPr>
                    <w:t xml:space="preserve">porozumieniu o dofinansowanie to </w:t>
                  </w:r>
                  <w:r w:rsidR="00AF2165" w:rsidRPr="00345E59">
                    <w:rPr>
                      <w:rFonts w:cstheme="minorHAnsi"/>
                      <w:sz w:val="12"/>
                      <w:szCs w:val="18"/>
                    </w:rPr>
                    <w:t>15-03-20</w:t>
                  </w:r>
                  <w:r w:rsidRPr="00345E59">
                    <w:rPr>
                      <w:rFonts w:cstheme="minorHAnsi"/>
                      <w:sz w:val="12"/>
                      <w:szCs w:val="18"/>
                    </w:rPr>
                    <w:t>19</w:t>
                  </w:r>
                  <w:r w:rsidR="00AF2165" w:rsidRPr="00345E59">
                    <w:rPr>
                      <w:rFonts w:cstheme="minorHAnsi"/>
                      <w:sz w:val="12"/>
                      <w:szCs w:val="18"/>
                    </w:rPr>
                    <w:t>r.</w:t>
                  </w:r>
                </w:p>
                <w:p w14:paraId="060A2939" w14:textId="77777777" w:rsidR="008E28E5" w:rsidRPr="00345E59" w:rsidRDefault="008E28E5" w:rsidP="00DC2637">
                  <w:pPr>
                    <w:jc w:val="center"/>
                    <w:rPr>
                      <w:rFonts w:cstheme="minorHAnsi"/>
                      <w:sz w:val="12"/>
                      <w:szCs w:val="18"/>
                    </w:rPr>
                  </w:pPr>
                  <w:r w:rsidRPr="00345E59">
                    <w:rPr>
                      <w:rFonts w:cstheme="minorHAnsi"/>
                      <w:sz w:val="12"/>
                      <w:szCs w:val="18"/>
                    </w:rPr>
                    <w:t xml:space="preserve">Produkty usługi wdrożone w terminie planowanym tj. do </w:t>
                  </w:r>
                  <w:r w:rsidR="00AF2165" w:rsidRPr="00345E59">
                    <w:rPr>
                      <w:rFonts w:cstheme="minorHAnsi"/>
                      <w:sz w:val="12"/>
                      <w:szCs w:val="18"/>
                    </w:rPr>
                    <w:t>14-12-</w:t>
                  </w:r>
                  <w:r w:rsidRPr="00345E59">
                    <w:rPr>
                      <w:rFonts w:cstheme="minorHAnsi"/>
                      <w:sz w:val="12"/>
                      <w:szCs w:val="18"/>
                    </w:rPr>
                    <w:t>2018</w:t>
                  </w:r>
                  <w:r w:rsidR="00AF2165" w:rsidRPr="00345E59">
                    <w:rPr>
                      <w:rFonts w:cstheme="minorHAnsi"/>
                      <w:sz w:val="12"/>
                      <w:szCs w:val="18"/>
                    </w:rPr>
                    <w:t>r</w:t>
                  </w:r>
                  <w:r w:rsidRPr="00345E59">
                    <w:rPr>
                      <w:rFonts w:cstheme="minorHAnsi"/>
                      <w:sz w:val="12"/>
                      <w:szCs w:val="18"/>
                    </w:rPr>
                    <w:t xml:space="preserve">. Jednakże, Beneficjent rozwijał przedmiotową usługę zakładając realizacje prac do daty punktu ostatecznego tj. </w:t>
                  </w:r>
                  <w:r w:rsidR="00AF2165" w:rsidRPr="00345E59">
                    <w:rPr>
                      <w:rFonts w:cstheme="minorHAnsi"/>
                      <w:sz w:val="12"/>
                      <w:szCs w:val="18"/>
                    </w:rPr>
                    <w:t>15-03-</w:t>
                  </w:r>
                  <w:r w:rsidRPr="00345E59">
                    <w:rPr>
                      <w:rFonts w:cstheme="minorHAnsi"/>
                      <w:sz w:val="12"/>
                      <w:szCs w:val="18"/>
                    </w:rPr>
                    <w:t>2019</w:t>
                  </w:r>
                  <w:r w:rsidR="00AF2165" w:rsidRPr="00345E59">
                    <w:rPr>
                      <w:rFonts w:cstheme="minorHAnsi"/>
                      <w:sz w:val="12"/>
                      <w:szCs w:val="18"/>
                    </w:rPr>
                    <w:t>r.</w:t>
                  </w:r>
                </w:p>
              </w:tc>
            </w:tr>
          </w:tbl>
          <w:p w14:paraId="6E052D53" w14:textId="77777777" w:rsidR="008E28E5" w:rsidRPr="00CB74B0" w:rsidRDefault="008E28E5" w:rsidP="009D3D41">
            <w:pPr>
              <w:jc w:val="both"/>
              <w:rPr>
                <w:rFonts w:cstheme="minorHAnsi"/>
                <w:i/>
                <w:sz w:val="18"/>
                <w:szCs w:val="20"/>
              </w:rPr>
            </w:pPr>
          </w:p>
        </w:tc>
      </w:tr>
      <w:tr w:rsidR="004D135D" w:rsidRPr="00DC2637" w14:paraId="69C3634A" w14:textId="77777777" w:rsidTr="00E369E5">
        <w:tc>
          <w:tcPr>
            <w:tcW w:w="480" w:type="dxa"/>
          </w:tcPr>
          <w:p w14:paraId="7E647AB4" w14:textId="77777777" w:rsidR="004D135D" w:rsidRPr="00DC2637" w:rsidRDefault="004D135D" w:rsidP="007A0A3D">
            <w:pPr>
              <w:pStyle w:val="Akapitzlist"/>
              <w:numPr>
                <w:ilvl w:val="0"/>
                <w:numId w:val="1"/>
              </w:numPr>
              <w:rPr>
                <w:rFonts w:cstheme="minorHAnsi"/>
                <w:sz w:val="18"/>
                <w:szCs w:val="20"/>
              </w:rPr>
            </w:pPr>
          </w:p>
        </w:tc>
        <w:tc>
          <w:tcPr>
            <w:tcW w:w="2350" w:type="dxa"/>
          </w:tcPr>
          <w:p w14:paraId="6FC45A34" w14:textId="77777777" w:rsidR="004D135D" w:rsidRPr="00DC2637" w:rsidRDefault="004D135D">
            <w:pPr>
              <w:rPr>
                <w:rFonts w:cstheme="minorHAnsi"/>
                <w:sz w:val="18"/>
                <w:szCs w:val="20"/>
              </w:rPr>
            </w:pPr>
            <w:r w:rsidRPr="00DC2637">
              <w:rPr>
                <w:rFonts w:cstheme="minorHAnsi"/>
                <w:sz w:val="18"/>
                <w:szCs w:val="20"/>
              </w:rPr>
              <w:t>E-usługi dla obywateli i przedsiębiorców</w:t>
            </w:r>
          </w:p>
        </w:tc>
        <w:tc>
          <w:tcPr>
            <w:tcW w:w="6232" w:type="dxa"/>
          </w:tcPr>
          <w:p w14:paraId="5AC55ED2" w14:textId="77777777" w:rsidR="008E28E5" w:rsidRPr="00345E59" w:rsidRDefault="008E28E5" w:rsidP="00E30008">
            <w:pPr>
              <w:rPr>
                <w:rFonts w:cstheme="minorHAnsi"/>
                <w:bCs/>
                <w:i/>
                <w:sz w:val="10"/>
                <w:szCs w:val="20"/>
              </w:rPr>
            </w:pPr>
          </w:p>
          <w:tbl>
            <w:tblPr>
              <w:tblStyle w:val="Tabela-Siatka"/>
              <w:tblW w:w="5983" w:type="dxa"/>
              <w:tblLayout w:type="fixed"/>
              <w:tblLook w:val="04A0" w:firstRow="1" w:lastRow="0" w:firstColumn="1" w:lastColumn="0" w:noHBand="0" w:noVBand="1"/>
              <w:tblCaption w:val="E-usługi A2A, A2B, A2C "/>
            </w:tblPr>
            <w:tblGrid>
              <w:gridCol w:w="1305"/>
              <w:gridCol w:w="709"/>
              <w:gridCol w:w="708"/>
              <w:gridCol w:w="3261"/>
            </w:tblGrid>
            <w:tr w:rsidR="00DC2637" w:rsidRPr="00345E59" w14:paraId="519DA564" w14:textId="77777777" w:rsidTr="00345E59">
              <w:trPr>
                <w:tblHeader/>
              </w:trPr>
              <w:tc>
                <w:tcPr>
                  <w:tcW w:w="1305" w:type="dxa"/>
                  <w:shd w:val="clear" w:color="auto" w:fill="D0CECE" w:themeFill="background2" w:themeFillShade="E6"/>
                  <w:vAlign w:val="center"/>
                </w:tcPr>
                <w:p w14:paraId="60D387B6" w14:textId="77777777" w:rsidR="00AF2165" w:rsidRPr="00345E59" w:rsidRDefault="00AF2165" w:rsidP="00AF2165">
                  <w:pPr>
                    <w:rPr>
                      <w:rFonts w:cstheme="minorHAnsi"/>
                      <w:b/>
                      <w:sz w:val="12"/>
                      <w:szCs w:val="18"/>
                    </w:rPr>
                  </w:pPr>
                  <w:r w:rsidRPr="00345E59">
                    <w:rPr>
                      <w:rFonts w:cstheme="minorHAnsi"/>
                      <w:b/>
                      <w:sz w:val="12"/>
                      <w:szCs w:val="18"/>
                    </w:rPr>
                    <w:lastRenderedPageBreak/>
                    <w:t>Nazwa</w:t>
                  </w:r>
                </w:p>
              </w:tc>
              <w:tc>
                <w:tcPr>
                  <w:tcW w:w="709" w:type="dxa"/>
                  <w:shd w:val="clear" w:color="auto" w:fill="D0CECE" w:themeFill="background2" w:themeFillShade="E6"/>
                  <w:vAlign w:val="center"/>
                </w:tcPr>
                <w:p w14:paraId="2E0A40C3" w14:textId="77777777" w:rsidR="00AF2165" w:rsidRPr="00345E59" w:rsidRDefault="00AF2165" w:rsidP="00AF2165">
                  <w:pPr>
                    <w:rPr>
                      <w:rFonts w:cstheme="minorHAnsi"/>
                      <w:b/>
                      <w:sz w:val="12"/>
                      <w:szCs w:val="18"/>
                    </w:rPr>
                  </w:pPr>
                  <w:r w:rsidRPr="00345E59">
                    <w:rPr>
                      <w:rFonts w:cstheme="minorHAnsi"/>
                      <w:b/>
                      <w:sz w:val="12"/>
                      <w:szCs w:val="18"/>
                    </w:rPr>
                    <w:t>Planowana data wdrożenia</w:t>
                  </w:r>
                </w:p>
              </w:tc>
              <w:tc>
                <w:tcPr>
                  <w:tcW w:w="708" w:type="dxa"/>
                  <w:shd w:val="clear" w:color="auto" w:fill="D0CECE" w:themeFill="background2" w:themeFillShade="E6"/>
                </w:tcPr>
                <w:p w14:paraId="5A63450A" w14:textId="77777777" w:rsidR="00AF2165" w:rsidRPr="00345E59" w:rsidRDefault="00AF2165" w:rsidP="00AF2165">
                  <w:pPr>
                    <w:rPr>
                      <w:rFonts w:cstheme="minorHAnsi"/>
                      <w:b/>
                      <w:sz w:val="12"/>
                      <w:szCs w:val="18"/>
                    </w:rPr>
                  </w:pPr>
                  <w:r w:rsidRPr="00345E59">
                    <w:rPr>
                      <w:rFonts w:cstheme="minorHAnsi"/>
                      <w:b/>
                      <w:sz w:val="12"/>
                      <w:szCs w:val="18"/>
                    </w:rPr>
                    <w:t>Rzeczywista data wdrożenia</w:t>
                  </w:r>
                </w:p>
              </w:tc>
              <w:tc>
                <w:tcPr>
                  <w:tcW w:w="3261" w:type="dxa"/>
                  <w:shd w:val="clear" w:color="auto" w:fill="D0CECE" w:themeFill="background2" w:themeFillShade="E6"/>
                  <w:vAlign w:val="center"/>
                </w:tcPr>
                <w:p w14:paraId="2D5C866C" w14:textId="77777777" w:rsidR="00AF2165" w:rsidRPr="00345E59" w:rsidRDefault="00AF2165" w:rsidP="00AF2165">
                  <w:pPr>
                    <w:rPr>
                      <w:rFonts w:cstheme="minorHAnsi"/>
                      <w:b/>
                      <w:sz w:val="12"/>
                      <w:szCs w:val="18"/>
                    </w:rPr>
                  </w:pPr>
                  <w:r w:rsidRPr="00345E59">
                    <w:rPr>
                      <w:rFonts w:cstheme="minorHAnsi"/>
                      <w:b/>
                      <w:sz w:val="12"/>
                      <w:szCs w:val="18"/>
                    </w:rPr>
                    <w:t>Opis zmian</w:t>
                  </w:r>
                </w:p>
              </w:tc>
            </w:tr>
            <w:tr w:rsidR="00DC2637" w:rsidRPr="00345E59" w14:paraId="196BA51D" w14:textId="77777777" w:rsidTr="00345E59">
              <w:tc>
                <w:tcPr>
                  <w:tcW w:w="1305" w:type="dxa"/>
                </w:tcPr>
                <w:p w14:paraId="27DEC419" w14:textId="77777777" w:rsidR="00AF2165" w:rsidRPr="00345E59" w:rsidRDefault="00AF2165" w:rsidP="00AF2165">
                  <w:pPr>
                    <w:rPr>
                      <w:rFonts w:cstheme="minorHAnsi"/>
                      <w:color w:val="0070C0"/>
                      <w:sz w:val="12"/>
                      <w:szCs w:val="18"/>
                    </w:rPr>
                  </w:pPr>
                  <w:r w:rsidRPr="00345E59">
                    <w:rPr>
                      <w:rFonts w:cstheme="minorHAnsi"/>
                      <w:sz w:val="12"/>
                      <w:szCs w:val="18"/>
                    </w:rPr>
                    <w:t>Zintegrowana Obsługa Klienta (e-ZOK) – usługa publiczna o stopniu dojrzałości co najmniej 4-transakcja</w:t>
                  </w:r>
                </w:p>
              </w:tc>
              <w:tc>
                <w:tcPr>
                  <w:tcW w:w="709" w:type="dxa"/>
                </w:tcPr>
                <w:p w14:paraId="2815B399" w14:textId="77777777" w:rsidR="00AF2165" w:rsidRPr="00345E59" w:rsidRDefault="00AF2165" w:rsidP="00AF2165">
                  <w:pPr>
                    <w:rPr>
                      <w:rFonts w:cstheme="minorHAnsi"/>
                      <w:color w:val="0070C0"/>
                      <w:sz w:val="12"/>
                      <w:szCs w:val="18"/>
                    </w:rPr>
                  </w:pPr>
                  <w:r w:rsidRPr="00345E59">
                    <w:rPr>
                      <w:rFonts w:cstheme="minorHAnsi"/>
                      <w:sz w:val="12"/>
                      <w:szCs w:val="18"/>
                      <w:lang w:eastAsia="pl-PL"/>
                    </w:rPr>
                    <w:t>12-2018</w:t>
                  </w:r>
                </w:p>
              </w:tc>
              <w:tc>
                <w:tcPr>
                  <w:tcW w:w="708" w:type="dxa"/>
                </w:tcPr>
                <w:p w14:paraId="6397B71E" w14:textId="77777777" w:rsidR="00AF2165" w:rsidRPr="00345E59" w:rsidRDefault="00AF2165" w:rsidP="00AF2165">
                  <w:pPr>
                    <w:rPr>
                      <w:rFonts w:cstheme="minorHAnsi"/>
                      <w:color w:val="0070C0"/>
                      <w:sz w:val="12"/>
                      <w:szCs w:val="18"/>
                    </w:rPr>
                  </w:pPr>
                  <w:r w:rsidRPr="00345E59">
                    <w:rPr>
                      <w:rFonts w:cstheme="minorHAnsi"/>
                      <w:sz w:val="12"/>
                      <w:szCs w:val="18"/>
                      <w:lang w:eastAsia="pl-PL"/>
                    </w:rPr>
                    <w:t>03-2019</w:t>
                  </w:r>
                </w:p>
              </w:tc>
              <w:tc>
                <w:tcPr>
                  <w:tcW w:w="3261" w:type="dxa"/>
                </w:tcPr>
                <w:p w14:paraId="4E58DF20" w14:textId="77777777" w:rsidR="00AF2165" w:rsidRPr="00345E59" w:rsidRDefault="00AF2165" w:rsidP="00AF2165">
                  <w:pPr>
                    <w:rPr>
                      <w:rFonts w:cstheme="minorHAnsi"/>
                      <w:sz w:val="12"/>
                      <w:szCs w:val="18"/>
                    </w:rPr>
                  </w:pPr>
                  <w:r w:rsidRPr="00345E59">
                    <w:rPr>
                      <w:rFonts w:cstheme="minorHAnsi"/>
                      <w:sz w:val="12"/>
                      <w:szCs w:val="18"/>
                    </w:rPr>
                    <w:t>Beneficjent otrzymał zgodę CPPC na zmianę zakresu projektu CVP. W dn. 25</w:t>
                  </w:r>
                  <w:r w:rsidR="00E857FF" w:rsidRPr="00345E59">
                    <w:rPr>
                      <w:rFonts w:cstheme="minorHAnsi"/>
                      <w:sz w:val="12"/>
                      <w:szCs w:val="18"/>
                    </w:rPr>
                    <w:t>-</w:t>
                  </w:r>
                  <w:r w:rsidRPr="00345E59">
                    <w:rPr>
                      <w:rFonts w:cstheme="minorHAnsi"/>
                      <w:sz w:val="12"/>
                      <w:szCs w:val="18"/>
                    </w:rPr>
                    <w:t>04</w:t>
                  </w:r>
                  <w:r w:rsidR="00E857FF" w:rsidRPr="00345E59">
                    <w:rPr>
                      <w:rFonts w:cstheme="minorHAnsi"/>
                      <w:sz w:val="12"/>
                      <w:szCs w:val="18"/>
                    </w:rPr>
                    <w:t>-</w:t>
                  </w:r>
                  <w:r w:rsidRPr="00345E59">
                    <w:rPr>
                      <w:rFonts w:cstheme="minorHAnsi"/>
                      <w:sz w:val="12"/>
                      <w:szCs w:val="18"/>
                    </w:rPr>
                    <w:t xml:space="preserve">2018r. podpisano aneks nr 2 do porozumienia o dofinansowanie projektu. </w:t>
                  </w:r>
                </w:p>
                <w:p w14:paraId="4274B7AD" w14:textId="77777777" w:rsidR="00AF2165" w:rsidRPr="00345E59" w:rsidRDefault="00AF2165" w:rsidP="00AF2165">
                  <w:pPr>
                    <w:rPr>
                      <w:rFonts w:cstheme="minorHAnsi"/>
                      <w:sz w:val="12"/>
                      <w:szCs w:val="18"/>
                    </w:rPr>
                  </w:pPr>
                  <w:r w:rsidRPr="00345E59">
                    <w:rPr>
                      <w:rFonts w:cstheme="minorHAnsi"/>
                      <w:sz w:val="12"/>
                      <w:szCs w:val="18"/>
                    </w:rPr>
                    <w:t xml:space="preserve">Data punktu ostatecznego dla tego kamienia milowego określona w porozumieniu o dofinansowanie to 15-03-2019r. </w:t>
                  </w:r>
                </w:p>
                <w:p w14:paraId="12B734A7" w14:textId="77777777" w:rsidR="00AF2165" w:rsidRPr="00345E59" w:rsidRDefault="00AF2165" w:rsidP="00345E59">
                  <w:pPr>
                    <w:rPr>
                      <w:rFonts w:cstheme="minorHAnsi"/>
                      <w:color w:val="0070C0"/>
                      <w:sz w:val="12"/>
                      <w:szCs w:val="18"/>
                    </w:rPr>
                  </w:pPr>
                  <w:r w:rsidRPr="00345E59">
                    <w:rPr>
                      <w:rFonts w:cstheme="minorHAnsi"/>
                      <w:sz w:val="12"/>
                      <w:szCs w:val="18"/>
                    </w:rPr>
                    <w:t xml:space="preserve">Produkty usługi wdrożone w terminie planowanym tj. do </w:t>
                  </w:r>
                  <w:r w:rsidR="00E857FF" w:rsidRPr="00345E59">
                    <w:rPr>
                      <w:rFonts w:cstheme="minorHAnsi"/>
                      <w:sz w:val="12"/>
                      <w:szCs w:val="18"/>
                    </w:rPr>
                    <w:t>14-12-</w:t>
                  </w:r>
                  <w:r w:rsidRPr="00345E59">
                    <w:rPr>
                      <w:rFonts w:cstheme="minorHAnsi"/>
                      <w:sz w:val="12"/>
                      <w:szCs w:val="18"/>
                    </w:rPr>
                    <w:t>2018</w:t>
                  </w:r>
                  <w:r w:rsidR="00E857FF" w:rsidRPr="00345E59">
                    <w:rPr>
                      <w:rFonts w:cstheme="minorHAnsi"/>
                      <w:sz w:val="12"/>
                      <w:szCs w:val="18"/>
                    </w:rPr>
                    <w:t>r</w:t>
                  </w:r>
                  <w:r w:rsidRPr="00345E59">
                    <w:rPr>
                      <w:rFonts w:cstheme="minorHAnsi"/>
                      <w:sz w:val="12"/>
                      <w:szCs w:val="18"/>
                    </w:rPr>
                    <w:t xml:space="preserve">. Do punktu ostatecznego tj. </w:t>
                  </w:r>
                  <w:r w:rsidR="00E857FF" w:rsidRPr="00345E59">
                    <w:rPr>
                      <w:rFonts w:cstheme="minorHAnsi"/>
                      <w:sz w:val="12"/>
                      <w:szCs w:val="18"/>
                    </w:rPr>
                    <w:t>15-03-</w:t>
                  </w:r>
                  <w:r w:rsidRPr="00345E59">
                    <w:rPr>
                      <w:rFonts w:cstheme="minorHAnsi"/>
                      <w:sz w:val="12"/>
                      <w:szCs w:val="18"/>
                    </w:rPr>
                    <w:t>2019</w:t>
                  </w:r>
                  <w:r w:rsidR="00E857FF" w:rsidRPr="00345E59">
                    <w:rPr>
                      <w:rFonts w:cstheme="minorHAnsi"/>
                      <w:sz w:val="12"/>
                      <w:szCs w:val="18"/>
                    </w:rPr>
                    <w:t>r.</w:t>
                  </w:r>
                  <w:r w:rsidRPr="00345E59">
                    <w:rPr>
                      <w:rFonts w:cstheme="minorHAnsi"/>
                      <w:sz w:val="12"/>
                      <w:szCs w:val="18"/>
                    </w:rPr>
                    <w:t xml:space="preserve"> trwał rozwój wdrożonych produktów, który Beneficjent realizował z</w:t>
                  </w:r>
                  <w:r w:rsidR="00345E59">
                    <w:rPr>
                      <w:rFonts w:cstheme="minorHAnsi"/>
                      <w:sz w:val="12"/>
                      <w:szCs w:val="18"/>
                    </w:rPr>
                    <w:t> </w:t>
                  </w:r>
                  <w:r w:rsidRPr="00345E59">
                    <w:rPr>
                      <w:rFonts w:cstheme="minorHAnsi"/>
                      <w:sz w:val="12"/>
                      <w:szCs w:val="18"/>
                    </w:rPr>
                    <w:t>uwagi na postulaty zmian z</w:t>
                  </w:r>
                  <w:r w:rsidR="00345E59">
                    <w:rPr>
                      <w:rFonts w:cstheme="minorHAnsi"/>
                      <w:sz w:val="12"/>
                      <w:szCs w:val="18"/>
                    </w:rPr>
                    <w:t>głaszane przez podatników jak i </w:t>
                  </w:r>
                  <w:r w:rsidRPr="00345E59">
                    <w:rPr>
                      <w:rFonts w:cstheme="minorHAnsi"/>
                      <w:sz w:val="12"/>
                      <w:szCs w:val="18"/>
                    </w:rPr>
                    <w:t>doświadczenia Beneficjenta zgromadzone w okresie powdrożeniowym.</w:t>
                  </w:r>
                </w:p>
              </w:tc>
            </w:tr>
            <w:tr w:rsidR="00DC2637" w:rsidRPr="00345E59" w14:paraId="1D6CD78F" w14:textId="77777777" w:rsidTr="00345E59">
              <w:tc>
                <w:tcPr>
                  <w:tcW w:w="1305" w:type="dxa"/>
                </w:tcPr>
                <w:p w14:paraId="51AA1716" w14:textId="77777777" w:rsidR="00AF2165" w:rsidRPr="00345E59" w:rsidRDefault="00AF2165" w:rsidP="00AF2165">
                  <w:pPr>
                    <w:rPr>
                      <w:rFonts w:cstheme="minorHAnsi"/>
                      <w:sz w:val="12"/>
                      <w:szCs w:val="18"/>
                    </w:rPr>
                  </w:pPr>
                  <w:r w:rsidRPr="00345E59">
                    <w:rPr>
                      <w:rFonts w:cstheme="minorHAnsi"/>
                      <w:sz w:val="12"/>
                      <w:szCs w:val="18"/>
                    </w:rPr>
                    <w:t>Elektroniczne czynności kontrolne z użyciem JPK (e-JPK) – usługa publiczna o stopniu dojrzałości 3-dwustronna interakcja</w:t>
                  </w:r>
                </w:p>
              </w:tc>
              <w:tc>
                <w:tcPr>
                  <w:tcW w:w="709" w:type="dxa"/>
                </w:tcPr>
                <w:p w14:paraId="054480C3" w14:textId="77777777" w:rsidR="00AF2165" w:rsidRPr="00345E59" w:rsidRDefault="00AF2165" w:rsidP="00AF2165">
                  <w:pPr>
                    <w:rPr>
                      <w:rFonts w:cstheme="minorHAnsi"/>
                      <w:sz w:val="12"/>
                      <w:szCs w:val="18"/>
                    </w:rPr>
                  </w:pPr>
                  <w:r w:rsidRPr="00345E59">
                    <w:rPr>
                      <w:rFonts w:cstheme="minorHAnsi"/>
                      <w:sz w:val="12"/>
                      <w:szCs w:val="18"/>
                      <w:lang w:eastAsia="pl-PL"/>
                    </w:rPr>
                    <w:t>12-2018</w:t>
                  </w:r>
                </w:p>
              </w:tc>
              <w:tc>
                <w:tcPr>
                  <w:tcW w:w="708" w:type="dxa"/>
                </w:tcPr>
                <w:p w14:paraId="300C5D2E" w14:textId="77777777" w:rsidR="00AF2165" w:rsidRPr="00345E59" w:rsidRDefault="00AF2165" w:rsidP="00AF2165">
                  <w:pPr>
                    <w:rPr>
                      <w:rFonts w:cstheme="minorHAnsi"/>
                      <w:color w:val="0070C0"/>
                      <w:sz w:val="12"/>
                      <w:szCs w:val="18"/>
                    </w:rPr>
                  </w:pPr>
                  <w:r w:rsidRPr="00345E59">
                    <w:rPr>
                      <w:rFonts w:cstheme="minorHAnsi"/>
                      <w:sz w:val="12"/>
                      <w:szCs w:val="18"/>
                    </w:rPr>
                    <w:t xml:space="preserve"> </w:t>
                  </w:r>
                  <w:r w:rsidRPr="00345E59">
                    <w:rPr>
                      <w:rFonts w:cstheme="minorHAnsi"/>
                      <w:sz w:val="12"/>
                      <w:szCs w:val="18"/>
                      <w:lang w:eastAsia="pl-PL"/>
                    </w:rPr>
                    <w:t>12-2018</w:t>
                  </w:r>
                </w:p>
              </w:tc>
              <w:tc>
                <w:tcPr>
                  <w:tcW w:w="3261" w:type="dxa"/>
                </w:tcPr>
                <w:p w14:paraId="655F8B38" w14:textId="77777777" w:rsidR="00AF2165" w:rsidRPr="00345E59" w:rsidRDefault="00AF2165" w:rsidP="00E857FF">
                  <w:pPr>
                    <w:rPr>
                      <w:rFonts w:cstheme="minorHAnsi"/>
                      <w:sz w:val="12"/>
                      <w:szCs w:val="18"/>
                    </w:rPr>
                  </w:pPr>
                  <w:r w:rsidRPr="00345E59">
                    <w:rPr>
                      <w:rFonts w:cstheme="minorHAnsi"/>
                      <w:sz w:val="12"/>
                      <w:szCs w:val="18"/>
                    </w:rPr>
                    <w:t>Beneficjent otrzymał zgodę CPPC na zmianę zakresu projektu CVP. W dn. 25</w:t>
                  </w:r>
                  <w:r w:rsidR="00E857FF" w:rsidRPr="00345E59">
                    <w:rPr>
                      <w:rFonts w:cstheme="minorHAnsi"/>
                      <w:sz w:val="12"/>
                      <w:szCs w:val="18"/>
                    </w:rPr>
                    <w:t>-</w:t>
                  </w:r>
                  <w:r w:rsidRPr="00345E59">
                    <w:rPr>
                      <w:rFonts w:cstheme="minorHAnsi"/>
                      <w:sz w:val="12"/>
                      <w:szCs w:val="18"/>
                    </w:rPr>
                    <w:t>04</w:t>
                  </w:r>
                  <w:r w:rsidR="00E857FF" w:rsidRPr="00345E59">
                    <w:rPr>
                      <w:rFonts w:cstheme="minorHAnsi"/>
                      <w:sz w:val="12"/>
                      <w:szCs w:val="18"/>
                    </w:rPr>
                    <w:t>-</w:t>
                  </w:r>
                  <w:r w:rsidRPr="00345E59">
                    <w:rPr>
                      <w:rFonts w:cstheme="minorHAnsi"/>
                      <w:sz w:val="12"/>
                      <w:szCs w:val="18"/>
                    </w:rPr>
                    <w:t>2018r. podpisano aneks nr 2 do porozumienia o dofinansowanie projektu.</w:t>
                  </w:r>
                </w:p>
              </w:tc>
            </w:tr>
          </w:tbl>
          <w:p w14:paraId="73965838" w14:textId="77777777" w:rsidR="008E28E5" w:rsidRPr="00AF2165" w:rsidRDefault="008E28E5" w:rsidP="00E30008">
            <w:pPr>
              <w:rPr>
                <w:rFonts w:cstheme="minorHAnsi"/>
                <w:bCs/>
                <w:i/>
                <w:sz w:val="18"/>
                <w:szCs w:val="20"/>
              </w:rPr>
            </w:pPr>
          </w:p>
        </w:tc>
      </w:tr>
      <w:tr w:rsidR="00920CE8" w:rsidRPr="00DC2637" w14:paraId="3F8A7E72" w14:textId="77777777" w:rsidTr="00E369E5">
        <w:tc>
          <w:tcPr>
            <w:tcW w:w="480" w:type="dxa"/>
          </w:tcPr>
          <w:p w14:paraId="07C4ECF8" w14:textId="77777777" w:rsidR="00920CE8" w:rsidRPr="00DC2637" w:rsidRDefault="00920CE8" w:rsidP="007A0A3D">
            <w:pPr>
              <w:pStyle w:val="Akapitzlist"/>
              <w:numPr>
                <w:ilvl w:val="0"/>
                <w:numId w:val="1"/>
              </w:numPr>
              <w:rPr>
                <w:rFonts w:cstheme="minorHAnsi"/>
                <w:sz w:val="18"/>
                <w:szCs w:val="20"/>
              </w:rPr>
            </w:pPr>
          </w:p>
        </w:tc>
        <w:tc>
          <w:tcPr>
            <w:tcW w:w="2350" w:type="dxa"/>
          </w:tcPr>
          <w:p w14:paraId="28C3ACD4" w14:textId="77777777" w:rsidR="00920CE8" w:rsidRPr="00DC2637" w:rsidRDefault="00920CE8" w:rsidP="0092099A">
            <w:pPr>
              <w:rPr>
                <w:rFonts w:cstheme="minorHAnsi"/>
                <w:sz w:val="18"/>
                <w:szCs w:val="20"/>
              </w:rPr>
            </w:pPr>
            <w:r w:rsidRPr="00DC2637">
              <w:rPr>
                <w:rFonts w:cstheme="minorHAnsi"/>
                <w:sz w:val="18"/>
                <w:szCs w:val="20"/>
              </w:rPr>
              <w:t>Postęp w realizacji strategicznych celów Państwa</w:t>
            </w:r>
            <w:bookmarkStart w:id="0" w:name="_GoBack"/>
            <w:bookmarkEnd w:id="0"/>
          </w:p>
        </w:tc>
        <w:tc>
          <w:tcPr>
            <w:tcW w:w="6232" w:type="dxa"/>
          </w:tcPr>
          <w:p w14:paraId="75CA0679" w14:textId="77777777" w:rsidR="00771372" w:rsidRPr="00DC2637" w:rsidRDefault="00771372" w:rsidP="00DC2637">
            <w:pPr>
              <w:pStyle w:val="Tekstpodstawowy2"/>
              <w:ind w:left="0"/>
              <w:jc w:val="both"/>
              <w:rPr>
                <w:rFonts w:asciiTheme="minorHAnsi" w:hAnsiTheme="minorHAnsi" w:cstheme="minorHAnsi"/>
                <w:sz w:val="14"/>
                <w:szCs w:val="16"/>
                <w:lang w:val="pl-PL" w:eastAsia="pl-PL"/>
              </w:rPr>
            </w:pPr>
            <w:r w:rsidRPr="00DC2637">
              <w:rPr>
                <w:rFonts w:asciiTheme="minorHAnsi" w:hAnsiTheme="minorHAnsi" w:cstheme="minorHAnsi"/>
                <w:sz w:val="14"/>
                <w:szCs w:val="16"/>
                <w:lang w:val="pl-PL" w:eastAsia="pl-PL"/>
              </w:rPr>
              <w:t>Specyficznymi dla P</w:t>
            </w:r>
            <w:r>
              <w:rPr>
                <w:rFonts w:asciiTheme="minorHAnsi" w:hAnsiTheme="minorHAnsi" w:cstheme="minorHAnsi"/>
                <w:sz w:val="14"/>
                <w:szCs w:val="16"/>
                <w:lang w:val="pl-PL" w:eastAsia="pl-PL"/>
              </w:rPr>
              <w:t xml:space="preserve">rogramu </w:t>
            </w:r>
            <w:r w:rsidRPr="00DC2637">
              <w:rPr>
                <w:rFonts w:asciiTheme="minorHAnsi" w:hAnsiTheme="minorHAnsi" w:cstheme="minorHAnsi"/>
                <w:sz w:val="14"/>
                <w:szCs w:val="16"/>
                <w:lang w:val="pl-PL" w:eastAsia="pl-PL"/>
              </w:rPr>
              <w:t>O</w:t>
            </w:r>
            <w:r>
              <w:rPr>
                <w:rFonts w:asciiTheme="minorHAnsi" w:hAnsiTheme="minorHAnsi" w:cstheme="minorHAnsi"/>
                <w:sz w:val="14"/>
                <w:szCs w:val="16"/>
                <w:lang w:val="pl-PL" w:eastAsia="pl-PL"/>
              </w:rPr>
              <w:t xml:space="preserve">peracyjnego </w:t>
            </w:r>
            <w:r w:rsidRPr="00DC2637">
              <w:rPr>
                <w:rFonts w:asciiTheme="minorHAnsi" w:hAnsiTheme="minorHAnsi" w:cstheme="minorHAnsi"/>
                <w:sz w:val="14"/>
                <w:szCs w:val="16"/>
                <w:lang w:val="pl-PL" w:eastAsia="pl-PL"/>
              </w:rPr>
              <w:t>P</w:t>
            </w:r>
            <w:r>
              <w:rPr>
                <w:rFonts w:asciiTheme="minorHAnsi" w:hAnsiTheme="minorHAnsi" w:cstheme="minorHAnsi"/>
                <w:sz w:val="14"/>
                <w:szCs w:val="16"/>
                <w:lang w:val="pl-PL" w:eastAsia="pl-PL"/>
              </w:rPr>
              <w:t xml:space="preserve">olska </w:t>
            </w:r>
            <w:r w:rsidRPr="00DC2637">
              <w:rPr>
                <w:rFonts w:asciiTheme="minorHAnsi" w:hAnsiTheme="minorHAnsi" w:cstheme="minorHAnsi"/>
                <w:sz w:val="14"/>
                <w:szCs w:val="16"/>
                <w:lang w:val="pl-PL" w:eastAsia="pl-PL"/>
              </w:rPr>
              <w:t>C</w:t>
            </w:r>
            <w:r>
              <w:rPr>
                <w:rFonts w:asciiTheme="minorHAnsi" w:hAnsiTheme="minorHAnsi" w:cstheme="minorHAnsi"/>
                <w:sz w:val="14"/>
                <w:szCs w:val="16"/>
                <w:lang w:val="pl-PL" w:eastAsia="pl-PL"/>
              </w:rPr>
              <w:t>yfrowa</w:t>
            </w:r>
            <w:r w:rsidRPr="00DC2637">
              <w:rPr>
                <w:rFonts w:asciiTheme="minorHAnsi" w:hAnsiTheme="minorHAnsi" w:cstheme="minorHAnsi"/>
                <w:sz w:val="14"/>
                <w:szCs w:val="16"/>
                <w:lang w:val="pl-PL" w:eastAsia="pl-PL"/>
              </w:rPr>
              <w:t xml:space="preserve"> wskaźnikami produktu Projektu CVP </w:t>
            </w:r>
            <w:r w:rsidR="00C823C5">
              <w:rPr>
                <w:rFonts w:asciiTheme="minorHAnsi" w:hAnsiTheme="minorHAnsi" w:cstheme="minorHAnsi"/>
                <w:sz w:val="14"/>
                <w:szCs w:val="16"/>
                <w:lang w:val="pl-PL" w:eastAsia="pl-PL"/>
              </w:rPr>
              <w:t xml:space="preserve">osiągniętymi w wyniku jego realizacji </w:t>
            </w:r>
            <w:r w:rsidRPr="00DC2637">
              <w:rPr>
                <w:rFonts w:asciiTheme="minorHAnsi" w:hAnsiTheme="minorHAnsi" w:cstheme="minorHAnsi"/>
                <w:sz w:val="14"/>
                <w:szCs w:val="16"/>
                <w:lang w:val="pl-PL" w:eastAsia="pl-PL"/>
              </w:rPr>
              <w:t>są:</w:t>
            </w:r>
          </w:p>
          <w:tbl>
            <w:tblPr>
              <w:tblW w:w="59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99"/>
              <w:gridCol w:w="1143"/>
              <w:gridCol w:w="2062"/>
              <w:gridCol w:w="61"/>
              <w:gridCol w:w="1418"/>
            </w:tblGrid>
            <w:tr w:rsidR="00771372" w:rsidRPr="00345E59" w14:paraId="2CEBCFB7" w14:textId="77777777" w:rsidTr="00C823C5">
              <w:trPr>
                <w:trHeight w:val="332"/>
              </w:trPr>
              <w:tc>
                <w:tcPr>
                  <w:tcW w:w="5983" w:type="dxa"/>
                  <w:gridSpan w:val="5"/>
                  <w:shd w:val="clear" w:color="auto" w:fill="A6A6A6" w:themeFill="background1" w:themeFillShade="A6"/>
                </w:tcPr>
                <w:p w14:paraId="62673868" w14:textId="77777777" w:rsidR="00771372" w:rsidRPr="00345E59" w:rsidRDefault="00771372" w:rsidP="00771372">
                  <w:pPr>
                    <w:widowControl w:val="0"/>
                    <w:suppressAutoHyphens/>
                    <w:spacing w:after="200" w:line="276" w:lineRule="auto"/>
                    <w:rPr>
                      <w:rFonts w:eastAsia="Arial Unicode MS" w:cstheme="minorHAnsi"/>
                      <w:bCs/>
                      <w:kern w:val="1"/>
                      <w:sz w:val="12"/>
                      <w:szCs w:val="16"/>
                    </w:rPr>
                  </w:pPr>
                  <w:r w:rsidRPr="00345E59">
                    <w:rPr>
                      <w:rFonts w:eastAsia="Arial Unicode MS" w:cstheme="minorHAnsi"/>
                      <w:bCs/>
                      <w:kern w:val="1"/>
                      <w:sz w:val="12"/>
                      <w:szCs w:val="16"/>
                    </w:rPr>
                    <w:t>Wskaźniki specyficzne dla programu</w:t>
                  </w:r>
                </w:p>
              </w:tc>
            </w:tr>
            <w:tr w:rsidR="00771372" w:rsidRPr="00345E59" w14:paraId="3DAA57E8" w14:textId="77777777" w:rsidTr="00C823C5">
              <w:trPr>
                <w:trHeight w:val="211"/>
              </w:trPr>
              <w:tc>
                <w:tcPr>
                  <w:tcW w:w="5983" w:type="dxa"/>
                  <w:gridSpan w:val="5"/>
                  <w:shd w:val="clear" w:color="auto" w:fill="D9D9D9" w:themeFill="background1" w:themeFillShade="D9"/>
                </w:tcPr>
                <w:p w14:paraId="6D8C6277" w14:textId="77777777" w:rsidR="00771372" w:rsidRPr="00345E59" w:rsidRDefault="00771372" w:rsidP="00771372">
                  <w:pPr>
                    <w:widowControl w:val="0"/>
                    <w:suppressAutoHyphens/>
                    <w:spacing w:after="200" w:line="276" w:lineRule="auto"/>
                    <w:rPr>
                      <w:rFonts w:eastAsia="Arial Unicode MS" w:cstheme="minorHAnsi"/>
                      <w:bCs/>
                      <w:kern w:val="1"/>
                      <w:sz w:val="12"/>
                      <w:szCs w:val="16"/>
                    </w:rPr>
                  </w:pPr>
                  <w:r w:rsidRPr="00345E59">
                    <w:rPr>
                      <w:rFonts w:eastAsia="Arial Unicode MS" w:cstheme="minorHAnsi"/>
                      <w:bCs/>
                      <w:kern w:val="1"/>
                      <w:sz w:val="12"/>
                      <w:szCs w:val="16"/>
                    </w:rPr>
                    <w:t xml:space="preserve">Wskaźniki produktu </w:t>
                  </w:r>
                </w:p>
              </w:tc>
            </w:tr>
            <w:tr w:rsidR="00DC2637" w:rsidRPr="00345E59" w14:paraId="7AB317A7" w14:textId="77777777" w:rsidTr="00C823C5">
              <w:trPr>
                <w:trHeight w:val="481"/>
              </w:trPr>
              <w:tc>
                <w:tcPr>
                  <w:tcW w:w="2442" w:type="dxa"/>
                  <w:gridSpan w:val="2"/>
                  <w:shd w:val="clear" w:color="auto" w:fill="D9D9D9" w:themeFill="background1" w:themeFillShade="D9"/>
                </w:tcPr>
                <w:p w14:paraId="4AFB2FAE" w14:textId="77777777" w:rsidR="00771372" w:rsidRPr="00345E59" w:rsidRDefault="00771372" w:rsidP="00771372">
                  <w:pPr>
                    <w:widowControl w:val="0"/>
                    <w:suppressAutoHyphens/>
                    <w:spacing w:after="200" w:line="276" w:lineRule="auto"/>
                    <w:rPr>
                      <w:rFonts w:eastAsia="Arial Unicode MS" w:cstheme="minorHAnsi"/>
                      <w:bCs/>
                      <w:kern w:val="1"/>
                      <w:sz w:val="12"/>
                      <w:szCs w:val="16"/>
                    </w:rPr>
                  </w:pPr>
                  <w:r w:rsidRPr="00345E59">
                    <w:rPr>
                      <w:rFonts w:eastAsia="Arial Unicode MS" w:cstheme="minorHAnsi"/>
                      <w:bCs/>
                      <w:kern w:val="1"/>
                      <w:sz w:val="12"/>
                      <w:szCs w:val="16"/>
                    </w:rPr>
                    <w:t>Nazwa wskaźnika</w:t>
                  </w:r>
                </w:p>
              </w:tc>
              <w:tc>
                <w:tcPr>
                  <w:tcW w:w="2062" w:type="dxa"/>
                  <w:shd w:val="clear" w:color="auto" w:fill="D9D9D9" w:themeFill="background1" w:themeFillShade="D9"/>
                </w:tcPr>
                <w:p w14:paraId="2160FC3B" w14:textId="77777777" w:rsidR="00771372" w:rsidRPr="00345E59" w:rsidRDefault="00771372" w:rsidP="00771372">
                  <w:pPr>
                    <w:widowControl w:val="0"/>
                    <w:suppressAutoHyphens/>
                    <w:spacing w:after="200" w:line="276" w:lineRule="auto"/>
                    <w:rPr>
                      <w:rFonts w:eastAsia="Arial Unicode MS" w:cstheme="minorHAnsi"/>
                      <w:bCs/>
                      <w:kern w:val="1"/>
                      <w:sz w:val="12"/>
                      <w:szCs w:val="16"/>
                    </w:rPr>
                  </w:pPr>
                  <w:r w:rsidRPr="00345E59">
                    <w:rPr>
                      <w:rFonts w:eastAsia="Arial Unicode MS" w:cstheme="minorHAnsi"/>
                      <w:bCs/>
                      <w:kern w:val="1"/>
                      <w:sz w:val="12"/>
                      <w:szCs w:val="16"/>
                    </w:rPr>
                    <w:t>Jednostka miary</w:t>
                  </w:r>
                </w:p>
              </w:tc>
              <w:tc>
                <w:tcPr>
                  <w:tcW w:w="1479" w:type="dxa"/>
                  <w:gridSpan w:val="2"/>
                  <w:shd w:val="clear" w:color="auto" w:fill="D9D9D9" w:themeFill="background1" w:themeFillShade="D9"/>
                </w:tcPr>
                <w:p w14:paraId="20B92AFE" w14:textId="77777777" w:rsidR="00771372" w:rsidRPr="00345E59" w:rsidRDefault="00771372" w:rsidP="00771372">
                  <w:pPr>
                    <w:widowControl w:val="0"/>
                    <w:suppressAutoHyphens/>
                    <w:spacing w:after="200" w:line="276" w:lineRule="auto"/>
                    <w:rPr>
                      <w:rFonts w:eastAsia="Arial Unicode MS" w:cstheme="minorHAnsi"/>
                      <w:bCs/>
                      <w:kern w:val="1"/>
                      <w:sz w:val="12"/>
                      <w:szCs w:val="16"/>
                    </w:rPr>
                  </w:pPr>
                  <w:r w:rsidRPr="00345E59">
                    <w:rPr>
                      <w:rFonts w:eastAsia="Arial Unicode MS" w:cstheme="minorHAnsi"/>
                      <w:bCs/>
                      <w:kern w:val="1"/>
                      <w:sz w:val="12"/>
                      <w:szCs w:val="16"/>
                    </w:rPr>
                    <w:t>Wartość docelowa</w:t>
                  </w:r>
                </w:p>
              </w:tc>
            </w:tr>
            <w:tr w:rsidR="00DC2637" w:rsidRPr="00345E59" w14:paraId="0A3BBB88" w14:textId="77777777" w:rsidTr="00C823C5">
              <w:trPr>
                <w:trHeight w:val="481"/>
              </w:trPr>
              <w:tc>
                <w:tcPr>
                  <w:tcW w:w="2442" w:type="dxa"/>
                  <w:gridSpan w:val="2"/>
                  <w:shd w:val="clear" w:color="auto" w:fill="auto"/>
                </w:tcPr>
                <w:p w14:paraId="439F6983" w14:textId="77777777" w:rsidR="00771372" w:rsidRPr="00345E59" w:rsidRDefault="00771372" w:rsidP="00771372">
                  <w:pPr>
                    <w:widowControl w:val="0"/>
                    <w:suppressAutoHyphens/>
                    <w:spacing w:after="200" w:line="276" w:lineRule="auto"/>
                    <w:rPr>
                      <w:rFonts w:eastAsia="Arial Unicode MS" w:cstheme="minorHAnsi"/>
                      <w:bCs/>
                      <w:kern w:val="1"/>
                      <w:sz w:val="12"/>
                      <w:szCs w:val="16"/>
                    </w:rPr>
                  </w:pPr>
                  <w:r w:rsidRPr="00345E59">
                    <w:rPr>
                      <w:rFonts w:eastAsia="Arial Unicode MS" w:cstheme="minorHAnsi"/>
                      <w:bCs/>
                      <w:kern w:val="1"/>
                      <w:sz w:val="12"/>
                      <w:szCs w:val="16"/>
                    </w:rPr>
                    <w:t>W3. Liczba rejestrów publicznych o poprawionej interoperacyjności</w:t>
                  </w:r>
                </w:p>
              </w:tc>
              <w:tc>
                <w:tcPr>
                  <w:tcW w:w="2062" w:type="dxa"/>
                  <w:shd w:val="clear" w:color="auto" w:fill="auto"/>
                </w:tcPr>
                <w:p w14:paraId="559FAC91" w14:textId="77777777" w:rsidR="00771372" w:rsidRPr="00345E59" w:rsidRDefault="00771372" w:rsidP="00771372">
                  <w:pPr>
                    <w:widowControl w:val="0"/>
                    <w:suppressAutoHyphens/>
                    <w:spacing w:after="200" w:line="276" w:lineRule="auto"/>
                    <w:rPr>
                      <w:rFonts w:eastAsia="Arial Unicode MS" w:cstheme="minorHAnsi"/>
                      <w:bCs/>
                      <w:kern w:val="1"/>
                      <w:sz w:val="12"/>
                      <w:szCs w:val="16"/>
                    </w:rPr>
                  </w:pPr>
                  <w:r w:rsidRPr="00345E59">
                    <w:rPr>
                      <w:rFonts w:eastAsia="Arial Unicode MS" w:cstheme="minorHAnsi"/>
                      <w:bCs/>
                      <w:kern w:val="1"/>
                      <w:sz w:val="12"/>
                      <w:szCs w:val="16"/>
                    </w:rPr>
                    <w:t>szt.</w:t>
                  </w:r>
                </w:p>
              </w:tc>
              <w:tc>
                <w:tcPr>
                  <w:tcW w:w="1479" w:type="dxa"/>
                  <w:gridSpan w:val="2"/>
                  <w:shd w:val="clear" w:color="auto" w:fill="auto"/>
                </w:tcPr>
                <w:p w14:paraId="69AC18AE" w14:textId="77777777" w:rsidR="00771372" w:rsidRPr="00345E59" w:rsidRDefault="00771372" w:rsidP="00771372">
                  <w:pPr>
                    <w:widowControl w:val="0"/>
                    <w:suppressAutoHyphens/>
                    <w:spacing w:after="200" w:line="276" w:lineRule="auto"/>
                    <w:rPr>
                      <w:rFonts w:eastAsia="Arial Unicode MS" w:cstheme="minorHAnsi"/>
                      <w:bCs/>
                      <w:kern w:val="1"/>
                      <w:sz w:val="12"/>
                      <w:szCs w:val="16"/>
                    </w:rPr>
                  </w:pPr>
                  <w:r w:rsidRPr="00345E59">
                    <w:rPr>
                      <w:rFonts w:eastAsia="Arial Unicode MS" w:cstheme="minorHAnsi"/>
                      <w:bCs/>
                      <w:kern w:val="1"/>
                      <w:sz w:val="12"/>
                      <w:szCs w:val="16"/>
                    </w:rPr>
                    <w:t>1</w:t>
                  </w:r>
                </w:p>
              </w:tc>
            </w:tr>
            <w:tr w:rsidR="00771372" w:rsidRPr="00345E59" w14:paraId="07BAD449" w14:textId="77777777" w:rsidTr="00C823C5">
              <w:trPr>
                <w:trHeight w:val="481"/>
              </w:trPr>
              <w:tc>
                <w:tcPr>
                  <w:tcW w:w="5983" w:type="dxa"/>
                  <w:gridSpan w:val="5"/>
                  <w:shd w:val="clear" w:color="auto" w:fill="A6A6A6" w:themeFill="background1" w:themeFillShade="A6"/>
                </w:tcPr>
                <w:p w14:paraId="30960E99" w14:textId="77777777" w:rsidR="00771372" w:rsidRPr="00345E59" w:rsidRDefault="00771372" w:rsidP="00771372">
                  <w:pPr>
                    <w:widowControl w:val="0"/>
                    <w:suppressAutoHyphens/>
                    <w:spacing w:after="200" w:line="276" w:lineRule="auto"/>
                    <w:rPr>
                      <w:rFonts w:eastAsia="Arial Unicode MS" w:cstheme="minorHAnsi"/>
                      <w:bCs/>
                      <w:kern w:val="1"/>
                      <w:sz w:val="12"/>
                      <w:szCs w:val="16"/>
                    </w:rPr>
                  </w:pPr>
                  <w:r w:rsidRPr="00345E59">
                    <w:rPr>
                      <w:rFonts w:eastAsia="Arial Unicode MS" w:cstheme="minorHAnsi"/>
                      <w:bCs/>
                      <w:kern w:val="1"/>
                      <w:sz w:val="12"/>
                      <w:szCs w:val="16"/>
                    </w:rPr>
                    <w:t>Wskaźniki rezultatu bezpośredniego</w:t>
                  </w:r>
                  <w:r w:rsidRPr="00345E59">
                    <w:rPr>
                      <w:rFonts w:eastAsia="Arial Unicode MS" w:cstheme="minorHAnsi"/>
                      <w:bCs/>
                      <w:kern w:val="1"/>
                      <w:sz w:val="12"/>
                      <w:szCs w:val="16"/>
                    </w:rPr>
                    <w:footnoteReference w:id="1"/>
                  </w:r>
                </w:p>
              </w:tc>
            </w:tr>
            <w:tr w:rsidR="00771372" w:rsidRPr="00345E59" w14:paraId="2AA25F7B" w14:textId="77777777" w:rsidTr="00C823C5">
              <w:trPr>
                <w:trHeight w:val="481"/>
              </w:trPr>
              <w:tc>
                <w:tcPr>
                  <w:tcW w:w="1299" w:type="dxa"/>
                  <w:shd w:val="clear" w:color="auto" w:fill="D9D9D9" w:themeFill="background1" w:themeFillShade="D9"/>
                </w:tcPr>
                <w:p w14:paraId="256E99B0" w14:textId="77777777" w:rsidR="00771372" w:rsidRPr="00345E59" w:rsidRDefault="00771372" w:rsidP="00771372">
                  <w:pPr>
                    <w:widowControl w:val="0"/>
                    <w:suppressAutoHyphens/>
                    <w:spacing w:after="200" w:line="276" w:lineRule="auto"/>
                    <w:rPr>
                      <w:rFonts w:eastAsia="Arial Unicode MS" w:cstheme="minorHAnsi"/>
                      <w:bCs/>
                      <w:kern w:val="1"/>
                      <w:sz w:val="12"/>
                      <w:szCs w:val="16"/>
                    </w:rPr>
                  </w:pPr>
                  <w:r w:rsidRPr="00345E59">
                    <w:rPr>
                      <w:rFonts w:eastAsia="Arial Unicode MS" w:cstheme="minorHAnsi"/>
                      <w:bCs/>
                      <w:kern w:val="1"/>
                      <w:sz w:val="12"/>
                      <w:szCs w:val="16"/>
                    </w:rPr>
                    <w:t>Nazwa wskaźnika</w:t>
                  </w:r>
                </w:p>
              </w:tc>
              <w:tc>
                <w:tcPr>
                  <w:tcW w:w="1143" w:type="dxa"/>
                  <w:shd w:val="clear" w:color="auto" w:fill="D9D9D9" w:themeFill="background1" w:themeFillShade="D9"/>
                </w:tcPr>
                <w:p w14:paraId="1F0AAC03" w14:textId="77777777" w:rsidR="00771372" w:rsidRPr="00345E59" w:rsidRDefault="00771372" w:rsidP="00771372">
                  <w:pPr>
                    <w:widowControl w:val="0"/>
                    <w:suppressAutoHyphens/>
                    <w:spacing w:after="200" w:line="276" w:lineRule="auto"/>
                    <w:rPr>
                      <w:rFonts w:eastAsia="Arial Unicode MS" w:cstheme="minorHAnsi"/>
                      <w:bCs/>
                      <w:kern w:val="1"/>
                      <w:sz w:val="12"/>
                      <w:szCs w:val="16"/>
                    </w:rPr>
                  </w:pPr>
                  <w:r w:rsidRPr="00345E59">
                    <w:rPr>
                      <w:rFonts w:eastAsia="Arial Unicode MS" w:cstheme="minorHAnsi"/>
                      <w:bCs/>
                      <w:kern w:val="1"/>
                      <w:sz w:val="12"/>
                      <w:szCs w:val="16"/>
                    </w:rPr>
                    <w:t>Jednostka miary</w:t>
                  </w:r>
                </w:p>
              </w:tc>
              <w:tc>
                <w:tcPr>
                  <w:tcW w:w="2123" w:type="dxa"/>
                  <w:gridSpan w:val="2"/>
                  <w:shd w:val="clear" w:color="auto" w:fill="D9D9D9" w:themeFill="background1" w:themeFillShade="D9"/>
                </w:tcPr>
                <w:p w14:paraId="7775B5F8" w14:textId="77777777" w:rsidR="00771372" w:rsidRPr="00345E59" w:rsidRDefault="00771372" w:rsidP="00771372">
                  <w:pPr>
                    <w:widowControl w:val="0"/>
                    <w:suppressAutoHyphens/>
                    <w:spacing w:after="200" w:line="276" w:lineRule="auto"/>
                    <w:rPr>
                      <w:rFonts w:eastAsia="Arial Unicode MS" w:cstheme="minorHAnsi"/>
                      <w:bCs/>
                      <w:kern w:val="1"/>
                      <w:sz w:val="12"/>
                      <w:szCs w:val="16"/>
                    </w:rPr>
                  </w:pPr>
                  <w:r w:rsidRPr="00345E59">
                    <w:rPr>
                      <w:rFonts w:eastAsia="Arial Unicode MS" w:cstheme="minorHAnsi"/>
                      <w:bCs/>
                      <w:kern w:val="1"/>
                      <w:sz w:val="12"/>
                      <w:szCs w:val="16"/>
                    </w:rPr>
                    <w:t>Wartość bazowa</w:t>
                  </w:r>
                </w:p>
              </w:tc>
              <w:tc>
                <w:tcPr>
                  <w:tcW w:w="1418" w:type="dxa"/>
                  <w:shd w:val="clear" w:color="auto" w:fill="D9D9D9" w:themeFill="background1" w:themeFillShade="D9"/>
                </w:tcPr>
                <w:p w14:paraId="79D2E4D9" w14:textId="77777777" w:rsidR="00771372" w:rsidRPr="00345E59" w:rsidRDefault="00771372" w:rsidP="00771372">
                  <w:pPr>
                    <w:widowControl w:val="0"/>
                    <w:suppressAutoHyphens/>
                    <w:spacing w:after="200" w:line="276" w:lineRule="auto"/>
                    <w:rPr>
                      <w:rFonts w:eastAsia="Arial Unicode MS" w:cstheme="minorHAnsi"/>
                      <w:bCs/>
                      <w:kern w:val="1"/>
                      <w:sz w:val="12"/>
                      <w:szCs w:val="16"/>
                    </w:rPr>
                  </w:pPr>
                  <w:r w:rsidRPr="00345E59">
                    <w:rPr>
                      <w:rFonts w:eastAsia="Arial Unicode MS" w:cstheme="minorHAnsi"/>
                      <w:bCs/>
                      <w:kern w:val="1"/>
                      <w:sz w:val="12"/>
                      <w:szCs w:val="16"/>
                    </w:rPr>
                    <w:t>Wartość docelowa</w:t>
                  </w:r>
                </w:p>
              </w:tc>
            </w:tr>
            <w:tr w:rsidR="00771372" w:rsidRPr="00345E59" w14:paraId="35244FA9" w14:textId="77777777" w:rsidTr="00C823C5">
              <w:trPr>
                <w:trHeight w:val="481"/>
              </w:trPr>
              <w:tc>
                <w:tcPr>
                  <w:tcW w:w="1299" w:type="dxa"/>
                  <w:shd w:val="clear" w:color="auto" w:fill="FFFFFF" w:themeFill="background1"/>
                </w:tcPr>
                <w:p w14:paraId="3235B4E5" w14:textId="77777777" w:rsidR="00771372" w:rsidRPr="00345E59" w:rsidRDefault="00771372" w:rsidP="00771372">
                  <w:pPr>
                    <w:widowControl w:val="0"/>
                    <w:suppressAutoHyphens/>
                    <w:spacing w:after="200" w:line="276" w:lineRule="auto"/>
                    <w:rPr>
                      <w:rFonts w:eastAsia="Arial Unicode MS" w:cstheme="minorHAnsi"/>
                      <w:bCs/>
                      <w:kern w:val="1"/>
                      <w:sz w:val="12"/>
                      <w:szCs w:val="16"/>
                    </w:rPr>
                  </w:pPr>
                </w:p>
              </w:tc>
              <w:tc>
                <w:tcPr>
                  <w:tcW w:w="1143" w:type="dxa"/>
                  <w:shd w:val="clear" w:color="auto" w:fill="FFFFFF" w:themeFill="background1"/>
                </w:tcPr>
                <w:p w14:paraId="51698C68" w14:textId="77777777" w:rsidR="00771372" w:rsidRPr="00345E59" w:rsidRDefault="00771372" w:rsidP="00771372">
                  <w:pPr>
                    <w:widowControl w:val="0"/>
                    <w:suppressAutoHyphens/>
                    <w:spacing w:after="200" w:line="276" w:lineRule="auto"/>
                    <w:rPr>
                      <w:rFonts w:eastAsia="Arial Unicode MS" w:cstheme="minorHAnsi"/>
                      <w:bCs/>
                      <w:kern w:val="1"/>
                      <w:sz w:val="12"/>
                      <w:szCs w:val="16"/>
                    </w:rPr>
                  </w:pPr>
                </w:p>
              </w:tc>
              <w:tc>
                <w:tcPr>
                  <w:tcW w:w="2123" w:type="dxa"/>
                  <w:gridSpan w:val="2"/>
                  <w:shd w:val="clear" w:color="auto" w:fill="FFFFFF" w:themeFill="background1"/>
                </w:tcPr>
                <w:p w14:paraId="593C5C1A" w14:textId="77777777" w:rsidR="00771372" w:rsidRPr="00345E59" w:rsidRDefault="00771372" w:rsidP="00771372">
                  <w:pPr>
                    <w:widowControl w:val="0"/>
                    <w:suppressAutoHyphens/>
                    <w:spacing w:after="200" w:line="276" w:lineRule="auto"/>
                    <w:rPr>
                      <w:rFonts w:eastAsia="Arial Unicode MS" w:cstheme="minorHAnsi"/>
                      <w:bCs/>
                      <w:kern w:val="1"/>
                      <w:sz w:val="12"/>
                      <w:szCs w:val="16"/>
                    </w:rPr>
                  </w:pPr>
                </w:p>
              </w:tc>
              <w:tc>
                <w:tcPr>
                  <w:tcW w:w="1418" w:type="dxa"/>
                  <w:shd w:val="clear" w:color="auto" w:fill="FFFFFF" w:themeFill="background1"/>
                </w:tcPr>
                <w:p w14:paraId="7BA647FB" w14:textId="77777777" w:rsidR="00771372" w:rsidRPr="00345E59" w:rsidRDefault="00771372" w:rsidP="00771372">
                  <w:pPr>
                    <w:widowControl w:val="0"/>
                    <w:suppressAutoHyphens/>
                    <w:spacing w:after="200" w:line="276" w:lineRule="auto"/>
                    <w:rPr>
                      <w:rFonts w:eastAsia="Arial Unicode MS" w:cstheme="minorHAnsi"/>
                      <w:bCs/>
                      <w:kern w:val="1"/>
                      <w:sz w:val="12"/>
                      <w:szCs w:val="16"/>
                    </w:rPr>
                  </w:pPr>
                </w:p>
              </w:tc>
            </w:tr>
          </w:tbl>
          <w:p w14:paraId="4D10DA64" w14:textId="77777777" w:rsidR="00771372" w:rsidRPr="00DC2637" w:rsidRDefault="00771372" w:rsidP="005A4344">
            <w:pPr>
              <w:jc w:val="both"/>
              <w:rPr>
                <w:rFonts w:cstheme="minorHAnsi"/>
                <w:i/>
                <w:sz w:val="14"/>
                <w:szCs w:val="14"/>
              </w:rPr>
            </w:pPr>
          </w:p>
          <w:p w14:paraId="1A96F98F" w14:textId="4BC9E57D" w:rsidR="00771372" w:rsidRPr="00DC2637" w:rsidRDefault="00771372" w:rsidP="00DC2637">
            <w:pPr>
              <w:pStyle w:val="Tekstpodstawowy2"/>
              <w:ind w:left="81"/>
              <w:jc w:val="both"/>
              <w:rPr>
                <w:rFonts w:asciiTheme="minorHAnsi" w:hAnsiTheme="minorHAnsi" w:cstheme="minorHAnsi"/>
                <w:sz w:val="14"/>
                <w:szCs w:val="14"/>
                <w:lang w:val="pl-PL" w:eastAsia="pl-PL"/>
              </w:rPr>
            </w:pPr>
            <w:r w:rsidRPr="00DC2637">
              <w:rPr>
                <w:rFonts w:asciiTheme="minorHAnsi" w:hAnsiTheme="minorHAnsi" w:cstheme="minorHAnsi"/>
                <w:sz w:val="14"/>
                <w:szCs w:val="14"/>
                <w:lang w:val="pl-PL" w:eastAsia="pl-PL"/>
              </w:rPr>
              <w:t xml:space="preserve">Kluczowymi wskaźnikami produktu Projektu CVP </w:t>
            </w:r>
            <w:r w:rsidR="00C823C5">
              <w:rPr>
                <w:rFonts w:asciiTheme="minorHAnsi" w:hAnsiTheme="minorHAnsi" w:cstheme="minorHAnsi"/>
                <w:sz w:val="14"/>
                <w:szCs w:val="16"/>
                <w:lang w:val="pl-PL" w:eastAsia="pl-PL"/>
              </w:rPr>
              <w:t xml:space="preserve">osiągniętymi </w:t>
            </w:r>
            <w:r w:rsidR="005630A4">
              <w:rPr>
                <w:rFonts w:asciiTheme="minorHAnsi" w:hAnsiTheme="minorHAnsi" w:cstheme="minorHAnsi"/>
                <w:sz w:val="14"/>
                <w:szCs w:val="16"/>
                <w:lang w:val="pl-PL" w:eastAsia="pl-PL"/>
              </w:rPr>
              <w:t xml:space="preserve">w zaplanowanych terminach </w:t>
            </w:r>
            <w:r w:rsidR="00C823C5">
              <w:rPr>
                <w:rFonts w:asciiTheme="minorHAnsi" w:hAnsiTheme="minorHAnsi" w:cstheme="minorHAnsi"/>
                <w:sz w:val="14"/>
                <w:szCs w:val="16"/>
                <w:lang w:val="pl-PL" w:eastAsia="pl-PL"/>
              </w:rPr>
              <w:t xml:space="preserve">w wyniku jego realizacji </w:t>
            </w:r>
            <w:r w:rsidRPr="00DC2637">
              <w:rPr>
                <w:rFonts w:asciiTheme="minorHAnsi" w:hAnsiTheme="minorHAnsi" w:cstheme="minorHAnsi"/>
                <w:sz w:val="14"/>
                <w:szCs w:val="14"/>
                <w:lang w:val="pl-PL" w:eastAsia="pl-PL"/>
              </w:rPr>
              <w:t>są:</w:t>
            </w:r>
          </w:p>
          <w:tbl>
            <w:tblPr>
              <w:tblW w:w="6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46"/>
              <w:gridCol w:w="1044"/>
              <w:gridCol w:w="1649"/>
            </w:tblGrid>
            <w:tr w:rsidR="00771372" w:rsidRPr="00345E59" w14:paraId="26E40CF5" w14:textId="77777777" w:rsidTr="00E369E5">
              <w:tc>
                <w:tcPr>
                  <w:tcW w:w="6639" w:type="dxa"/>
                  <w:gridSpan w:val="3"/>
                  <w:shd w:val="clear" w:color="auto" w:fill="A6A6A6" w:themeFill="background1" w:themeFillShade="A6"/>
                </w:tcPr>
                <w:p w14:paraId="2CF0A483" w14:textId="77777777" w:rsidR="00771372" w:rsidRPr="00345E59" w:rsidRDefault="00771372" w:rsidP="00771372">
                  <w:pPr>
                    <w:widowControl w:val="0"/>
                    <w:suppressAutoHyphens/>
                    <w:spacing w:after="200" w:line="276" w:lineRule="auto"/>
                    <w:rPr>
                      <w:rFonts w:eastAsia="Arial Unicode MS" w:cstheme="minorHAnsi"/>
                      <w:bCs/>
                      <w:kern w:val="1"/>
                      <w:sz w:val="12"/>
                      <w:szCs w:val="14"/>
                    </w:rPr>
                  </w:pPr>
                  <w:r w:rsidRPr="00345E59">
                    <w:rPr>
                      <w:rFonts w:eastAsia="Arial Unicode MS" w:cstheme="minorHAnsi"/>
                      <w:bCs/>
                      <w:kern w:val="1"/>
                      <w:sz w:val="12"/>
                      <w:szCs w:val="14"/>
                    </w:rPr>
                    <w:t xml:space="preserve">Wskaźniki kluczowe (obligatoryjne) </w:t>
                  </w:r>
                </w:p>
              </w:tc>
            </w:tr>
            <w:tr w:rsidR="00771372" w:rsidRPr="00345E59" w14:paraId="304739DA" w14:textId="77777777" w:rsidTr="00E369E5">
              <w:tc>
                <w:tcPr>
                  <w:tcW w:w="6639" w:type="dxa"/>
                  <w:gridSpan w:val="3"/>
                  <w:shd w:val="clear" w:color="auto" w:fill="A6A6A6" w:themeFill="background1" w:themeFillShade="A6"/>
                </w:tcPr>
                <w:p w14:paraId="15D1E4E7" w14:textId="77777777" w:rsidR="00771372" w:rsidRPr="00345E59" w:rsidRDefault="00771372" w:rsidP="00771372">
                  <w:pPr>
                    <w:widowControl w:val="0"/>
                    <w:suppressAutoHyphens/>
                    <w:spacing w:after="200" w:line="276" w:lineRule="auto"/>
                    <w:rPr>
                      <w:rFonts w:eastAsia="Arial Unicode MS" w:cstheme="minorHAnsi"/>
                      <w:bCs/>
                      <w:kern w:val="1"/>
                      <w:sz w:val="12"/>
                      <w:szCs w:val="14"/>
                    </w:rPr>
                  </w:pPr>
                  <w:r w:rsidRPr="00345E59">
                    <w:rPr>
                      <w:rFonts w:eastAsia="Arial Unicode MS" w:cstheme="minorHAnsi"/>
                      <w:bCs/>
                      <w:kern w:val="1"/>
                      <w:sz w:val="12"/>
                      <w:szCs w:val="14"/>
                    </w:rPr>
                    <w:t xml:space="preserve">Wskaźniki produktu </w:t>
                  </w:r>
                </w:p>
              </w:tc>
            </w:tr>
            <w:tr w:rsidR="00771372" w:rsidRPr="00345E59" w14:paraId="131B24E5" w14:textId="77777777" w:rsidTr="00345E59">
              <w:tc>
                <w:tcPr>
                  <w:tcW w:w="3946" w:type="dxa"/>
                  <w:shd w:val="clear" w:color="auto" w:fill="D9D9D9" w:themeFill="background1" w:themeFillShade="D9"/>
                </w:tcPr>
                <w:p w14:paraId="3783220F" w14:textId="77777777" w:rsidR="00771372" w:rsidRPr="00345E59" w:rsidRDefault="00771372" w:rsidP="00771372">
                  <w:pPr>
                    <w:widowControl w:val="0"/>
                    <w:suppressAutoHyphens/>
                    <w:spacing w:after="200" w:line="276" w:lineRule="auto"/>
                    <w:rPr>
                      <w:rFonts w:eastAsia="Arial Unicode MS" w:cstheme="minorHAnsi"/>
                      <w:bCs/>
                      <w:kern w:val="1"/>
                      <w:sz w:val="12"/>
                      <w:szCs w:val="14"/>
                    </w:rPr>
                  </w:pPr>
                  <w:r w:rsidRPr="00345E59">
                    <w:rPr>
                      <w:rFonts w:eastAsia="Arial Unicode MS" w:cstheme="minorHAnsi"/>
                      <w:bCs/>
                      <w:kern w:val="1"/>
                      <w:sz w:val="12"/>
                      <w:szCs w:val="14"/>
                    </w:rPr>
                    <w:t>Nazwa wskaźnika</w:t>
                  </w:r>
                </w:p>
              </w:tc>
              <w:tc>
                <w:tcPr>
                  <w:tcW w:w="1044" w:type="dxa"/>
                  <w:shd w:val="clear" w:color="auto" w:fill="D9D9D9" w:themeFill="background1" w:themeFillShade="D9"/>
                </w:tcPr>
                <w:p w14:paraId="3CBE6654" w14:textId="77777777" w:rsidR="00771372" w:rsidRPr="00345E59" w:rsidRDefault="00771372" w:rsidP="00771372">
                  <w:pPr>
                    <w:widowControl w:val="0"/>
                    <w:suppressAutoHyphens/>
                    <w:spacing w:after="200" w:line="276" w:lineRule="auto"/>
                    <w:rPr>
                      <w:rFonts w:eastAsia="Arial Unicode MS" w:cstheme="minorHAnsi"/>
                      <w:bCs/>
                      <w:kern w:val="1"/>
                      <w:sz w:val="12"/>
                      <w:szCs w:val="14"/>
                    </w:rPr>
                  </w:pPr>
                  <w:r w:rsidRPr="00345E59">
                    <w:rPr>
                      <w:rFonts w:eastAsia="Arial Unicode MS" w:cstheme="minorHAnsi"/>
                      <w:bCs/>
                      <w:kern w:val="1"/>
                      <w:sz w:val="12"/>
                      <w:szCs w:val="14"/>
                    </w:rPr>
                    <w:t>Jednostka miary</w:t>
                  </w:r>
                </w:p>
              </w:tc>
              <w:tc>
                <w:tcPr>
                  <w:tcW w:w="1649" w:type="dxa"/>
                  <w:shd w:val="clear" w:color="auto" w:fill="D9D9D9" w:themeFill="background1" w:themeFillShade="D9"/>
                </w:tcPr>
                <w:p w14:paraId="6F6865ED" w14:textId="77777777" w:rsidR="00771372" w:rsidRPr="00345E59" w:rsidRDefault="00771372" w:rsidP="00771372">
                  <w:pPr>
                    <w:widowControl w:val="0"/>
                    <w:suppressAutoHyphens/>
                    <w:spacing w:after="200" w:line="276" w:lineRule="auto"/>
                    <w:rPr>
                      <w:rFonts w:eastAsia="Arial Unicode MS" w:cstheme="minorHAnsi"/>
                      <w:bCs/>
                      <w:kern w:val="1"/>
                      <w:sz w:val="12"/>
                      <w:szCs w:val="14"/>
                    </w:rPr>
                  </w:pPr>
                  <w:r w:rsidRPr="00345E59">
                    <w:rPr>
                      <w:rFonts w:eastAsia="Arial Unicode MS" w:cstheme="minorHAnsi"/>
                      <w:bCs/>
                      <w:kern w:val="1"/>
                      <w:sz w:val="12"/>
                      <w:szCs w:val="14"/>
                    </w:rPr>
                    <w:t>Wartość docelowa</w:t>
                  </w:r>
                </w:p>
              </w:tc>
            </w:tr>
            <w:tr w:rsidR="00771372" w:rsidRPr="00345E59" w14:paraId="08848FC1" w14:textId="77777777" w:rsidTr="00345E59">
              <w:tc>
                <w:tcPr>
                  <w:tcW w:w="3946" w:type="dxa"/>
                  <w:shd w:val="clear" w:color="auto" w:fill="auto"/>
                </w:tcPr>
                <w:p w14:paraId="136318F8" w14:textId="77777777" w:rsidR="00771372" w:rsidRPr="00345E59" w:rsidRDefault="00771372" w:rsidP="00771372">
                  <w:pPr>
                    <w:widowControl w:val="0"/>
                    <w:suppressAutoHyphens/>
                    <w:spacing w:after="200" w:line="276" w:lineRule="auto"/>
                    <w:rPr>
                      <w:rFonts w:eastAsia="Arial Unicode MS" w:cstheme="minorHAnsi"/>
                      <w:bCs/>
                      <w:kern w:val="1"/>
                      <w:sz w:val="12"/>
                      <w:szCs w:val="14"/>
                    </w:rPr>
                  </w:pPr>
                  <w:r w:rsidRPr="00345E59">
                    <w:rPr>
                      <w:rFonts w:eastAsia="Arial Unicode MS" w:cstheme="minorHAnsi"/>
                      <w:bCs/>
                      <w:kern w:val="1"/>
                      <w:sz w:val="12"/>
                      <w:szCs w:val="14"/>
                    </w:rPr>
                    <w:t>W1. Liczba usług publicznych udostępnionych on-line o stopniu dojrzałości 3 - dwustronna interakcja</w:t>
                  </w:r>
                </w:p>
              </w:tc>
              <w:tc>
                <w:tcPr>
                  <w:tcW w:w="1044" w:type="dxa"/>
                  <w:shd w:val="clear" w:color="auto" w:fill="auto"/>
                </w:tcPr>
                <w:p w14:paraId="5BC1A946" w14:textId="77777777" w:rsidR="00771372" w:rsidRPr="00345E59" w:rsidRDefault="00771372" w:rsidP="00771372">
                  <w:pPr>
                    <w:widowControl w:val="0"/>
                    <w:suppressAutoHyphens/>
                    <w:spacing w:after="200" w:line="276" w:lineRule="auto"/>
                    <w:rPr>
                      <w:rFonts w:eastAsia="Arial Unicode MS" w:cstheme="minorHAnsi"/>
                      <w:bCs/>
                      <w:kern w:val="1"/>
                      <w:sz w:val="12"/>
                      <w:szCs w:val="14"/>
                    </w:rPr>
                  </w:pPr>
                  <w:r w:rsidRPr="00345E59">
                    <w:rPr>
                      <w:rFonts w:eastAsia="Arial Unicode MS" w:cstheme="minorHAnsi"/>
                      <w:bCs/>
                      <w:kern w:val="1"/>
                      <w:sz w:val="12"/>
                      <w:szCs w:val="14"/>
                    </w:rPr>
                    <w:t>szt.</w:t>
                  </w:r>
                </w:p>
              </w:tc>
              <w:tc>
                <w:tcPr>
                  <w:tcW w:w="1649" w:type="dxa"/>
                  <w:shd w:val="clear" w:color="auto" w:fill="auto"/>
                </w:tcPr>
                <w:p w14:paraId="2F87D1B3" w14:textId="77777777" w:rsidR="00771372" w:rsidRPr="00345E59" w:rsidRDefault="00771372" w:rsidP="00771372">
                  <w:pPr>
                    <w:widowControl w:val="0"/>
                    <w:suppressAutoHyphens/>
                    <w:spacing w:after="200" w:line="276" w:lineRule="auto"/>
                    <w:rPr>
                      <w:rFonts w:eastAsia="Arial Unicode MS" w:cstheme="minorHAnsi"/>
                      <w:bCs/>
                      <w:kern w:val="1"/>
                      <w:sz w:val="12"/>
                      <w:szCs w:val="14"/>
                    </w:rPr>
                  </w:pPr>
                  <w:r w:rsidRPr="00345E59">
                    <w:rPr>
                      <w:rFonts w:eastAsia="Arial Unicode MS" w:cstheme="minorHAnsi"/>
                      <w:bCs/>
                      <w:kern w:val="1"/>
                      <w:sz w:val="12"/>
                      <w:szCs w:val="14"/>
                    </w:rPr>
                    <w:t>1</w:t>
                  </w:r>
                </w:p>
              </w:tc>
            </w:tr>
            <w:tr w:rsidR="00771372" w:rsidRPr="00345E59" w14:paraId="6A6CAC20" w14:textId="77777777" w:rsidTr="00345E59">
              <w:tc>
                <w:tcPr>
                  <w:tcW w:w="3946" w:type="dxa"/>
                  <w:shd w:val="clear" w:color="auto" w:fill="auto"/>
                </w:tcPr>
                <w:p w14:paraId="608B9CC7" w14:textId="77777777" w:rsidR="00771372" w:rsidRPr="00345E59" w:rsidRDefault="00771372" w:rsidP="00771372">
                  <w:pPr>
                    <w:widowControl w:val="0"/>
                    <w:suppressAutoHyphens/>
                    <w:spacing w:after="200" w:line="276" w:lineRule="auto"/>
                    <w:rPr>
                      <w:rFonts w:eastAsia="Arial Unicode MS" w:cstheme="minorHAnsi"/>
                      <w:bCs/>
                      <w:kern w:val="1"/>
                      <w:sz w:val="12"/>
                      <w:szCs w:val="14"/>
                    </w:rPr>
                  </w:pPr>
                  <w:r w:rsidRPr="00345E59">
                    <w:rPr>
                      <w:rFonts w:eastAsia="Arial Unicode MS" w:cstheme="minorHAnsi"/>
                      <w:bCs/>
                      <w:kern w:val="1"/>
                      <w:sz w:val="12"/>
                      <w:szCs w:val="14"/>
                    </w:rPr>
                    <w:t xml:space="preserve">W2. Liczba usług publicznych udostępnionych on-line o stopniu dojrzałości co najmniej 4 - transakcja </w:t>
                  </w:r>
                </w:p>
              </w:tc>
              <w:tc>
                <w:tcPr>
                  <w:tcW w:w="1044" w:type="dxa"/>
                  <w:shd w:val="clear" w:color="auto" w:fill="auto"/>
                </w:tcPr>
                <w:p w14:paraId="670A6AF0" w14:textId="77777777" w:rsidR="00771372" w:rsidRPr="00345E59" w:rsidRDefault="00771372" w:rsidP="00771372">
                  <w:pPr>
                    <w:widowControl w:val="0"/>
                    <w:suppressAutoHyphens/>
                    <w:spacing w:after="200" w:line="276" w:lineRule="auto"/>
                    <w:rPr>
                      <w:rFonts w:eastAsia="Arial Unicode MS" w:cstheme="minorHAnsi"/>
                      <w:bCs/>
                      <w:kern w:val="1"/>
                      <w:sz w:val="12"/>
                      <w:szCs w:val="14"/>
                    </w:rPr>
                  </w:pPr>
                  <w:r w:rsidRPr="00345E59">
                    <w:rPr>
                      <w:rFonts w:eastAsia="Arial Unicode MS" w:cstheme="minorHAnsi"/>
                      <w:bCs/>
                      <w:kern w:val="1"/>
                      <w:sz w:val="12"/>
                      <w:szCs w:val="14"/>
                    </w:rPr>
                    <w:t>szt.</w:t>
                  </w:r>
                </w:p>
              </w:tc>
              <w:tc>
                <w:tcPr>
                  <w:tcW w:w="1649" w:type="dxa"/>
                  <w:shd w:val="clear" w:color="auto" w:fill="auto"/>
                </w:tcPr>
                <w:p w14:paraId="15B56191" w14:textId="77777777" w:rsidR="00771372" w:rsidRPr="00345E59" w:rsidRDefault="00771372" w:rsidP="00771372">
                  <w:pPr>
                    <w:widowControl w:val="0"/>
                    <w:suppressAutoHyphens/>
                    <w:spacing w:after="200" w:line="276" w:lineRule="auto"/>
                    <w:rPr>
                      <w:rFonts w:eastAsia="Arial Unicode MS" w:cstheme="minorHAnsi"/>
                      <w:bCs/>
                      <w:kern w:val="1"/>
                      <w:sz w:val="12"/>
                      <w:szCs w:val="14"/>
                    </w:rPr>
                  </w:pPr>
                  <w:r w:rsidRPr="00345E59">
                    <w:rPr>
                      <w:rFonts w:eastAsia="Arial Unicode MS" w:cstheme="minorHAnsi"/>
                      <w:bCs/>
                      <w:kern w:val="1"/>
                      <w:sz w:val="12"/>
                      <w:szCs w:val="14"/>
                    </w:rPr>
                    <w:t>1</w:t>
                  </w:r>
                </w:p>
              </w:tc>
            </w:tr>
            <w:tr w:rsidR="00771372" w:rsidRPr="00345E59" w14:paraId="3273AA56" w14:textId="77777777" w:rsidTr="00345E59">
              <w:tc>
                <w:tcPr>
                  <w:tcW w:w="3946" w:type="dxa"/>
                  <w:shd w:val="clear" w:color="auto" w:fill="auto"/>
                </w:tcPr>
                <w:p w14:paraId="66142728" w14:textId="77777777" w:rsidR="00771372" w:rsidRPr="00345E59" w:rsidRDefault="00771372" w:rsidP="00771372">
                  <w:pPr>
                    <w:widowControl w:val="0"/>
                    <w:suppressAutoHyphens/>
                    <w:spacing w:after="200" w:line="276" w:lineRule="auto"/>
                    <w:rPr>
                      <w:rFonts w:eastAsia="Arial Unicode MS" w:cstheme="minorHAnsi"/>
                      <w:bCs/>
                      <w:kern w:val="1"/>
                      <w:sz w:val="12"/>
                      <w:szCs w:val="14"/>
                    </w:rPr>
                  </w:pPr>
                  <w:r w:rsidRPr="00345E59">
                    <w:rPr>
                      <w:rFonts w:eastAsia="Arial Unicode MS" w:cstheme="minorHAnsi"/>
                      <w:bCs/>
                      <w:kern w:val="1"/>
                      <w:sz w:val="12"/>
                      <w:szCs w:val="14"/>
                    </w:rPr>
                    <w:t>W4. Liczba uruchomionych systemów teleinformatycznych w podmiotach wykonujących zadania publiczne</w:t>
                  </w:r>
                </w:p>
              </w:tc>
              <w:tc>
                <w:tcPr>
                  <w:tcW w:w="1044" w:type="dxa"/>
                  <w:shd w:val="clear" w:color="auto" w:fill="auto"/>
                </w:tcPr>
                <w:p w14:paraId="2E2F1A13" w14:textId="77777777" w:rsidR="00771372" w:rsidRPr="00345E59" w:rsidRDefault="00771372" w:rsidP="00771372">
                  <w:pPr>
                    <w:widowControl w:val="0"/>
                    <w:suppressAutoHyphens/>
                    <w:spacing w:after="200" w:line="276" w:lineRule="auto"/>
                    <w:rPr>
                      <w:rFonts w:eastAsia="Arial Unicode MS" w:cstheme="minorHAnsi"/>
                      <w:bCs/>
                      <w:kern w:val="1"/>
                      <w:sz w:val="12"/>
                      <w:szCs w:val="14"/>
                    </w:rPr>
                  </w:pPr>
                  <w:r w:rsidRPr="00345E59">
                    <w:rPr>
                      <w:rFonts w:eastAsia="Arial Unicode MS" w:cstheme="minorHAnsi"/>
                      <w:bCs/>
                      <w:kern w:val="1"/>
                      <w:sz w:val="12"/>
                      <w:szCs w:val="14"/>
                    </w:rPr>
                    <w:t>szt.</w:t>
                  </w:r>
                </w:p>
              </w:tc>
              <w:tc>
                <w:tcPr>
                  <w:tcW w:w="1649" w:type="dxa"/>
                  <w:shd w:val="clear" w:color="auto" w:fill="auto"/>
                </w:tcPr>
                <w:p w14:paraId="60081DFF" w14:textId="77777777" w:rsidR="00771372" w:rsidRPr="00345E59" w:rsidDel="005D0C9A" w:rsidRDefault="00771372" w:rsidP="00771372">
                  <w:pPr>
                    <w:widowControl w:val="0"/>
                    <w:suppressAutoHyphens/>
                    <w:spacing w:after="200" w:line="276" w:lineRule="auto"/>
                    <w:rPr>
                      <w:rFonts w:eastAsia="Arial Unicode MS" w:cstheme="minorHAnsi"/>
                      <w:bCs/>
                      <w:kern w:val="1"/>
                      <w:sz w:val="12"/>
                      <w:szCs w:val="14"/>
                    </w:rPr>
                  </w:pPr>
                  <w:r w:rsidRPr="00345E59">
                    <w:rPr>
                      <w:rFonts w:eastAsia="Arial Unicode MS" w:cstheme="minorHAnsi"/>
                      <w:bCs/>
                      <w:kern w:val="1"/>
                      <w:sz w:val="12"/>
                      <w:szCs w:val="14"/>
                    </w:rPr>
                    <w:t>1</w:t>
                  </w:r>
                </w:p>
              </w:tc>
            </w:tr>
            <w:tr w:rsidR="00771372" w:rsidRPr="00345E59" w14:paraId="0311FB54" w14:textId="77777777" w:rsidTr="00345E59">
              <w:tc>
                <w:tcPr>
                  <w:tcW w:w="3946" w:type="dxa"/>
                  <w:vMerge w:val="restart"/>
                  <w:shd w:val="clear" w:color="auto" w:fill="auto"/>
                </w:tcPr>
                <w:p w14:paraId="1A5A71E5" w14:textId="77777777" w:rsidR="00771372" w:rsidRPr="00345E59" w:rsidRDefault="00771372" w:rsidP="00771372">
                  <w:pPr>
                    <w:widowControl w:val="0"/>
                    <w:suppressAutoHyphens/>
                    <w:spacing w:after="200" w:line="276" w:lineRule="auto"/>
                    <w:rPr>
                      <w:rFonts w:eastAsia="Arial Unicode MS" w:cstheme="minorHAnsi"/>
                      <w:bCs/>
                      <w:kern w:val="1"/>
                      <w:sz w:val="12"/>
                      <w:szCs w:val="14"/>
                    </w:rPr>
                  </w:pPr>
                  <w:r w:rsidRPr="00345E59">
                    <w:rPr>
                      <w:rFonts w:eastAsia="Arial Unicode MS" w:cstheme="minorHAnsi"/>
                      <w:bCs/>
                      <w:kern w:val="1"/>
                      <w:sz w:val="12"/>
                      <w:szCs w:val="14"/>
                    </w:rPr>
                    <w:t>W5. Liczba pracowników podmiotów wykonujących zadania publiczne nie będących pracownikami IT, objętych wsparciem szkoleniowym</w:t>
                  </w:r>
                </w:p>
              </w:tc>
              <w:tc>
                <w:tcPr>
                  <w:tcW w:w="1044" w:type="dxa"/>
                  <w:shd w:val="clear" w:color="auto" w:fill="auto"/>
                </w:tcPr>
                <w:p w14:paraId="1AD03111" w14:textId="77777777" w:rsidR="00771372" w:rsidRPr="00345E59" w:rsidRDefault="00771372" w:rsidP="00771372">
                  <w:pPr>
                    <w:widowControl w:val="0"/>
                    <w:suppressAutoHyphens/>
                    <w:spacing w:after="200" w:line="276" w:lineRule="auto"/>
                    <w:rPr>
                      <w:rFonts w:eastAsia="Arial Unicode MS" w:cstheme="minorHAnsi"/>
                      <w:bCs/>
                      <w:kern w:val="1"/>
                      <w:sz w:val="12"/>
                      <w:szCs w:val="14"/>
                    </w:rPr>
                  </w:pPr>
                  <w:r w:rsidRPr="00345E59">
                    <w:rPr>
                      <w:rFonts w:eastAsia="Arial Unicode MS" w:cstheme="minorHAnsi"/>
                      <w:bCs/>
                      <w:kern w:val="1"/>
                      <w:sz w:val="12"/>
                      <w:szCs w:val="14"/>
                    </w:rPr>
                    <w:t>Osoby, w tym:</w:t>
                  </w:r>
                </w:p>
              </w:tc>
              <w:tc>
                <w:tcPr>
                  <w:tcW w:w="1649" w:type="dxa"/>
                  <w:shd w:val="clear" w:color="auto" w:fill="auto"/>
                </w:tcPr>
                <w:p w14:paraId="3FF7089B" w14:textId="77777777" w:rsidR="00771372" w:rsidRPr="00345E59" w:rsidDel="005D0C9A" w:rsidRDefault="00771372" w:rsidP="00771372">
                  <w:pPr>
                    <w:widowControl w:val="0"/>
                    <w:suppressAutoHyphens/>
                    <w:spacing w:after="200" w:line="276" w:lineRule="auto"/>
                    <w:rPr>
                      <w:rFonts w:eastAsia="Arial Unicode MS" w:cstheme="minorHAnsi"/>
                      <w:bCs/>
                      <w:kern w:val="1"/>
                      <w:sz w:val="12"/>
                      <w:szCs w:val="14"/>
                    </w:rPr>
                  </w:pPr>
                  <w:r w:rsidRPr="00345E59">
                    <w:rPr>
                      <w:rFonts w:eastAsia="Arial Unicode MS" w:cstheme="minorHAnsi"/>
                      <w:bCs/>
                      <w:kern w:val="1"/>
                      <w:sz w:val="12"/>
                      <w:szCs w:val="14"/>
                    </w:rPr>
                    <w:t>400</w:t>
                  </w:r>
                </w:p>
              </w:tc>
            </w:tr>
            <w:tr w:rsidR="00771372" w:rsidRPr="00345E59" w14:paraId="40BFAAF6" w14:textId="77777777" w:rsidTr="00345E59">
              <w:tc>
                <w:tcPr>
                  <w:tcW w:w="3946" w:type="dxa"/>
                  <w:vMerge/>
                  <w:shd w:val="clear" w:color="auto" w:fill="auto"/>
                </w:tcPr>
                <w:p w14:paraId="63E370E6" w14:textId="77777777" w:rsidR="00771372" w:rsidRPr="00345E59" w:rsidRDefault="00771372" w:rsidP="00771372">
                  <w:pPr>
                    <w:widowControl w:val="0"/>
                    <w:suppressAutoHyphens/>
                    <w:spacing w:after="200" w:line="276" w:lineRule="auto"/>
                    <w:rPr>
                      <w:rFonts w:eastAsia="Arial Unicode MS" w:cstheme="minorHAnsi"/>
                      <w:bCs/>
                      <w:kern w:val="1"/>
                      <w:sz w:val="12"/>
                      <w:szCs w:val="14"/>
                    </w:rPr>
                  </w:pPr>
                </w:p>
              </w:tc>
              <w:tc>
                <w:tcPr>
                  <w:tcW w:w="1044" w:type="dxa"/>
                  <w:shd w:val="clear" w:color="auto" w:fill="auto"/>
                </w:tcPr>
                <w:p w14:paraId="276F07EB" w14:textId="77777777" w:rsidR="00771372" w:rsidRPr="00345E59" w:rsidRDefault="00771372" w:rsidP="00771372">
                  <w:pPr>
                    <w:widowControl w:val="0"/>
                    <w:suppressAutoHyphens/>
                    <w:spacing w:after="200" w:line="276" w:lineRule="auto"/>
                    <w:rPr>
                      <w:rFonts w:eastAsia="Arial Unicode MS" w:cstheme="minorHAnsi"/>
                      <w:bCs/>
                      <w:kern w:val="1"/>
                      <w:sz w:val="12"/>
                      <w:szCs w:val="14"/>
                    </w:rPr>
                  </w:pPr>
                  <w:r w:rsidRPr="00345E59">
                    <w:rPr>
                      <w:rFonts w:eastAsia="Arial Unicode MS" w:cstheme="minorHAnsi"/>
                      <w:bCs/>
                      <w:kern w:val="1"/>
                      <w:sz w:val="12"/>
                      <w:szCs w:val="14"/>
                    </w:rPr>
                    <w:t>Kobiety</w:t>
                  </w:r>
                </w:p>
              </w:tc>
              <w:tc>
                <w:tcPr>
                  <w:tcW w:w="1649" w:type="dxa"/>
                  <w:shd w:val="clear" w:color="auto" w:fill="auto"/>
                </w:tcPr>
                <w:p w14:paraId="698F7D1D" w14:textId="77777777" w:rsidR="00771372" w:rsidRPr="00345E59" w:rsidRDefault="00771372" w:rsidP="00771372">
                  <w:pPr>
                    <w:widowControl w:val="0"/>
                    <w:suppressAutoHyphens/>
                    <w:spacing w:after="200" w:line="276" w:lineRule="auto"/>
                    <w:rPr>
                      <w:rFonts w:eastAsia="Arial Unicode MS" w:cstheme="minorHAnsi"/>
                      <w:bCs/>
                      <w:kern w:val="1"/>
                      <w:sz w:val="12"/>
                      <w:szCs w:val="14"/>
                    </w:rPr>
                  </w:pPr>
                  <w:r w:rsidRPr="00345E59">
                    <w:rPr>
                      <w:rFonts w:eastAsia="Arial Unicode MS" w:cstheme="minorHAnsi"/>
                      <w:bCs/>
                      <w:kern w:val="1"/>
                      <w:sz w:val="12"/>
                      <w:szCs w:val="14"/>
                    </w:rPr>
                    <w:t>312</w:t>
                  </w:r>
                </w:p>
              </w:tc>
            </w:tr>
            <w:tr w:rsidR="00771372" w:rsidRPr="00345E59" w14:paraId="12F4C4D4" w14:textId="77777777" w:rsidTr="00345E59">
              <w:tc>
                <w:tcPr>
                  <w:tcW w:w="3946" w:type="dxa"/>
                  <w:vMerge/>
                  <w:shd w:val="clear" w:color="auto" w:fill="auto"/>
                </w:tcPr>
                <w:p w14:paraId="140E68A6" w14:textId="77777777" w:rsidR="00771372" w:rsidRPr="00345E59" w:rsidRDefault="00771372" w:rsidP="00771372">
                  <w:pPr>
                    <w:widowControl w:val="0"/>
                    <w:suppressAutoHyphens/>
                    <w:spacing w:after="200" w:line="276" w:lineRule="auto"/>
                    <w:rPr>
                      <w:rFonts w:eastAsia="Arial Unicode MS" w:cstheme="minorHAnsi"/>
                      <w:bCs/>
                      <w:kern w:val="1"/>
                      <w:sz w:val="12"/>
                      <w:szCs w:val="14"/>
                    </w:rPr>
                  </w:pPr>
                </w:p>
              </w:tc>
              <w:tc>
                <w:tcPr>
                  <w:tcW w:w="1044" w:type="dxa"/>
                  <w:shd w:val="clear" w:color="auto" w:fill="auto"/>
                </w:tcPr>
                <w:p w14:paraId="07D17483" w14:textId="77777777" w:rsidR="00771372" w:rsidRPr="00345E59" w:rsidRDefault="00771372" w:rsidP="00771372">
                  <w:pPr>
                    <w:widowControl w:val="0"/>
                    <w:suppressAutoHyphens/>
                    <w:spacing w:after="200" w:line="276" w:lineRule="auto"/>
                    <w:rPr>
                      <w:rFonts w:eastAsia="Arial Unicode MS" w:cstheme="minorHAnsi"/>
                      <w:bCs/>
                      <w:kern w:val="1"/>
                      <w:sz w:val="12"/>
                      <w:szCs w:val="14"/>
                    </w:rPr>
                  </w:pPr>
                  <w:r w:rsidRPr="00345E59">
                    <w:rPr>
                      <w:rFonts w:eastAsia="Arial Unicode MS" w:cstheme="minorHAnsi"/>
                      <w:bCs/>
                      <w:kern w:val="1"/>
                      <w:sz w:val="12"/>
                      <w:szCs w:val="14"/>
                    </w:rPr>
                    <w:t>Mężczyźni</w:t>
                  </w:r>
                </w:p>
              </w:tc>
              <w:tc>
                <w:tcPr>
                  <w:tcW w:w="1649" w:type="dxa"/>
                  <w:shd w:val="clear" w:color="auto" w:fill="auto"/>
                </w:tcPr>
                <w:p w14:paraId="096F6EA7" w14:textId="77777777" w:rsidR="00771372" w:rsidRPr="00345E59" w:rsidRDefault="00771372" w:rsidP="00771372">
                  <w:pPr>
                    <w:widowControl w:val="0"/>
                    <w:suppressAutoHyphens/>
                    <w:spacing w:after="200" w:line="276" w:lineRule="auto"/>
                    <w:rPr>
                      <w:rFonts w:eastAsia="Arial Unicode MS" w:cstheme="minorHAnsi"/>
                      <w:bCs/>
                      <w:kern w:val="1"/>
                      <w:sz w:val="12"/>
                      <w:szCs w:val="14"/>
                    </w:rPr>
                  </w:pPr>
                  <w:r w:rsidRPr="00345E59">
                    <w:rPr>
                      <w:rFonts w:eastAsia="Arial Unicode MS" w:cstheme="minorHAnsi"/>
                      <w:bCs/>
                      <w:kern w:val="1"/>
                      <w:sz w:val="12"/>
                      <w:szCs w:val="14"/>
                    </w:rPr>
                    <w:t>88</w:t>
                  </w:r>
                </w:p>
              </w:tc>
            </w:tr>
          </w:tbl>
          <w:p w14:paraId="532FA96B" w14:textId="77777777" w:rsidR="00920CE8" w:rsidRDefault="00632AA0" w:rsidP="00BC120E">
            <w:pPr>
              <w:jc w:val="both"/>
              <w:rPr>
                <w:rFonts w:cstheme="minorHAnsi"/>
                <w:i/>
                <w:sz w:val="18"/>
                <w:szCs w:val="20"/>
              </w:rPr>
            </w:pPr>
            <w:r w:rsidRPr="00771372">
              <w:rPr>
                <w:rFonts w:cstheme="minorHAnsi"/>
                <w:i/>
                <w:sz w:val="18"/>
                <w:szCs w:val="20"/>
              </w:rPr>
              <w:t xml:space="preserve"> </w:t>
            </w:r>
          </w:p>
          <w:p w14:paraId="668354BF" w14:textId="7237CB9C" w:rsidR="00690C6E" w:rsidRPr="00DC2637" w:rsidRDefault="00DC2637" w:rsidP="00DC2637">
            <w:pPr>
              <w:pStyle w:val="Tekstpodstawowy2"/>
              <w:ind w:left="123"/>
              <w:jc w:val="both"/>
              <w:rPr>
                <w:rFonts w:asciiTheme="minorHAnsi" w:hAnsiTheme="minorHAnsi" w:cstheme="minorHAnsi"/>
                <w:sz w:val="14"/>
                <w:szCs w:val="14"/>
                <w:lang w:val="pl-PL" w:eastAsia="pl-PL"/>
              </w:rPr>
            </w:pPr>
            <w:r>
              <w:rPr>
                <w:rFonts w:asciiTheme="minorHAnsi" w:hAnsiTheme="minorHAnsi" w:cstheme="minorHAnsi"/>
                <w:sz w:val="14"/>
                <w:szCs w:val="14"/>
                <w:lang w:val="pl-PL" w:eastAsia="pl-PL"/>
              </w:rPr>
              <w:t>W wyniku realizacji projektu</w:t>
            </w:r>
            <w:r w:rsidR="00C823C5">
              <w:rPr>
                <w:rFonts w:asciiTheme="minorHAnsi" w:hAnsiTheme="minorHAnsi" w:cstheme="minorHAnsi"/>
                <w:sz w:val="14"/>
                <w:szCs w:val="14"/>
                <w:lang w:val="pl-PL" w:eastAsia="pl-PL"/>
              </w:rPr>
              <w:t xml:space="preserve"> CVP</w:t>
            </w:r>
            <w:r>
              <w:rPr>
                <w:rFonts w:asciiTheme="minorHAnsi" w:hAnsiTheme="minorHAnsi" w:cstheme="minorHAnsi"/>
                <w:sz w:val="14"/>
                <w:szCs w:val="14"/>
                <w:lang w:val="pl-PL" w:eastAsia="pl-PL"/>
              </w:rPr>
              <w:t xml:space="preserve"> osiągnięto </w:t>
            </w:r>
            <w:r w:rsidR="005630A4">
              <w:rPr>
                <w:rFonts w:asciiTheme="minorHAnsi" w:hAnsiTheme="minorHAnsi" w:cstheme="minorHAnsi"/>
                <w:sz w:val="14"/>
                <w:szCs w:val="16"/>
                <w:lang w:val="pl-PL" w:eastAsia="pl-PL"/>
              </w:rPr>
              <w:t xml:space="preserve">w zaplanowanych terminach </w:t>
            </w:r>
            <w:r>
              <w:rPr>
                <w:rFonts w:asciiTheme="minorHAnsi" w:hAnsiTheme="minorHAnsi" w:cstheme="minorHAnsi"/>
                <w:sz w:val="14"/>
                <w:szCs w:val="14"/>
                <w:lang w:val="pl-PL" w:eastAsia="pl-PL"/>
              </w:rPr>
              <w:t>następujące</w:t>
            </w:r>
            <w:r w:rsidR="00690C6E" w:rsidRPr="00DC2637">
              <w:rPr>
                <w:rFonts w:asciiTheme="minorHAnsi" w:hAnsiTheme="minorHAnsi" w:cstheme="minorHAnsi"/>
                <w:sz w:val="14"/>
                <w:szCs w:val="14"/>
                <w:lang w:val="pl-PL" w:eastAsia="pl-PL"/>
              </w:rPr>
              <w:t xml:space="preserve"> wskaźnik</w:t>
            </w:r>
            <w:r>
              <w:rPr>
                <w:rFonts w:asciiTheme="minorHAnsi" w:hAnsiTheme="minorHAnsi" w:cstheme="minorHAnsi"/>
                <w:sz w:val="14"/>
                <w:szCs w:val="14"/>
                <w:lang w:val="pl-PL" w:eastAsia="pl-PL"/>
              </w:rPr>
              <w:t>i</w:t>
            </w:r>
            <w:r w:rsidR="00690C6E" w:rsidRPr="00DC2637">
              <w:rPr>
                <w:rFonts w:asciiTheme="minorHAnsi" w:hAnsiTheme="minorHAnsi" w:cstheme="minorHAnsi"/>
                <w:sz w:val="14"/>
                <w:szCs w:val="14"/>
                <w:lang w:val="pl-PL" w:eastAsia="pl-PL"/>
              </w:rPr>
              <w:t xml:space="preserve"> rezultatu:</w:t>
            </w:r>
          </w:p>
          <w:tbl>
            <w:tblPr>
              <w:tblStyle w:val="Tabela-Siatka1"/>
              <w:tblW w:w="10080" w:type="dxa"/>
              <w:tblLayout w:type="fixed"/>
              <w:tblLook w:val="04A0" w:firstRow="1" w:lastRow="0" w:firstColumn="1" w:lastColumn="0" w:noHBand="0" w:noVBand="1"/>
            </w:tblPr>
            <w:tblGrid>
              <w:gridCol w:w="3856"/>
              <w:gridCol w:w="1134"/>
              <w:gridCol w:w="2842"/>
              <w:gridCol w:w="2248"/>
            </w:tblGrid>
            <w:tr w:rsidR="00690C6E" w:rsidRPr="00FE52F6" w14:paraId="417F31BF" w14:textId="77777777" w:rsidTr="00FE52F6">
              <w:trPr>
                <w:trHeight w:val="481"/>
              </w:trPr>
              <w:tc>
                <w:tcPr>
                  <w:tcW w:w="10080" w:type="dxa"/>
                  <w:gridSpan w:val="4"/>
                  <w:shd w:val="clear" w:color="auto" w:fill="A6A6A6" w:themeFill="background1" w:themeFillShade="A6"/>
                </w:tcPr>
                <w:p w14:paraId="57570C49" w14:textId="77777777" w:rsidR="00690C6E" w:rsidRPr="00FE52F6" w:rsidRDefault="00690C6E" w:rsidP="00690C6E">
                  <w:pPr>
                    <w:widowControl w:val="0"/>
                    <w:suppressAutoHyphens/>
                    <w:spacing w:after="200" w:line="276" w:lineRule="auto"/>
                    <w:rPr>
                      <w:rFonts w:asciiTheme="minorHAnsi" w:eastAsia="Arial Unicode MS" w:hAnsiTheme="minorHAnsi" w:cstheme="minorHAnsi"/>
                      <w:bCs/>
                      <w:kern w:val="1"/>
                      <w:sz w:val="12"/>
                      <w:szCs w:val="14"/>
                      <w:lang w:val="pl-PL"/>
                    </w:rPr>
                  </w:pPr>
                  <w:r w:rsidRPr="00FE52F6">
                    <w:rPr>
                      <w:rFonts w:asciiTheme="minorHAnsi" w:eastAsia="Arial Unicode MS" w:hAnsiTheme="minorHAnsi" w:cstheme="minorHAnsi"/>
                      <w:bCs/>
                      <w:kern w:val="1"/>
                      <w:sz w:val="12"/>
                      <w:szCs w:val="14"/>
                      <w:lang w:val="pl-PL"/>
                    </w:rPr>
                    <w:t>Wskaźniki specyficzne dla projektu</w:t>
                  </w:r>
                </w:p>
              </w:tc>
            </w:tr>
            <w:tr w:rsidR="00690C6E" w:rsidRPr="00FE52F6" w14:paraId="066E767E" w14:textId="77777777" w:rsidTr="00FE52F6">
              <w:trPr>
                <w:trHeight w:val="481"/>
              </w:trPr>
              <w:tc>
                <w:tcPr>
                  <w:tcW w:w="10080" w:type="dxa"/>
                  <w:gridSpan w:val="4"/>
                  <w:shd w:val="clear" w:color="auto" w:fill="A6A6A6" w:themeFill="background1" w:themeFillShade="A6"/>
                </w:tcPr>
                <w:p w14:paraId="47A45570" w14:textId="77777777" w:rsidR="00690C6E" w:rsidRPr="00FE52F6" w:rsidRDefault="00690C6E" w:rsidP="00690C6E">
                  <w:pPr>
                    <w:widowControl w:val="0"/>
                    <w:suppressAutoHyphens/>
                    <w:spacing w:after="200" w:line="276" w:lineRule="auto"/>
                    <w:rPr>
                      <w:rFonts w:asciiTheme="minorHAnsi" w:eastAsia="Arial Unicode MS" w:hAnsiTheme="minorHAnsi" w:cstheme="minorHAnsi"/>
                      <w:bCs/>
                      <w:kern w:val="1"/>
                      <w:sz w:val="12"/>
                      <w:szCs w:val="14"/>
                      <w:lang w:val="pl-PL"/>
                    </w:rPr>
                  </w:pPr>
                  <w:r w:rsidRPr="00FE52F6">
                    <w:rPr>
                      <w:rFonts w:asciiTheme="minorHAnsi" w:eastAsia="Arial Unicode MS" w:hAnsiTheme="minorHAnsi" w:cstheme="minorHAnsi"/>
                      <w:bCs/>
                      <w:kern w:val="1"/>
                      <w:sz w:val="12"/>
                      <w:szCs w:val="14"/>
                      <w:lang w:val="pl-PL"/>
                    </w:rPr>
                    <w:t>Wskaźniki produktu</w:t>
                  </w:r>
                </w:p>
              </w:tc>
            </w:tr>
            <w:tr w:rsidR="00AB6E89" w:rsidRPr="00FE52F6" w14:paraId="32869EB5" w14:textId="77777777" w:rsidTr="00FE52F6">
              <w:trPr>
                <w:trHeight w:val="481"/>
              </w:trPr>
              <w:tc>
                <w:tcPr>
                  <w:tcW w:w="3856" w:type="dxa"/>
                  <w:shd w:val="clear" w:color="auto" w:fill="D9D9D9" w:themeFill="background1" w:themeFillShade="D9"/>
                </w:tcPr>
                <w:p w14:paraId="56C47A37" w14:textId="77777777" w:rsidR="00690C6E" w:rsidRPr="00FE52F6" w:rsidRDefault="00690C6E" w:rsidP="00690C6E">
                  <w:pPr>
                    <w:widowControl w:val="0"/>
                    <w:suppressAutoHyphens/>
                    <w:spacing w:after="200" w:line="276" w:lineRule="auto"/>
                    <w:rPr>
                      <w:rFonts w:asciiTheme="minorHAnsi" w:eastAsia="Arial Unicode MS" w:hAnsiTheme="minorHAnsi" w:cstheme="minorHAnsi"/>
                      <w:bCs/>
                      <w:kern w:val="1"/>
                      <w:sz w:val="12"/>
                      <w:szCs w:val="14"/>
                      <w:lang w:val="pl-PL"/>
                    </w:rPr>
                  </w:pPr>
                  <w:r w:rsidRPr="00FE52F6">
                    <w:rPr>
                      <w:rFonts w:asciiTheme="minorHAnsi" w:eastAsia="Arial Unicode MS" w:hAnsiTheme="minorHAnsi" w:cstheme="minorHAnsi"/>
                      <w:bCs/>
                      <w:kern w:val="1"/>
                      <w:sz w:val="12"/>
                      <w:szCs w:val="14"/>
                      <w:lang w:val="pl-PL"/>
                    </w:rPr>
                    <w:lastRenderedPageBreak/>
                    <w:t xml:space="preserve">Nazwa wskaźnika </w:t>
                  </w:r>
                </w:p>
              </w:tc>
              <w:tc>
                <w:tcPr>
                  <w:tcW w:w="1134" w:type="dxa"/>
                  <w:shd w:val="clear" w:color="auto" w:fill="D9D9D9" w:themeFill="background1" w:themeFillShade="D9"/>
                </w:tcPr>
                <w:p w14:paraId="4A9183E5" w14:textId="77777777" w:rsidR="00690C6E" w:rsidRPr="00FE52F6" w:rsidRDefault="00690C6E" w:rsidP="00690C6E">
                  <w:pPr>
                    <w:widowControl w:val="0"/>
                    <w:suppressAutoHyphens/>
                    <w:spacing w:after="200" w:line="276" w:lineRule="auto"/>
                    <w:rPr>
                      <w:rFonts w:asciiTheme="minorHAnsi" w:eastAsia="Arial Unicode MS" w:hAnsiTheme="minorHAnsi" w:cstheme="minorHAnsi"/>
                      <w:bCs/>
                      <w:kern w:val="1"/>
                      <w:sz w:val="12"/>
                      <w:szCs w:val="14"/>
                      <w:lang w:val="pl-PL"/>
                    </w:rPr>
                  </w:pPr>
                  <w:r w:rsidRPr="00FE52F6">
                    <w:rPr>
                      <w:rFonts w:asciiTheme="minorHAnsi" w:eastAsia="Arial Unicode MS" w:hAnsiTheme="minorHAnsi" w:cstheme="minorHAnsi"/>
                      <w:bCs/>
                      <w:kern w:val="1"/>
                      <w:sz w:val="12"/>
                      <w:szCs w:val="14"/>
                      <w:lang w:val="pl-PL"/>
                    </w:rPr>
                    <w:t>Jednostka miary</w:t>
                  </w:r>
                </w:p>
              </w:tc>
              <w:tc>
                <w:tcPr>
                  <w:tcW w:w="5090" w:type="dxa"/>
                  <w:gridSpan w:val="2"/>
                  <w:shd w:val="clear" w:color="auto" w:fill="D9D9D9" w:themeFill="background1" w:themeFillShade="D9"/>
                </w:tcPr>
                <w:p w14:paraId="4B7DC1F5" w14:textId="77777777" w:rsidR="00690C6E" w:rsidRPr="00FE52F6" w:rsidRDefault="00690C6E" w:rsidP="00690C6E">
                  <w:pPr>
                    <w:widowControl w:val="0"/>
                    <w:suppressAutoHyphens/>
                    <w:spacing w:after="200" w:line="276" w:lineRule="auto"/>
                    <w:rPr>
                      <w:rFonts w:asciiTheme="minorHAnsi" w:eastAsia="Arial Unicode MS" w:hAnsiTheme="minorHAnsi" w:cstheme="minorHAnsi"/>
                      <w:bCs/>
                      <w:kern w:val="1"/>
                      <w:sz w:val="12"/>
                      <w:szCs w:val="14"/>
                      <w:lang w:val="pl-PL"/>
                    </w:rPr>
                  </w:pPr>
                  <w:r w:rsidRPr="00FE52F6">
                    <w:rPr>
                      <w:rFonts w:asciiTheme="minorHAnsi" w:eastAsia="Arial Unicode MS" w:hAnsiTheme="minorHAnsi" w:cstheme="minorHAnsi"/>
                      <w:bCs/>
                      <w:kern w:val="1"/>
                      <w:sz w:val="12"/>
                      <w:szCs w:val="14"/>
                      <w:lang w:val="pl-PL"/>
                    </w:rPr>
                    <w:t>Wartość docelowa</w:t>
                  </w:r>
                </w:p>
              </w:tc>
            </w:tr>
            <w:tr w:rsidR="00690C6E" w:rsidRPr="00FE52F6" w14:paraId="3C531360" w14:textId="77777777" w:rsidTr="00FE52F6">
              <w:trPr>
                <w:trHeight w:val="539"/>
              </w:trPr>
              <w:tc>
                <w:tcPr>
                  <w:tcW w:w="3856" w:type="dxa"/>
                </w:tcPr>
                <w:p w14:paraId="71836343" w14:textId="77777777" w:rsidR="00690C6E" w:rsidRPr="00FE52F6" w:rsidDel="00427D7E" w:rsidRDefault="00690C6E" w:rsidP="00690C6E">
                  <w:pPr>
                    <w:widowControl w:val="0"/>
                    <w:suppressAutoHyphens/>
                    <w:spacing w:after="200" w:line="276" w:lineRule="auto"/>
                    <w:rPr>
                      <w:rFonts w:asciiTheme="minorHAnsi" w:eastAsia="Arial Unicode MS" w:hAnsiTheme="minorHAnsi" w:cstheme="minorHAnsi"/>
                      <w:bCs/>
                      <w:kern w:val="1"/>
                      <w:sz w:val="12"/>
                      <w:szCs w:val="14"/>
                      <w:lang w:val="pl-PL"/>
                    </w:rPr>
                  </w:pPr>
                  <w:r w:rsidRPr="00FE52F6">
                    <w:rPr>
                      <w:rFonts w:asciiTheme="minorHAnsi" w:eastAsia="Arial Unicode MS" w:hAnsiTheme="minorHAnsi" w:cstheme="minorHAnsi"/>
                      <w:bCs/>
                      <w:kern w:val="1"/>
                      <w:sz w:val="12"/>
                      <w:szCs w:val="14"/>
                      <w:lang w:val="pl-PL"/>
                    </w:rPr>
                    <w:t xml:space="preserve">W6. Liczba utworzonych API </w:t>
                  </w:r>
                </w:p>
              </w:tc>
              <w:tc>
                <w:tcPr>
                  <w:tcW w:w="1134" w:type="dxa"/>
                </w:tcPr>
                <w:p w14:paraId="5883F58D" w14:textId="77777777" w:rsidR="00690C6E" w:rsidRPr="00FE52F6" w:rsidRDefault="00690C6E" w:rsidP="00690C6E">
                  <w:pPr>
                    <w:widowControl w:val="0"/>
                    <w:suppressAutoHyphens/>
                    <w:spacing w:after="200" w:line="276" w:lineRule="auto"/>
                    <w:rPr>
                      <w:rFonts w:asciiTheme="minorHAnsi" w:eastAsia="Arial Unicode MS" w:hAnsiTheme="minorHAnsi" w:cstheme="minorHAnsi"/>
                      <w:bCs/>
                      <w:kern w:val="1"/>
                      <w:sz w:val="12"/>
                      <w:szCs w:val="14"/>
                      <w:lang w:val="pl-PL"/>
                    </w:rPr>
                  </w:pPr>
                  <w:r w:rsidRPr="00FE52F6">
                    <w:rPr>
                      <w:rFonts w:asciiTheme="minorHAnsi" w:eastAsia="Arial Unicode MS" w:hAnsiTheme="minorHAnsi" w:cstheme="minorHAnsi"/>
                      <w:bCs/>
                      <w:kern w:val="1"/>
                      <w:sz w:val="12"/>
                      <w:szCs w:val="14"/>
                      <w:lang w:val="pl-PL"/>
                    </w:rPr>
                    <w:t>szt.</w:t>
                  </w:r>
                </w:p>
              </w:tc>
              <w:tc>
                <w:tcPr>
                  <w:tcW w:w="5090" w:type="dxa"/>
                  <w:gridSpan w:val="2"/>
                </w:tcPr>
                <w:p w14:paraId="597017EF" w14:textId="77777777" w:rsidR="00690C6E" w:rsidRPr="00FE52F6" w:rsidRDefault="00690C6E" w:rsidP="00690C6E">
                  <w:pPr>
                    <w:widowControl w:val="0"/>
                    <w:suppressAutoHyphens/>
                    <w:spacing w:after="200" w:line="276" w:lineRule="auto"/>
                    <w:rPr>
                      <w:rFonts w:asciiTheme="minorHAnsi" w:eastAsia="Arial Unicode MS" w:hAnsiTheme="minorHAnsi" w:cstheme="minorHAnsi"/>
                      <w:bCs/>
                      <w:kern w:val="1"/>
                      <w:sz w:val="12"/>
                      <w:szCs w:val="14"/>
                      <w:lang w:val="pl-PL"/>
                    </w:rPr>
                  </w:pPr>
                  <w:r w:rsidRPr="00FE52F6">
                    <w:rPr>
                      <w:rFonts w:asciiTheme="minorHAnsi" w:eastAsia="Arial Unicode MS" w:hAnsiTheme="minorHAnsi" w:cstheme="minorHAnsi"/>
                      <w:bCs/>
                      <w:kern w:val="1"/>
                      <w:sz w:val="12"/>
                      <w:szCs w:val="14"/>
                      <w:lang w:val="pl-PL"/>
                    </w:rPr>
                    <w:t>1</w:t>
                  </w:r>
                </w:p>
              </w:tc>
            </w:tr>
            <w:tr w:rsidR="00690C6E" w:rsidRPr="00FE52F6" w14:paraId="7E9D4902" w14:textId="77777777" w:rsidTr="00FE52F6">
              <w:trPr>
                <w:trHeight w:val="539"/>
              </w:trPr>
              <w:tc>
                <w:tcPr>
                  <w:tcW w:w="3856" w:type="dxa"/>
                </w:tcPr>
                <w:p w14:paraId="5A1B24C3" w14:textId="77777777" w:rsidR="00690C6E" w:rsidRPr="00FE52F6" w:rsidDel="00427D7E" w:rsidRDefault="00690C6E" w:rsidP="00690C6E">
                  <w:pPr>
                    <w:widowControl w:val="0"/>
                    <w:suppressAutoHyphens/>
                    <w:spacing w:after="200" w:line="276" w:lineRule="auto"/>
                    <w:rPr>
                      <w:rFonts w:asciiTheme="minorHAnsi" w:eastAsia="Arial Unicode MS" w:hAnsiTheme="minorHAnsi" w:cstheme="minorHAnsi"/>
                      <w:bCs/>
                      <w:kern w:val="1"/>
                      <w:sz w:val="12"/>
                      <w:szCs w:val="14"/>
                      <w:lang w:val="pl-PL"/>
                    </w:rPr>
                  </w:pPr>
                  <w:r w:rsidRPr="00FE52F6">
                    <w:rPr>
                      <w:rFonts w:asciiTheme="minorHAnsi" w:eastAsia="Arial Unicode MS" w:hAnsiTheme="minorHAnsi" w:cstheme="minorHAnsi"/>
                      <w:bCs/>
                      <w:kern w:val="1"/>
                      <w:sz w:val="12"/>
                      <w:szCs w:val="14"/>
                      <w:lang w:val="pl-PL"/>
                    </w:rPr>
                    <w:t>W7. Liczba nowo uruchomionych rejestrów publicznych</w:t>
                  </w:r>
                </w:p>
              </w:tc>
              <w:tc>
                <w:tcPr>
                  <w:tcW w:w="1134" w:type="dxa"/>
                </w:tcPr>
                <w:p w14:paraId="5E5E3357" w14:textId="77777777" w:rsidR="00690C6E" w:rsidRPr="00FE52F6" w:rsidRDefault="00690C6E" w:rsidP="00690C6E">
                  <w:pPr>
                    <w:widowControl w:val="0"/>
                    <w:suppressAutoHyphens/>
                    <w:spacing w:after="200" w:line="276" w:lineRule="auto"/>
                    <w:rPr>
                      <w:rFonts w:asciiTheme="minorHAnsi" w:eastAsia="Arial Unicode MS" w:hAnsiTheme="minorHAnsi" w:cstheme="minorHAnsi"/>
                      <w:bCs/>
                      <w:kern w:val="1"/>
                      <w:sz w:val="12"/>
                      <w:szCs w:val="14"/>
                      <w:lang w:val="pl-PL"/>
                    </w:rPr>
                  </w:pPr>
                  <w:r w:rsidRPr="00FE52F6">
                    <w:rPr>
                      <w:rFonts w:asciiTheme="minorHAnsi" w:eastAsia="Arial Unicode MS" w:hAnsiTheme="minorHAnsi" w:cstheme="minorHAnsi"/>
                      <w:bCs/>
                      <w:kern w:val="1"/>
                      <w:sz w:val="12"/>
                      <w:szCs w:val="14"/>
                      <w:lang w:val="pl-PL"/>
                    </w:rPr>
                    <w:t>szt.</w:t>
                  </w:r>
                </w:p>
              </w:tc>
              <w:tc>
                <w:tcPr>
                  <w:tcW w:w="5090" w:type="dxa"/>
                  <w:gridSpan w:val="2"/>
                </w:tcPr>
                <w:p w14:paraId="5EE47D06" w14:textId="77777777" w:rsidR="00690C6E" w:rsidRPr="00FE52F6" w:rsidRDefault="00690C6E" w:rsidP="00690C6E">
                  <w:pPr>
                    <w:widowControl w:val="0"/>
                    <w:suppressAutoHyphens/>
                    <w:spacing w:after="200" w:line="276" w:lineRule="auto"/>
                    <w:rPr>
                      <w:rFonts w:asciiTheme="minorHAnsi" w:eastAsia="Arial Unicode MS" w:hAnsiTheme="minorHAnsi" w:cstheme="minorHAnsi"/>
                      <w:bCs/>
                      <w:kern w:val="1"/>
                      <w:sz w:val="12"/>
                      <w:szCs w:val="14"/>
                      <w:lang w:val="pl-PL"/>
                    </w:rPr>
                  </w:pPr>
                  <w:r w:rsidRPr="00FE52F6">
                    <w:rPr>
                      <w:rFonts w:asciiTheme="minorHAnsi" w:eastAsia="Arial Unicode MS" w:hAnsiTheme="minorHAnsi" w:cstheme="minorHAnsi"/>
                      <w:bCs/>
                      <w:kern w:val="1"/>
                      <w:sz w:val="12"/>
                      <w:szCs w:val="14"/>
                      <w:lang w:val="pl-PL"/>
                    </w:rPr>
                    <w:t>1</w:t>
                  </w:r>
                </w:p>
              </w:tc>
            </w:tr>
            <w:tr w:rsidR="00690C6E" w:rsidRPr="00FE52F6" w14:paraId="51D4531A" w14:textId="77777777" w:rsidTr="00FE52F6">
              <w:trPr>
                <w:trHeight w:val="539"/>
              </w:trPr>
              <w:tc>
                <w:tcPr>
                  <w:tcW w:w="3856" w:type="dxa"/>
                </w:tcPr>
                <w:p w14:paraId="7306DF43" w14:textId="77777777" w:rsidR="00690C6E" w:rsidRPr="00FE52F6" w:rsidRDefault="00690C6E" w:rsidP="00690C6E">
                  <w:pPr>
                    <w:widowControl w:val="0"/>
                    <w:suppressAutoHyphens/>
                    <w:spacing w:after="200" w:line="276" w:lineRule="auto"/>
                    <w:rPr>
                      <w:rFonts w:asciiTheme="minorHAnsi" w:eastAsia="Arial Unicode MS" w:hAnsiTheme="minorHAnsi" w:cstheme="minorHAnsi"/>
                      <w:bCs/>
                      <w:kern w:val="1"/>
                      <w:sz w:val="12"/>
                      <w:szCs w:val="14"/>
                      <w:lang w:val="pl-PL"/>
                    </w:rPr>
                  </w:pPr>
                  <w:r w:rsidRPr="00FE52F6">
                    <w:rPr>
                      <w:rFonts w:asciiTheme="minorHAnsi" w:eastAsia="Arial Unicode MS" w:hAnsiTheme="minorHAnsi" w:cstheme="minorHAnsi"/>
                      <w:bCs/>
                      <w:kern w:val="1"/>
                      <w:sz w:val="12"/>
                      <w:szCs w:val="14"/>
                      <w:lang w:val="pl-PL"/>
                    </w:rPr>
                    <w:t>W8. Opracowanie standardu wymiany danych - JPK</w:t>
                  </w:r>
                </w:p>
              </w:tc>
              <w:tc>
                <w:tcPr>
                  <w:tcW w:w="1134" w:type="dxa"/>
                </w:tcPr>
                <w:p w14:paraId="69B0122F" w14:textId="77777777" w:rsidR="00690C6E" w:rsidRPr="00FE52F6" w:rsidRDefault="00690C6E" w:rsidP="00690C6E">
                  <w:pPr>
                    <w:widowControl w:val="0"/>
                    <w:suppressAutoHyphens/>
                    <w:spacing w:after="200" w:line="276" w:lineRule="auto"/>
                    <w:rPr>
                      <w:rFonts w:asciiTheme="minorHAnsi" w:eastAsia="Arial Unicode MS" w:hAnsiTheme="minorHAnsi" w:cstheme="minorHAnsi"/>
                      <w:bCs/>
                      <w:kern w:val="1"/>
                      <w:sz w:val="12"/>
                      <w:szCs w:val="14"/>
                      <w:lang w:val="pl-PL"/>
                    </w:rPr>
                  </w:pPr>
                  <w:r w:rsidRPr="00FE52F6">
                    <w:rPr>
                      <w:rFonts w:asciiTheme="minorHAnsi" w:eastAsia="Arial Unicode MS" w:hAnsiTheme="minorHAnsi" w:cstheme="minorHAnsi"/>
                      <w:bCs/>
                      <w:kern w:val="1"/>
                      <w:sz w:val="12"/>
                      <w:szCs w:val="14"/>
                      <w:lang w:val="pl-PL"/>
                    </w:rPr>
                    <w:t>szt.</w:t>
                  </w:r>
                </w:p>
              </w:tc>
              <w:tc>
                <w:tcPr>
                  <w:tcW w:w="5090" w:type="dxa"/>
                  <w:gridSpan w:val="2"/>
                </w:tcPr>
                <w:p w14:paraId="22B6973A" w14:textId="77777777" w:rsidR="00690C6E" w:rsidRPr="00FE52F6" w:rsidRDefault="00690C6E" w:rsidP="00690C6E">
                  <w:pPr>
                    <w:widowControl w:val="0"/>
                    <w:suppressAutoHyphens/>
                    <w:spacing w:after="200" w:line="276" w:lineRule="auto"/>
                    <w:rPr>
                      <w:rFonts w:asciiTheme="minorHAnsi" w:eastAsia="Arial Unicode MS" w:hAnsiTheme="minorHAnsi" w:cstheme="minorHAnsi"/>
                      <w:bCs/>
                      <w:kern w:val="1"/>
                      <w:sz w:val="12"/>
                      <w:szCs w:val="14"/>
                      <w:lang w:val="pl-PL"/>
                    </w:rPr>
                  </w:pPr>
                  <w:r w:rsidRPr="00FE52F6">
                    <w:rPr>
                      <w:rFonts w:asciiTheme="minorHAnsi" w:eastAsia="Arial Unicode MS" w:hAnsiTheme="minorHAnsi" w:cstheme="minorHAnsi"/>
                      <w:bCs/>
                      <w:kern w:val="1"/>
                      <w:sz w:val="12"/>
                      <w:szCs w:val="14"/>
                      <w:lang w:val="pl-PL"/>
                    </w:rPr>
                    <w:t>1</w:t>
                  </w:r>
                </w:p>
              </w:tc>
            </w:tr>
            <w:tr w:rsidR="00690C6E" w:rsidRPr="00FE52F6" w14:paraId="6DA9174D" w14:textId="77777777" w:rsidTr="00FE52F6">
              <w:trPr>
                <w:trHeight w:val="539"/>
              </w:trPr>
              <w:tc>
                <w:tcPr>
                  <w:tcW w:w="3856" w:type="dxa"/>
                </w:tcPr>
                <w:p w14:paraId="5984EDC7" w14:textId="77777777" w:rsidR="00690C6E" w:rsidRPr="00FE52F6" w:rsidRDefault="00690C6E" w:rsidP="00690C6E">
                  <w:pPr>
                    <w:widowControl w:val="0"/>
                    <w:suppressAutoHyphens/>
                    <w:spacing w:after="200" w:line="276" w:lineRule="auto"/>
                    <w:rPr>
                      <w:rFonts w:asciiTheme="minorHAnsi" w:eastAsia="Arial Unicode MS" w:hAnsiTheme="minorHAnsi" w:cstheme="minorHAnsi"/>
                      <w:bCs/>
                      <w:kern w:val="1"/>
                      <w:sz w:val="12"/>
                      <w:szCs w:val="14"/>
                      <w:lang w:val="pl-PL"/>
                    </w:rPr>
                  </w:pPr>
                  <w:r w:rsidRPr="00FE52F6">
                    <w:rPr>
                      <w:rFonts w:asciiTheme="minorHAnsi" w:eastAsia="Arial Unicode MS" w:hAnsiTheme="minorHAnsi" w:cstheme="minorHAnsi"/>
                      <w:bCs/>
                      <w:kern w:val="1"/>
                      <w:sz w:val="12"/>
                      <w:szCs w:val="14"/>
                      <w:lang w:val="pl-PL"/>
                    </w:rPr>
                    <w:t xml:space="preserve">W9. Opracowanie standardu wymiany danych – elektroniczne sprawozdanie finansowe </w:t>
                  </w:r>
                </w:p>
              </w:tc>
              <w:tc>
                <w:tcPr>
                  <w:tcW w:w="1134" w:type="dxa"/>
                </w:tcPr>
                <w:p w14:paraId="5BA2C342" w14:textId="77777777" w:rsidR="00690C6E" w:rsidRPr="00FE52F6" w:rsidRDefault="00690C6E" w:rsidP="00690C6E">
                  <w:pPr>
                    <w:widowControl w:val="0"/>
                    <w:suppressAutoHyphens/>
                    <w:spacing w:after="200" w:line="276" w:lineRule="auto"/>
                    <w:rPr>
                      <w:rFonts w:asciiTheme="minorHAnsi" w:eastAsia="Arial Unicode MS" w:hAnsiTheme="minorHAnsi" w:cstheme="minorHAnsi"/>
                      <w:bCs/>
                      <w:kern w:val="1"/>
                      <w:sz w:val="12"/>
                      <w:szCs w:val="14"/>
                      <w:lang w:val="pl-PL"/>
                    </w:rPr>
                  </w:pPr>
                  <w:r w:rsidRPr="00FE52F6">
                    <w:rPr>
                      <w:rFonts w:asciiTheme="minorHAnsi" w:eastAsia="Arial Unicode MS" w:hAnsiTheme="minorHAnsi" w:cstheme="minorHAnsi"/>
                      <w:bCs/>
                      <w:kern w:val="1"/>
                      <w:sz w:val="12"/>
                      <w:szCs w:val="14"/>
                      <w:lang w:val="pl-PL"/>
                    </w:rPr>
                    <w:t>szt.</w:t>
                  </w:r>
                </w:p>
              </w:tc>
              <w:tc>
                <w:tcPr>
                  <w:tcW w:w="5090" w:type="dxa"/>
                  <w:gridSpan w:val="2"/>
                </w:tcPr>
                <w:p w14:paraId="0E299E43" w14:textId="77777777" w:rsidR="00690C6E" w:rsidRPr="00FE52F6" w:rsidRDefault="00690C6E" w:rsidP="00690C6E">
                  <w:pPr>
                    <w:widowControl w:val="0"/>
                    <w:suppressAutoHyphens/>
                    <w:spacing w:after="200" w:line="276" w:lineRule="auto"/>
                    <w:rPr>
                      <w:rFonts w:asciiTheme="minorHAnsi" w:eastAsia="Arial Unicode MS" w:hAnsiTheme="minorHAnsi" w:cstheme="minorHAnsi"/>
                      <w:bCs/>
                      <w:kern w:val="1"/>
                      <w:sz w:val="12"/>
                      <w:szCs w:val="14"/>
                      <w:lang w:val="pl-PL"/>
                    </w:rPr>
                  </w:pPr>
                  <w:r w:rsidRPr="00FE52F6">
                    <w:rPr>
                      <w:rFonts w:asciiTheme="minorHAnsi" w:eastAsia="Arial Unicode MS" w:hAnsiTheme="minorHAnsi" w:cstheme="minorHAnsi"/>
                      <w:bCs/>
                      <w:kern w:val="1"/>
                      <w:sz w:val="12"/>
                      <w:szCs w:val="14"/>
                      <w:lang w:val="pl-PL"/>
                    </w:rPr>
                    <w:t>1</w:t>
                  </w:r>
                </w:p>
              </w:tc>
            </w:tr>
            <w:tr w:rsidR="00690C6E" w:rsidRPr="00FE52F6" w14:paraId="2D12E54F" w14:textId="77777777" w:rsidTr="00FE52F6">
              <w:trPr>
                <w:trHeight w:val="481"/>
              </w:trPr>
              <w:tc>
                <w:tcPr>
                  <w:tcW w:w="10080" w:type="dxa"/>
                  <w:gridSpan w:val="4"/>
                  <w:shd w:val="clear" w:color="auto" w:fill="auto"/>
                </w:tcPr>
                <w:p w14:paraId="0AEFD033" w14:textId="77777777" w:rsidR="00690C6E" w:rsidRPr="00FE52F6" w:rsidRDefault="00690C6E" w:rsidP="00690C6E">
                  <w:pPr>
                    <w:widowControl w:val="0"/>
                    <w:suppressAutoHyphens/>
                    <w:spacing w:after="200" w:line="276" w:lineRule="auto"/>
                    <w:rPr>
                      <w:rFonts w:asciiTheme="minorHAnsi" w:eastAsia="Arial Unicode MS" w:hAnsiTheme="minorHAnsi" w:cstheme="minorHAnsi"/>
                      <w:bCs/>
                      <w:kern w:val="1"/>
                      <w:sz w:val="12"/>
                      <w:szCs w:val="14"/>
                      <w:lang w:val="pl-PL"/>
                    </w:rPr>
                  </w:pPr>
                  <w:r w:rsidRPr="00FE52F6">
                    <w:rPr>
                      <w:rFonts w:asciiTheme="minorHAnsi" w:eastAsia="Arial Unicode MS" w:hAnsiTheme="minorHAnsi" w:cstheme="minorHAnsi"/>
                      <w:bCs/>
                      <w:kern w:val="1"/>
                      <w:sz w:val="12"/>
                      <w:szCs w:val="14"/>
                      <w:lang w:val="pl-PL"/>
                    </w:rPr>
                    <w:t xml:space="preserve">Wskaźniki rezultatu bezpośredniego  </w:t>
                  </w:r>
                </w:p>
              </w:tc>
            </w:tr>
            <w:tr w:rsidR="00AB6E89" w:rsidRPr="00FE52F6" w14:paraId="3D8A114D" w14:textId="77777777" w:rsidTr="00FE52F6">
              <w:trPr>
                <w:trHeight w:val="481"/>
              </w:trPr>
              <w:tc>
                <w:tcPr>
                  <w:tcW w:w="3856" w:type="dxa"/>
                  <w:shd w:val="clear" w:color="auto" w:fill="D9D9D9" w:themeFill="background1" w:themeFillShade="D9"/>
                </w:tcPr>
                <w:p w14:paraId="48F3C4B1" w14:textId="77777777" w:rsidR="00690C6E" w:rsidRPr="00FE52F6" w:rsidRDefault="00690C6E" w:rsidP="00690C6E">
                  <w:pPr>
                    <w:widowControl w:val="0"/>
                    <w:suppressAutoHyphens/>
                    <w:spacing w:after="200" w:line="276" w:lineRule="auto"/>
                    <w:rPr>
                      <w:rFonts w:asciiTheme="minorHAnsi" w:eastAsia="Arial Unicode MS" w:hAnsiTheme="minorHAnsi" w:cstheme="minorHAnsi"/>
                      <w:bCs/>
                      <w:kern w:val="1"/>
                      <w:sz w:val="12"/>
                      <w:szCs w:val="14"/>
                      <w:lang w:val="pl-PL"/>
                    </w:rPr>
                  </w:pPr>
                  <w:r w:rsidRPr="00FE52F6">
                    <w:rPr>
                      <w:rFonts w:asciiTheme="minorHAnsi" w:eastAsia="Arial Unicode MS" w:hAnsiTheme="minorHAnsi" w:cstheme="minorHAnsi"/>
                      <w:bCs/>
                      <w:kern w:val="1"/>
                      <w:sz w:val="12"/>
                      <w:szCs w:val="14"/>
                      <w:lang w:val="pl-PL"/>
                    </w:rPr>
                    <w:t xml:space="preserve">Nazwa wskaźnika </w:t>
                  </w:r>
                </w:p>
              </w:tc>
              <w:tc>
                <w:tcPr>
                  <w:tcW w:w="1134" w:type="dxa"/>
                  <w:shd w:val="clear" w:color="auto" w:fill="D9D9D9" w:themeFill="background1" w:themeFillShade="D9"/>
                </w:tcPr>
                <w:p w14:paraId="4ACD8E98" w14:textId="77777777" w:rsidR="00690C6E" w:rsidRPr="00FE52F6" w:rsidRDefault="00690C6E" w:rsidP="00690C6E">
                  <w:pPr>
                    <w:widowControl w:val="0"/>
                    <w:suppressAutoHyphens/>
                    <w:spacing w:after="200" w:line="276" w:lineRule="auto"/>
                    <w:rPr>
                      <w:rFonts w:asciiTheme="minorHAnsi" w:eastAsia="Arial Unicode MS" w:hAnsiTheme="minorHAnsi" w:cstheme="minorHAnsi"/>
                      <w:bCs/>
                      <w:kern w:val="1"/>
                      <w:sz w:val="12"/>
                      <w:szCs w:val="14"/>
                      <w:lang w:val="pl-PL"/>
                    </w:rPr>
                  </w:pPr>
                  <w:r w:rsidRPr="00FE52F6">
                    <w:rPr>
                      <w:rFonts w:asciiTheme="minorHAnsi" w:eastAsia="Arial Unicode MS" w:hAnsiTheme="minorHAnsi" w:cstheme="minorHAnsi"/>
                      <w:bCs/>
                      <w:kern w:val="1"/>
                      <w:sz w:val="12"/>
                      <w:szCs w:val="14"/>
                      <w:lang w:val="pl-PL"/>
                    </w:rPr>
                    <w:t>Jednostka miary</w:t>
                  </w:r>
                </w:p>
              </w:tc>
              <w:tc>
                <w:tcPr>
                  <w:tcW w:w="2842" w:type="dxa"/>
                  <w:shd w:val="clear" w:color="auto" w:fill="D9D9D9" w:themeFill="background1" w:themeFillShade="D9"/>
                </w:tcPr>
                <w:p w14:paraId="4AE44452" w14:textId="77777777" w:rsidR="00690C6E" w:rsidRPr="00FE52F6" w:rsidRDefault="00690C6E" w:rsidP="00690C6E">
                  <w:pPr>
                    <w:widowControl w:val="0"/>
                    <w:suppressAutoHyphens/>
                    <w:spacing w:after="200" w:line="276" w:lineRule="auto"/>
                    <w:rPr>
                      <w:rFonts w:asciiTheme="minorHAnsi" w:eastAsia="Arial Unicode MS" w:hAnsiTheme="minorHAnsi" w:cstheme="minorHAnsi"/>
                      <w:bCs/>
                      <w:kern w:val="1"/>
                      <w:sz w:val="12"/>
                      <w:szCs w:val="14"/>
                      <w:lang w:val="pl-PL"/>
                    </w:rPr>
                  </w:pPr>
                  <w:r w:rsidRPr="00FE52F6">
                    <w:rPr>
                      <w:rFonts w:asciiTheme="minorHAnsi" w:eastAsia="Arial Unicode MS" w:hAnsiTheme="minorHAnsi" w:cstheme="minorHAnsi"/>
                      <w:bCs/>
                      <w:kern w:val="1"/>
                      <w:sz w:val="12"/>
                      <w:szCs w:val="14"/>
                      <w:lang w:val="pl-PL"/>
                    </w:rPr>
                    <w:t>Wartość bazowa</w:t>
                  </w:r>
                </w:p>
              </w:tc>
              <w:tc>
                <w:tcPr>
                  <w:tcW w:w="2248" w:type="dxa"/>
                  <w:shd w:val="clear" w:color="auto" w:fill="D9D9D9" w:themeFill="background1" w:themeFillShade="D9"/>
                </w:tcPr>
                <w:p w14:paraId="321DD53B" w14:textId="77777777" w:rsidR="00690C6E" w:rsidRPr="00FE52F6" w:rsidRDefault="00690C6E" w:rsidP="00690C6E">
                  <w:pPr>
                    <w:widowControl w:val="0"/>
                    <w:suppressAutoHyphens/>
                    <w:spacing w:after="200" w:line="276" w:lineRule="auto"/>
                    <w:rPr>
                      <w:rFonts w:asciiTheme="minorHAnsi" w:eastAsia="Arial Unicode MS" w:hAnsiTheme="minorHAnsi" w:cstheme="minorHAnsi"/>
                      <w:bCs/>
                      <w:kern w:val="1"/>
                      <w:sz w:val="12"/>
                      <w:szCs w:val="14"/>
                      <w:lang w:val="pl-PL"/>
                    </w:rPr>
                  </w:pPr>
                  <w:r w:rsidRPr="00FE52F6">
                    <w:rPr>
                      <w:rFonts w:asciiTheme="minorHAnsi" w:eastAsia="Arial Unicode MS" w:hAnsiTheme="minorHAnsi" w:cstheme="minorHAnsi"/>
                      <w:bCs/>
                      <w:kern w:val="1"/>
                      <w:sz w:val="12"/>
                      <w:szCs w:val="14"/>
                      <w:lang w:val="pl-PL"/>
                    </w:rPr>
                    <w:t>Wartość docelowa</w:t>
                  </w:r>
                </w:p>
              </w:tc>
            </w:tr>
            <w:tr w:rsidR="00AB6E89" w:rsidRPr="00FE52F6" w14:paraId="3FFFC1E6" w14:textId="77777777" w:rsidTr="00FE52F6">
              <w:trPr>
                <w:trHeight w:val="481"/>
              </w:trPr>
              <w:tc>
                <w:tcPr>
                  <w:tcW w:w="3856" w:type="dxa"/>
                </w:tcPr>
                <w:p w14:paraId="74C67AC8" w14:textId="77777777" w:rsidR="00690C6E" w:rsidRPr="00FE52F6" w:rsidRDefault="00690C6E" w:rsidP="00690C6E">
                  <w:pPr>
                    <w:widowControl w:val="0"/>
                    <w:suppressAutoHyphens/>
                    <w:spacing w:after="200" w:line="276" w:lineRule="auto"/>
                    <w:rPr>
                      <w:rFonts w:asciiTheme="minorHAnsi" w:eastAsia="Arial Unicode MS" w:hAnsiTheme="minorHAnsi" w:cstheme="minorHAnsi"/>
                      <w:bCs/>
                      <w:kern w:val="1"/>
                      <w:sz w:val="12"/>
                      <w:szCs w:val="14"/>
                      <w:lang w:val="pl-PL"/>
                    </w:rPr>
                  </w:pPr>
                  <w:r w:rsidRPr="00FE52F6">
                    <w:rPr>
                      <w:rFonts w:asciiTheme="minorHAnsi" w:eastAsia="Arial Unicode MS" w:hAnsiTheme="minorHAnsi" w:cstheme="minorHAnsi"/>
                      <w:bCs/>
                      <w:kern w:val="1"/>
                      <w:sz w:val="12"/>
                      <w:szCs w:val="14"/>
                      <w:lang w:val="pl-PL"/>
                    </w:rPr>
                    <w:t xml:space="preserve">W10. Liczba złożonych plików JPK </w:t>
                  </w:r>
                </w:p>
              </w:tc>
              <w:tc>
                <w:tcPr>
                  <w:tcW w:w="1134" w:type="dxa"/>
                </w:tcPr>
                <w:p w14:paraId="7D613341" w14:textId="77777777" w:rsidR="00690C6E" w:rsidRPr="00FE52F6" w:rsidRDefault="00690C6E" w:rsidP="00690C6E">
                  <w:pPr>
                    <w:widowControl w:val="0"/>
                    <w:suppressAutoHyphens/>
                    <w:spacing w:after="200" w:line="276" w:lineRule="auto"/>
                    <w:rPr>
                      <w:rFonts w:asciiTheme="minorHAnsi" w:eastAsia="Arial Unicode MS" w:hAnsiTheme="minorHAnsi" w:cstheme="minorHAnsi"/>
                      <w:bCs/>
                      <w:kern w:val="1"/>
                      <w:sz w:val="12"/>
                      <w:szCs w:val="14"/>
                      <w:lang w:val="pl-PL"/>
                    </w:rPr>
                  </w:pPr>
                  <w:r w:rsidRPr="00FE52F6">
                    <w:rPr>
                      <w:rFonts w:asciiTheme="minorHAnsi" w:eastAsia="Arial Unicode MS" w:hAnsiTheme="minorHAnsi" w:cstheme="minorHAnsi"/>
                      <w:bCs/>
                      <w:kern w:val="1"/>
                      <w:sz w:val="12"/>
                      <w:szCs w:val="14"/>
                      <w:lang w:val="pl-PL"/>
                    </w:rPr>
                    <w:t>szt.</w:t>
                  </w:r>
                </w:p>
              </w:tc>
              <w:tc>
                <w:tcPr>
                  <w:tcW w:w="2842" w:type="dxa"/>
                </w:tcPr>
                <w:p w14:paraId="14F83456" w14:textId="55B1C065" w:rsidR="00690C6E" w:rsidRPr="00FE52F6" w:rsidRDefault="005630A4" w:rsidP="00690C6E">
                  <w:pPr>
                    <w:widowControl w:val="0"/>
                    <w:suppressAutoHyphens/>
                    <w:spacing w:after="200" w:line="276" w:lineRule="auto"/>
                    <w:rPr>
                      <w:rFonts w:asciiTheme="minorHAnsi" w:eastAsia="Arial Unicode MS" w:hAnsiTheme="minorHAnsi" w:cstheme="minorHAnsi"/>
                      <w:bCs/>
                      <w:kern w:val="1"/>
                      <w:sz w:val="12"/>
                      <w:szCs w:val="14"/>
                      <w:lang w:val="pl-PL"/>
                    </w:rPr>
                  </w:pPr>
                  <w:r>
                    <w:rPr>
                      <w:rFonts w:asciiTheme="minorHAnsi" w:eastAsia="Arial Unicode MS" w:hAnsiTheme="minorHAnsi" w:cstheme="minorHAnsi"/>
                      <w:bCs/>
                      <w:kern w:val="1"/>
                      <w:sz w:val="12"/>
                      <w:szCs w:val="14"/>
                      <w:lang w:val="pl-PL"/>
                    </w:rPr>
                    <w:t>10 mln</w:t>
                  </w:r>
                </w:p>
              </w:tc>
              <w:tc>
                <w:tcPr>
                  <w:tcW w:w="2248" w:type="dxa"/>
                </w:tcPr>
                <w:p w14:paraId="10FC7421" w14:textId="77777777" w:rsidR="00690C6E" w:rsidRPr="00FE52F6" w:rsidRDefault="00690C6E" w:rsidP="00690C6E">
                  <w:pPr>
                    <w:widowControl w:val="0"/>
                    <w:suppressAutoHyphens/>
                    <w:spacing w:after="200" w:line="276" w:lineRule="auto"/>
                    <w:rPr>
                      <w:rFonts w:asciiTheme="minorHAnsi" w:eastAsia="Arial Unicode MS" w:hAnsiTheme="minorHAnsi" w:cstheme="minorHAnsi"/>
                      <w:bCs/>
                      <w:kern w:val="1"/>
                      <w:sz w:val="12"/>
                      <w:szCs w:val="14"/>
                      <w:lang w:val="pl-PL"/>
                    </w:rPr>
                  </w:pPr>
                  <w:r w:rsidRPr="00FE52F6">
                    <w:rPr>
                      <w:rFonts w:asciiTheme="minorHAnsi" w:eastAsia="Arial Unicode MS" w:hAnsiTheme="minorHAnsi" w:cstheme="minorHAnsi"/>
                      <w:bCs/>
                      <w:kern w:val="1"/>
                      <w:sz w:val="12"/>
                      <w:szCs w:val="14"/>
                      <w:lang w:val="pl-PL"/>
                    </w:rPr>
                    <w:t>10 mln</w:t>
                  </w:r>
                </w:p>
              </w:tc>
            </w:tr>
          </w:tbl>
          <w:p w14:paraId="51BE58F7" w14:textId="77777777" w:rsidR="00771372" w:rsidRDefault="00771372" w:rsidP="00C823C5">
            <w:pPr>
              <w:jc w:val="both"/>
              <w:rPr>
                <w:rFonts w:cstheme="minorHAnsi"/>
                <w:i/>
                <w:sz w:val="18"/>
                <w:szCs w:val="20"/>
              </w:rPr>
            </w:pPr>
          </w:p>
          <w:p w14:paraId="0D6970A8" w14:textId="4FDBA8AC" w:rsidR="00516C63" w:rsidRDefault="00516C63" w:rsidP="00516C63">
            <w:pPr>
              <w:widowControl w:val="0"/>
              <w:suppressAutoHyphens/>
              <w:rPr>
                <w:rFonts w:cstheme="minorHAnsi"/>
                <w:i/>
                <w:sz w:val="18"/>
                <w:szCs w:val="20"/>
              </w:rPr>
            </w:pPr>
            <w:r w:rsidRPr="006B47CB">
              <w:rPr>
                <w:rFonts w:eastAsia="Arial Unicode MS" w:cstheme="minorHAnsi"/>
                <w:bCs/>
                <w:kern w:val="1"/>
                <w:sz w:val="12"/>
                <w:szCs w:val="14"/>
              </w:rPr>
              <w:t xml:space="preserve">Powyższe wskaźniki podlegać będą stałemu monitorowaniu usług elektronicznych, w tym liczby i rodzaju transakcji na nich przeprowadzonych. Statystyki udostępniane będą w cyklu półrocznym na: </w:t>
            </w:r>
            <w:hyperlink r:id="rId8" w:history="1">
              <w:r w:rsidRPr="006B47CB">
                <w:rPr>
                  <w:rStyle w:val="Hipercze"/>
                  <w:rFonts w:eastAsia="Arial Unicode MS" w:cstheme="minorHAnsi"/>
                  <w:bCs/>
                  <w:kern w:val="1"/>
                  <w:sz w:val="12"/>
                  <w:szCs w:val="14"/>
                </w:rPr>
                <w:t>http://www.epodatki.mf.gov.pl/</w:t>
              </w:r>
            </w:hyperlink>
          </w:p>
          <w:p w14:paraId="0E67CF5B" w14:textId="77777777" w:rsidR="00771372" w:rsidRPr="00771372" w:rsidRDefault="00771372" w:rsidP="00BC120E">
            <w:pPr>
              <w:jc w:val="both"/>
              <w:rPr>
                <w:rFonts w:cstheme="minorHAnsi"/>
                <w:i/>
                <w:sz w:val="18"/>
                <w:szCs w:val="20"/>
              </w:rPr>
            </w:pPr>
          </w:p>
        </w:tc>
      </w:tr>
      <w:tr w:rsidR="007A0A3D" w:rsidRPr="00DC2637" w14:paraId="612C895F" w14:textId="77777777" w:rsidTr="00E369E5">
        <w:tc>
          <w:tcPr>
            <w:tcW w:w="480" w:type="dxa"/>
          </w:tcPr>
          <w:p w14:paraId="3F21B195" w14:textId="77777777" w:rsidR="007A0A3D" w:rsidRPr="00DC2637" w:rsidRDefault="007A0A3D" w:rsidP="007A0A3D">
            <w:pPr>
              <w:pStyle w:val="Akapitzlist"/>
              <w:numPr>
                <w:ilvl w:val="0"/>
                <w:numId w:val="1"/>
              </w:numPr>
              <w:rPr>
                <w:rFonts w:cstheme="minorHAnsi"/>
                <w:sz w:val="18"/>
                <w:szCs w:val="20"/>
              </w:rPr>
            </w:pPr>
          </w:p>
        </w:tc>
        <w:tc>
          <w:tcPr>
            <w:tcW w:w="2350" w:type="dxa"/>
          </w:tcPr>
          <w:p w14:paraId="0AA676A0" w14:textId="77777777" w:rsidR="007A0A3D" w:rsidRPr="00DC2637" w:rsidRDefault="005D4188" w:rsidP="00A6601B">
            <w:pPr>
              <w:rPr>
                <w:rFonts w:cstheme="minorHAnsi"/>
                <w:sz w:val="18"/>
                <w:szCs w:val="20"/>
              </w:rPr>
            </w:pPr>
            <w:r w:rsidRPr="00DC2637">
              <w:rPr>
                <w:rFonts w:cstheme="minorHAnsi"/>
                <w:sz w:val="18"/>
                <w:szCs w:val="20"/>
              </w:rPr>
              <w:t>Ryzyka i problemy</w:t>
            </w:r>
          </w:p>
        </w:tc>
        <w:tc>
          <w:tcPr>
            <w:tcW w:w="6232" w:type="dxa"/>
          </w:tcPr>
          <w:tbl>
            <w:tblPr>
              <w:tblW w:w="498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356"/>
              <w:gridCol w:w="690"/>
              <w:gridCol w:w="2940"/>
            </w:tblGrid>
            <w:tr w:rsidR="000073E7" w:rsidRPr="00FE52F6" w14:paraId="6847AFC3" w14:textId="77777777" w:rsidTr="00E369E5">
              <w:trPr>
                <w:trHeight w:val="724"/>
              </w:trPr>
              <w:tc>
                <w:tcPr>
                  <w:tcW w:w="1968" w:type="pct"/>
                  <w:shd w:val="clear" w:color="auto" w:fill="D9D9D9" w:themeFill="background1" w:themeFillShade="D9"/>
                  <w:vAlign w:val="center"/>
                </w:tcPr>
                <w:p w14:paraId="2F219545" w14:textId="77777777" w:rsidR="000073E7" w:rsidRPr="00FE52F6" w:rsidRDefault="000073E7" w:rsidP="00E369E5">
                  <w:pPr>
                    <w:widowControl w:val="0"/>
                    <w:suppressAutoHyphens/>
                    <w:spacing w:after="0" w:line="240" w:lineRule="auto"/>
                    <w:jc w:val="center"/>
                    <w:rPr>
                      <w:rFonts w:eastAsia="Arial Unicode MS" w:cstheme="minorHAnsi"/>
                      <w:b/>
                      <w:bCs/>
                      <w:kern w:val="1"/>
                      <w:sz w:val="12"/>
                      <w:szCs w:val="14"/>
                    </w:rPr>
                  </w:pPr>
                  <w:r w:rsidRPr="00FE52F6">
                    <w:rPr>
                      <w:rFonts w:eastAsia="Arial Unicode MS" w:cstheme="minorHAnsi"/>
                      <w:b/>
                      <w:bCs/>
                      <w:kern w:val="1"/>
                      <w:sz w:val="12"/>
                      <w:szCs w:val="14"/>
                    </w:rPr>
                    <w:t>Opis ryzyka / problemu</w:t>
                  </w:r>
                </w:p>
              </w:tc>
              <w:tc>
                <w:tcPr>
                  <w:tcW w:w="576" w:type="pct"/>
                  <w:shd w:val="clear" w:color="auto" w:fill="D9D9D9" w:themeFill="background1" w:themeFillShade="D9"/>
                  <w:vAlign w:val="center"/>
                </w:tcPr>
                <w:p w14:paraId="366833EF" w14:textId="77777777" w:rsidR="000073E7" w:rsidRPr="00FE52F6" w:rsidRDefault="000073E7" w:rsidP="00E369E5">
                  <w:pPr>
                    <w:pStyle w:val="Legenda"/>
                    <w:jc w:val="center"/>
                    <w:rPr>
                      <w:rFonts w:asciiTheme="minorHAnsi" w:hAnsiTheme="minorHAnsi" w:cstheme="minorHAnsi"/>
                      <w:sz w:val="12"/>
                      <w:szCs w:val="14"/>
                    </w:rPr>
                  </w:pPr>
                  <w:r w:rsidRPr="00FE52F6">
                    <w:rPr>
                      <w:rFonts w:asciiTheme="minorHAnsi" w:hAnsiTheme="minorHAnsi" w:cstheme="minorHAnsi"/>
                      <w:sz w:val="12"/>
                      <w:szCs w:val="14"/>
                    </w:rPr>
                    <w:t>Wpływ na projekt</w:t>
                  </w:r>
                </w:p>
              </w:tc>
              <w:tc>
                <w:tcPr>
                  <w:tcW w:w="2456" w:type="pct"/>
                  <w:shd w:val="clear" w:color="auto" w:fill="D9D9D9" w:themeFill="background1" w:themeFillShade="D9"/>
                  <w:vAlign w:val="center"/>
                </w:tcPr>
                <w:p w14:paraId="569D36AF" w14:textId="77777777" w:rsidR="000073E7" w:rsidRPr="00FE52F6" w:rsidRDefault="000073E7" w:rsidP="00E369E5">
                  <w:pPr>
                    <w:pStyle w:val="Legenda"/>
                    <w:jc w:val="center"/>
                    <w:rPr>
                      <w:rFonts w:asciiTheme="minorHAnsi" w:hAnsiTheme="minorHAnsi" w:cstheme="minorHAnsi"/>
                      <w:sz w:val="12"/>
                      <w:szCs w:val="14"/>
                    </w:rPr>
                  </w:pPr>
                  <w:r w:rsidRPr="00FE52F6">
                    <w:rPr>
                      <w:rFonts w:asciiTheme="minorHAnsi" w:hAnsiTheme="minorHAnsi" w:cstheme="minorHAnsi"/>
                      <w:sz w:val="12"/>
                      <w:szCs w:val="14"/>
                    </w:rPr>
                    <w:t>Sposób obsługi ryzyka / problemu</w:t>
                  </w:r>
                </w:p>
              </w:tc>
            </w:tr>
            <w:tr w:rsidR="000073E7" w:rsidRPr="00FE52F6" w14:paraId="6CB10889" w14:textId="77777777" w:rsidTr="00E369E5">
              <w:trPr>
                <w:trHeight w:val="724"/>
              </w:trPr>
              <w:tc>
                <w:tcPr>
                  <w:tcW w:w="1968" w:type="pct"/>
                  <w:shd w:val="clear" w:color="auto" w:fill="auto"/>
                </w:tcPr>
                <w:p w14:paraId="212EC407" w14:textId="77777777" w:rsidR="000073E7" w:rsidRPr="00FE52F6" w:rsidRDefault="000073E7" w:rsidP="00E369E5">
                  <w:pPr>
                    <w:widowControl w:val="0"/>
                    <w:suppressAutoHyphens/>
                    <w:spacing w:after="0" w:line="240" w:lineRule="auto"/>
                    <w:jc w:val="both"/>
                    <w:rPr>
                      <w:rFonts w:eastAsia="Arial Unicode MS" w:cstheme="minorHAnsi"/>
                      <w:bCs/>
                      <w:kern w:val="1"/>
                      <w:sz w:val="12"/>
                      <w:szCs w:val="14"/>
                    </w:rPr>
                  </w:pPr>
                  <w:r w:rsidRPr="00FE52F6">
                    <w:rPr>
                      <w:rFonts w:eastAsia="Arial Unicode MS" w:cstheme="minorHAnsi"/>
                      <w:bCs/>
                      <w:kern w:val="1"/>
                      <w:sz w:val="12"/>
                      <w:szCs w:val="14"/>
                    </w:rPr>
                    <w:t>Niezadowalająca jakość i terminowość prac Wykonawców zewnętrznych w obszarze IT. Nierzetelny lub niedoświadczony Wykonawca systemu niebędący w stanie zrealizować zamówienia w sposób należyty.</w:t>
                  </w:r>
                </w:p>
                <w:p w14:paraId="1A230182" w14:textId="77777777" w:rsidR="000073E7" w:rsidRPr="00FE52F6" w:rsidRDefault="000073E7" w:rsidP="00E369E5">
                  <w:pPr>
                    <w:widowControl w:val="0"/>
                    <w:suppressAutoHyphens/>
                    <w:spacing w:after="0" w:line="240" w:lineRule="auto"/>
                    <w:jc w:val="both"/>
                    <w:rPr>
                      <w:rFonts w:eastAsia="Arial Unicode MS" w:cstheme="minorHAnsi"/>
                      <w:bCs/>
                      <w:kern w:val="1"/>
                      <w:sz w:val="12"/>
                      <w:szCs w:val="14"/>
                    </w:rPr>
                  </w:pPr>
                  <w:r w:rsidRPr="00FE52F6">
                    <w:rPr>
                      <w:rFonts w:eastAsia="Arial Unicode MS" w:cstheme="minorHAnsi"/>
                      <w:bCs/>
                      <w:kern w:val="1"/>
                      <w:sz w:val="12"/>
                      <w:szCs w:val="14"/>
                    </w:rPr>
                    <w:t>Niewystarczający poziom znajomości procesów i systemów stosowanych w KAS po stronie Wykonawcy.</w:t>
                  </w:r>
                </w:p>
                <w:p w14:paraId="4BFD9E36" w14:textId="77777777" w:rsidR="000073E7" w:rsidRPr="00FE52F6" w:rsidRDefault="000073E7" w:rsidP="00E369E5">
                  <w:pPr>
                    <w:widowControl w:val="0"/>
                    <w:suppressAutoHyphens/>
                    <w:spacing w:after="0" w:line="240" w:lineRule="auto"/>
                    <w:jc w:val="both"/>
                    <w:rPr>
                      <w:rFonts w:eastAsia="Arial Unicode MS" w:cstheme="minorHAnsi"/>
                      <w:bCs/>
                      <w:kern w:val="1"/>
                      <w:sz w:val="12"/>
                      <w:szCs w:val="14"/>
                    </w:rPr>
                  </w:pPr>
                  <w:r w:rsidRPr="00FE52F6">
                    <w:rPr>
                      <w:rFonts w:eastAsia="Arial Unicode MS" w:cstheme="minorHAnsi"/>
                      <w:bCs/>
                      <w:kern w:val="1"/>
                      <w:sz w:val="12"/>
                      <w:szCs w:val="14"/>
                    </w:rPr>
                    <w:t>Nadal występujące niedoskonałości systemów informatycznych oraz problemy z jakością danych w obecnych systemach.</w:t>
                  </w:r>
                </w:p>
              </w:tc>
              <w:tc>
                <w:tcPr>
                  <w:tcW w:w="576" w:type="pct"/>
                  <w:shd w:val="clear" w:color="auto" w:fill="FFFFFF"/>
                </w:tcPr>
                <w:p w14:paraId="5BAB4A1E" w14:textId="77777777" w:rsidR="000073E7" w:rsidRPr="00FE52F6" w:rsidRDefault="000073E7" w:rsidP="00E369E5">
                  <w:pPr>
                    <w:pStyle w:val="Legenda"/>
                    <w:jc w:val="both"/>
                    <w:rPr>
                      <w:rFonts w:asciiTheme="minorHAnsi" w:hAnsiTheme="minorHAnsi" w:cstheme="minorHAnsi"/>
                      <w:b w:val="0"/>
                      <w:sz w:val="12"/>
                      <w:szCs w:val="14"/>
                    </w:rPr>
                  </w:pPr>
                  <w:r w:rsidRPr="00FE52F6">
                    <w:rPr>
                      <w:rFonts w:asciiTheme="minorHAnsi" w:hAnsiTheme="minorHAnsi" w:cstheme="minorHAnsi"/>
                      <w:b w:val="0"/>
                      <w:sz w:val="12"/>
                      <w:szCs w:val="14"/>
                    </w:rPr>
                    <w:t>średnia</w:t>
                  </w:r>
                </w:p>
                <w:p w14:paraId="55474C32" w14:textId="77777777" w:rsidR="000073E7" w:rsidRPr="00FE52F6" w:rsidRDefault="000073E7" w:rsidP="00E369E5">
                  <w:pPr>
                    <w:pStyle w:val="Legenda"/>
                    <w:jc w:val="both"/>
                    <w:rPr>
                      <w:rFonts w:asciiTheme="minorHAnsi" w:hAnsiTheme="minorHAnsi" w:cstheme="minorHAnsi"/>
                      <w:b w:val="0"/>
                      <w:sz w:val="12"/>
                      <w:szCs w:val="14"/>
                    </w:rPr>
                  </w:pPr>
                </w:p>
              </w:tc>
              <w:tc>
                <w:tcPr>
                  <w:tcW w:w="2456" w:type="pct"/>
                  <w:shd w:val="clear" w:color="auto" w:fill="FFFFFF"/>
                </w:tcPr>
                <w:p w14:paraId="2B42F833" w14:textId="77777777" w:rsidR="000073E7" w:rsidRPr="00FE52F6" w:rsidRDefault="00FB58CF" w:rsidP="00E369E5">
                  <w:pPr>
                    <w:spacing w:after="0" w:line="240" w:lineRule="auto"/>
                    <w:jc w:val="both"/>
                    <w:rPr>
                      <w:rFonts w:eastAsia="Arial Unicode MS" w:cstheme="minorHAnsi"/>
                      <w:kern w:val="1"/>
                      <w:sz w:val="12"/>
                      <w:szCs w:val="14"/>
                    </w:rPr>
                  </w:pPr>
                  <w:r w:rsidRPr="00FE52F6">
                    <w:rPr>
                      <w:rFonts w:eastAsia="Arial Unicode MS" w:cstheme="minorHAnsi"/>
                      <w:kern w:val="1"/>
                      <w:sz w:val="12"/>
                      <w:szCs w:val="14"/>
                    </w:rPr>
                    <w:t>Ciągły monitoring prac realizowanych przez Wykonawcę. Opracowanie procedur eskalacji opóźnień.</w:t>
                  </w:r>
                  <w:r>
                    <w:rPr>
                      <w:rFonts w:eastAsia="Arial Unicode MS" w:cstheme="minorHAnsi"/>
                      <w:kern w:val="1"/>
                      <w:sz w:val="12"/>
                      <w:szCs w:val="14"/>
                    </w:rPr>
                    <w:t xml:space="preserve"> </w:t>
                  </w:r>
                  <w:r w:rsidR="000073E7" w:rsidRPr="00FE52F6">
                    <w:rPr>
                      <w:rFonts w:eastAsia="Arial Unicode MS" w:cstheme="minorHAnsi"/>
                      <w:bCs/>
                      <w:kern w:val="1"/>
                      <w:sz w:val="12"/>
                      <w:szCs w:val="14"/>
                    </w:rPr>
                    <w:t xml:space="preserve">Opracowanie strategii wyboru wykonawcy i jej skuteczna realizacja. </w:t>
                  </w:r>
                  <w:r w:rsidR="000073E7" w:rsidRPr="00FE52F6">
                    <w:rPr>
                      <w:rFonts w:eastAsia="Arial Unicode MS" w:cstheme="minorHAnsi"/>
                      <w:kern w:val="1"/>
                      <w:sz w:val="12"/>
                      <w:szCs w:val="14"/>
                    </w:rPr>
                    <w:t xml:space="preserve">Zabezpieczenie własnych zasobów. </w:t>
                  </w:r>
                </w:p>
                <w:p w14:paraId="433894CB" w14:textId="77777777" w:rsidR="000073E7" w:rsidRPr="00FE52F6" w:rsidRDefault="000073E7" w:rsidP="00E369E5">
                  <w:pPr>
                    <w:spacing w:after="0" w:line="240" w:lineRule="auto"/>
                    <w:jc w:val="both"/>
                    <w:rPr>
                      <w:rFonts w:cstheme="minorHAnsi"/>
                      <w:b/>
                      <w:sz w:val="12"/>
                      <w:szCs w:val="14"/>
                    </w:rPr>
                  </w:pPr>
                  <w:r w:rsidRPr="00FE52F6">
                    <w:rPr>
                      <w:rFonts w:eastAsia="Arial Unicode MS" w:cstheme="minorHAnsi"/>
                      <w:kern w:val="1"/>
                      <w:sz w:val="12"/>
                      <w:szCs w:val="14"/>
                    </w:rPr>
                    <w:t>Konieczność przeznaczenia przez KAS zasobów niezbędnych do dodatkowego transferu wiedzy do Wykonawcy, co w efekcie może przełożyć się na opóźnienia w realizacji umowy.</w:t>
                  </w:r>
                </w:p>
              </w:tc>
            </w:tr>
            <w:tr w:rsidR="000073E7" w:rsidRPr="00FE52F6" w14:paraId="700BEB05" w14:textId="77777777" w:rsidTr="00E369E5">
              <w:trPr>
                <w:trHeight w:val="724"/>
              </w:trPr>
              <w:tc>
                <w:tcPr>
                  <w:tcW w:w="1968" w:type="pct"/>
                  <w:shd w:val="clear" w:color="auto" w:fill="auto"/>
                </w:tcPr>
                <w:p w14:paraId="5EA152F9" w14:textId="77777777" w:rsidR="000073E7" w:rsidRPr="00FE52F6" w:rsidRDefault="000073E7" w:rsidP="00E369E5">
                  <w:pPr>
                    <w:widowControl w:val="0"/>
                    <w:suppressAutoHyphens/>
                    <w:spacing w:after="0" w:line="240" w:lineRule="auto"/>
                    <w:jc w:val="both"/>
                    <w:rPr>
                      <w:rFonts w:eastAsia="Arial Unicode MS" w:cstheme="minorHAnsi"/>
                      <w:bCs/>
                      <w:kern w:val="1"/>
                      <w:sz w:val="12"/>
                      <w:szCs w:val="14"/>
                    </w:rPr>
                  </w:pPr>
                  <w:r w:rsidRPr="00FE52F6">
                    <w:rPr>
                      <w:rFonts w:eastAsia="Arial Unicode MS" w:cstheme="minorHAnsi"/>
                      <w:bCs/>
                      <w:kern w:val="1"/>
                      <w:sz w:val="12"/>
                      <w:szCs w:val="14"/>
                    </w:rPr>
                    <w:t>Niewystarczające zasoby osobowe i</w:t>
                  </w:r>
                  <w:r w:rsidR="00FE52F6">
                    <w:rPr>
                      <w:rFonts w:eastAsia="Arial Unicode MS" w:cstheme="minorHAnsi"/>
                      <w:bCs/>
                      <w:kern w:val="1"/>
                      <w:sz w:val="12"/>
                      <w:szCs w:val="14"/>
                    </w:rPr>
                    <w:t> </w:t>
                  </w:r>
                  <w:r w:rsidRPr="00FE52F6">
                    <w:rPr>
                      <w:rFonts w:eastAsia="Arial Unicode MS" w:cstheme="minorHAnsi"/>
                      <w:bCs/>
                      <w:kern w:val="1"/>
                      <w:sz w:val="12"/>
                      <w:szCs w:val="14"/>
                    </w:rPr>
                    <w:t>techniczne dla efektywnej realizacji projektu.</w:t>
                  </w:r>
                </w:p>
                <w:p w14:paraId="6DF9072D" w14:textId="77777777" w:rsidR="000073E7" w:rsidRPr="00FE52F6" w:rsidRDefault="000073E7" w:rsidP="00E369E5">
                  <w:pPr>
                    <w:widowControl w:val="0"/>
                    <w:suppressAutoHyphens/>
                    <w:spacing w:after="0" w:line="240" w:lineRule="auto"/>
                    <w:jc w:val="both"/>
                    <w:rPr>
                      <w:rFonts w:eastAsia="Arial Unicode MS" w:cstheme="minorHAnsi"/>
                      <w:bCs/>
                      <w:kern w:val="1"/>
                      <w:sz w:val="12"/>
                      <w:szCs w:val="14"/>
                    </w:rPr>
                  </w:pPr>
                  <w:r w:rsidRPr="00FE52F6">
                    <w:rPr>
                      <w:rFonts w:eastAsia="Arial Unicode MS" w:cstheme="minorHAnsi"/>
                      <w:bCs/>
                      <w:kern w:val="1"/>
                      <w:sz w:val="12"/>
                      <w:szCs w:val="14"/>
                    </w:rPr>
                    <w:t>Fluktuacja kadr, odejście z różnych przyczyn osób kluczowych dla realizacji projektu.</w:t>
                  </w:r>
                </w:p>
                <w:p w14:paraId="059538B2" w14:textId="77777777" w:rsidR="000073E7" w:rsidRPr="00FE52F6" w:rsidRDefault="000073E7" w:rsidP="00E369E5">
                  <w:pPr>
                    <w:widowControl w:val="0"/>
                    <w:suppressAutoHyphens/>
                    <w:spacing w:after="0" w:line="240" w:lineRule="auto"/>
                    <w:jc w:val="both"/>
                    <w:rPr>
                      <w:rFonts w:eastAsia="Arial Unicode MS" w:cstheme="minorHAnsi"/>
                      <w:bCs/>
                      <w:kern w:val="1"/>
                      <w:sz w:val="12"/>
                      <w:szCs w:val="14"/>
                    </w:rPr>
                  </w:pPr>
                  <w:r w:rsidRPr="00FE52F6">
                    <w:rPr>
                      <w:rFonts w:eastAsia="Arial Unicode MS" w:cstheme="minorHAnsi"/>
                      <w:bCs/>
                      <w:kern w:val="1"/>
                      <w:sz w:val="12"/>
                      <w:szCs w:val="14"/>
                    </w:rPr>
                    <w:t>Niewystarczający potencjał zespołu projekt</w:t>
                  </w:r>
                  <w:r w:rsidR="00FE52F6">
                    <w:rPr>
                      <w:rFonts w:eastAsia="Arial Unicode MS" w:cstheme="minorHAnsi"/>
                      <w:bCs/>
                      <w:kern w:val="1"/>
                      <w:sz w:val="12"/>
                      <w:szCs w:val="14"/>
                    </w:rPr>
                    <w:t>owego w stosunku do wielkości i </w:t>
                  </w:r>
                  <w:r w:rsidRPr="00FE52F6">
                    <w:rPr>
                      <w:rFonts w:eastAsia="Arial Unicode MS" w:cstheme="minorHAnsi"/>
                      <w:bCs/>
                      <w:kern w:val="1"/>
                      <w:sz w:val="12"/>
                      <w:szCs w:val="14"/>
                    </w:rPr>
                    <w:t>złożoności projektu.</w:t>
                  </w:r>
                </w:p>
                <w:p w14:paraId="48ACB524" w14:textId="77777777" w:rsidR="000073E7" w:rsidRPr="00FE52F6" w:rsidRDefault="000073E7" w:rsidP="00E369E5">
                  <w:pPr>
                    <w:widowControl w:val="0"/>
                    <w:suppressAutoHyphens/>
                    <w:spacing w:after="0" w:line="240" w:lineRule="auto"/>
                    <w:jc w:val="both"/>
                    <w:rPr>
                      <w:rFonts w:eastAsia="Arial Unicode MS" w:cstheme="minorHAnsi"/>
                      <w:bCs/>
                      <w:kern w:val="1"/>
                      <w:sz w:val="12"/>
                      <w:szCs w:val="14"/>
                    </w:rPr>
                  </w:pPr>
                  <w:r w:rsidRPr="00FE52F6">
                    <w:rPr>
                      <w:rFonts w:eastAsia="Arial Unicode MS" w:cstheme="minorHAnsi"/>
                      <w:bCs/>
                      <w:kern w:val="1"/>
                      <w:sz w:val="12"/>
                      <w:szCs w:val="14"/>
                    </w:rPr>
                    <w:t>Konflikty związane z podziałem zasobów pomiędzy projektami realizowanymi lub planowanymi do realizacji w resorcie finansów.</w:t>
                  </w:r>
                </w:p>
                <w:p w14:paraId="24AE13ED" w14:textId="77777777" w:rsidR="000073E7" w:rsidRPr="00FE52F6" w:rsidRDefault="000073E7" w:rsidP="00E369E5">
                  <w:pPr>
                    <w:widowControl w:val="0"/>
                    <w:suppressAutoHyphens/>
                    <w:spacing w:after="0" w:line="240" w:lineRule="auto"/>
                    <w:jc w:val="both"/>
                    <w:rPr>
                      <w:rFonts w:eastAsia="Arial Unicode MS" w:cstheme="minorHAnsi"/>
                      <w:bCs/>
                      <w:kern w:val="1"/>
                      <w:sz w:val="12"/>
                      <w:szCs w:val="14"/>
                    </w:rPr>
                  </w:pPr>
                </w:p>
              </w:tc>
              <w:tc>
                <w:tcPr>
                  <w:tcW w:w="576" w:type="pct"/>
                  <w:shd w:val="clear" w:color="auto" w:fill="FFFFFF"/>
                </w:tcPr>
                <w:p w14:paraId="453F2983" w14:textId="77777777" w:rsidR="000073E7" w:rsidRPr="00FE52F6" w:rsidRDefault="000073E7" w:rsidP="00E369E5">
                  <w:pPr>
                    <w:pStyle w:val="Legenda"/>
                    <w:jc w:val="both"/>
                    <w:rPr>
                      <w:rFonts w:asciiTheme="minorHAnsi" w:hAnsiTheme="minorHAnsi" w:cstheme="minorHAnsi"/>
                      <w:b w:val="0"/>
                      <w:sz w:val="12"/>
                      <w:szCs w:val="14"/>
                    </w:rPr>
                  </w:pPr>
                  <w:r w:rsidRPr="00FE52F6">
                    <w:rPr>
                      <w:rFonts w:asciiTheme="minorHAnsi" w:hAnsiTheme="minorHAnsi" w:cstheme="minorHAnsi"/>
                      <w:b w:val="0"/>
                      <w:sz w:val="12"/>
                      <w:szCs w:val="14"/>
                    </w:rPr>
                    <w:t>średnia</w:t>
                  </w:r>
                </w:p>
                <w:p w14:paraId="23286C32" w14:textId="77777777" w:rsidR="000073E7" w:rsidRPr="00FE52F6" w:rsidRDefault="000073E7" w:rsidP="00E369E5">
                  <w:pPr>
                    <w:pStyle w:val="Legenda"/>
                    <w:jc w:val="both"/>
                    <w:rPr>
                      <w:rFonts w:asciiTheme="minorHAnsi" w:hAnsiTheme="minorHAnsi" w:cstheme="minorHAnsi"/>
                      <w:b w:val="0"/>
                      <w:sz w:val="12"/>
                      <w:szCs w:val="14"/>
                    </w:rPr>
                  </w:pPr>
                </w:p>
              </w:tc>
              <w:tc>
                <w:tcPr>
                  <w:tcW w:w="2456" w:type="pct"/>
                  <w:shd w:val="clear" w:color="auto" w:fill="FFFFFF"/>
                </w:tcPr>
                <w:p w14:paraId="60CB7954" w14:textId="77777777" w:rsidR="000073E7" w:rsidRPr="00FE52F6" w:rsidRDefault="000073E7" w:rsidP="00E369E5">
                  <w:pPr>
                    <w:pStyle w:val="Legenda"/>
                    <w:jc w:val="both"/>
                    <w:rPr>
                      <w:rFonts w:asciiTheme="minorHAnsi" w:hAnsiTheme="minorHAnsi" w:cstheme="minorHAnsi"/>
                      <w:b w:val="0"/>
                      <w:sz w:val="12"/>
                      <w:szCs w:val="14"/>
                    </w:rPr>
                  </w:pPr>
                  <w:r w:rsidRPr="00FE52F6">
                    <w:rPr>
                      <w:rFonts w:asciiTheme="minorHAnsi" w:hAnsiTheme="minorHAnsi" w:cstheme="minorHAnsi"/>
                      <w:b w:val="0"/>
                      <w:sz w:val="12"/>
                      <w:szCs w:val="14"/>
                    </w:rPr>
                    <w:t>Racjonalna przemyślana polityka kadrowa i dobór odpowiednich doświadczonych kadr do struktur projektowych. Wdrożenie systemu motywacyjnego dla osób uczestni</w:t>
                  </w:r>
                  <w:r w:rsidR="007B772D">
                    <w:rPr>
                      <w:rFonts w:asciiTheme="minorHAnsi" w:hAnsiTheme="minorHAnsi" w:cstheme="minorHAnsi"/>
                      <w:b w:val="0"/>
                      <w:sz w:val="12"/>
                      <w:szCs w:val="14"/>
                    </w:rPr>
                    <w:t>czących w realizacji projektu. Z</w:t>
                  </w:r>
                  <w:r w:rsidRPr="00FE52F6">
                    <w:rPr>
                      <w:rFonts w:asciiTheme="minorHAnsi" w:hAnsiTheme="minorHAnsi" w:cstheme="minorHAnsi"/>
                      <w:b w:val="0"/>
                      <w:sz w:val="12"/>
                      <w:szCs w:val="14"/>
                    </w:rPr>
                    <w:t xml:space="preserve">aplanowanie i realizacja szkoleń. </w:t>
                  </w:r>
                </w:p>
                <w:p w14:paraId="78FA6A12" w14:textId="77777777" w:rsidR="000073E7" w:rsidRPr="00FE52F6" w:rsidRDefault="000073E7" w:rsidP="00E369E5">
                  <w:pPr>
                    <w:pStyle w:val="Legenda"/>
                    <w:jc w:val="both"/>
                    <w:rPr>
                      <w:rFonts w:asciiTheme="minorHAnsi" w:hAnsiTheme="minorHAnsi" w:cstheme="minorHAnsi"/>
                      <w:b w:val="0"/>
                      <w:sz w:val="12"/>
                      <w:szCs w:val="14"/>
                    </w:rPr>
                  </w:pPr>
                  <w:r w:rsidRPr="00FE52F6">
                    <w:rPr>
                      <w:rFonts w:asciiTheme="minorHAnsi" w:hAnsiTheme="minorHAnsi" w:cstheme="minorHAnsi"/>
                      <w:b w:val="0"/>
                      <w:sz w:val="12"/>
                      <w:szCs w:val="14"/>
                    </w:rPr>
                    <w:t>Bieżące prowadzenie Repozytorium/Biblioteki projektu, zawierającego kompletną dokumentację. Określanie zastępstw. Za</w:t>
                  </w:r>
                  <w:r w:rsidR="00FE52F6">
                    <w:rPr>
                      <w:rFonts w:asciiTheme="minorHAnsi" w:hAnsiTheme="minorHAnsi" w:cstheme="minorHAnsi"/>
                      <w:b w:val="0"/>
                      <w:sz w:val="12"/>
                      <w:szCs w:val="14"/>
                    </w:rPr>
                    <w:t xml:space="preserve">pewnienie właściwej komunikacji </w:t>
                  </w:r>
                  <w:r w:rsidRPr="00FE52F6">
                    <w:rPr>
                      <w:rFonts w:asciiTheme="minorHAnsi" w:hAnsiTheme="minorHAnsi" w:cstheme="minorHAnsi"/>
                      <w:b w:val="0"/>
                      <w:sz w:val="12"/>
                      <w:szCs w:val="14"/>
                    </w:rPr>
                    <w:t>w</w:t>
                  </w:r>
                  <w:r w:rsidR="00FE52F6">
                    <w:rPr>
                      <w:rFonts w:asciiTheme="minorHAnsi" w:hAnsiTheme="minorHAnsi" w:cstheme="minorHAnsi"/>
                      <w:b w:val="0"/>
                      <w:sz w:val="12"/>
                      <w:szCs w:val="14"/>
                    </w:rPr>
                    <w:t> </w:t>
                  </w:r>
                  <w:r w:rsidRPr="00FE52F6">
                    <w:rPr>
                      <w:rFonts w:asciiTheme="minorHAnsi" w:hAnsiTheme="minorHAnsi" w:cstheme="minorHAnsi"/>
                      <w:b w:val="0"/>
                      <w:sz w:val="12"/>
                      <w:szCs w:val="14"/>
                    </w:rPr>
                    <w:t xml:space="preserve">projekcie (bieżąca wymiana wiedzy, doświadczeń). </w:t>
                  </w:r>
                </w:p>
                <w:p w14:paraId="39C43D95" w14:textId="77777777" w:rsidR="000073E7" w:rsidRPr="00FE52F6" w:rsidRDefault="000073E7" w:rsidP="00E369E5">
                  <w:pPr>
                    <w:pStyle w:val="Legenda"/>
                    <w:jc w:val="both"/>
                    <w:rPr>
                      <w:rFonts w:asciiTheme="minorHAnsi" w:hAnsiTheme="minorHAnsi" w:cstheme="minorHAnsi"/>
                      <w:b w:val="0"/>
                      <w:sz w:val="12"/>
                      <w:szCs w:val="14"/>
                    </w:rPr>
                  </w:pPr>
                  <w:r w:rsidRPr="00FE52F6">
                    <w:rPr>
                      <w:rFonts w:asciiTheme="minorHAnsi" w:hAnsiTheme="minorHAnsi" w:cstheme="minorHAnsi"/>
                      <w:b w:val="0"/>
                      <w:sz w:val="12"/>
                      <w:szCs w:val="14"/>
                    </w:rPr>
                    <w:t>Na bazie metodyki TRAMPOLINA określenie braków zasobowych (luki kompetencyjnej) oraz uzupełnienie ich z wykorzystaniem rekrutacji wewnętrznej i zewnętrznej.</w:t>
                  </w:r>
                </w:p>
                <w:p w14:paraId="387B5F83" w14:textId="77777777" w:rsidR="000073E7" w:rsidRPr="00FE52F6" w:rsidRDefault="000073E7" w:rsidP="00E369E5">
                  <w:pPr>
                    <w:pStyle w:val="Legenda"/>
                    <w:jc w:val="both"/>
                    <w:rPr>
                      <w:rFonts w:asciiTheme="minorHAnsi" w:hAnsiTheme="minorHAnsi" w:cstheme="minorHAnsi"/>
                      <w:sz w:val="12"/>
                      <w:szCs w:val="14"/>
                    </w:rPr>
                  </w:pPr>
                  <w:r w:rsidRPr="00FE52F6">
                    <w:rPr>
                      <w:rFonts w:asciiTheme="minorHAnsi" w:hAnsiTheme="minorHAnsi" w:cstheme="minorHAnsi"/>
                      <w:b w:val="0"/>
                      <w:sz w:val="12"/>
                      <w:szCs w:val="14"/>
                    </w:rPr>
                    <w:t>Zarządzanie alokacjami (planowanie). Wydzielanie obszarów prac wspólnych.</w:t>
                  </w:r>
                </w:p>
              </w:tc>
            </w:tr>
            <w:tr w:rsidR="000073E7" w:rsidRPr="00FE52F6" w14:paraId="59439803" w14:textId="77777777" w:rsidTr="00E369E5">
              <w:trPr>
                <w:trHeight w:val="218"/>
              </w:trPr>
              <w:tc>
                <w:tcPr>
                  <w:tcW w:w="1968" w:type="pct"/>
                  <w:shd w:val="clear" w:color="auto" w:fill="auto"/>
                </w:tcPr>
                <w:p w14:paraId="14441522" w14:textId="77777777" w:rsidR="000073E7" w:rsidRPr="00FE52F6" w:rsidRDefault="000073E7" w:rsidP="00E369E5">
                  <w:pPr>
                    <w:widowControl w:val="0"/>
                    <w:suppressAutoHyphens/>
                    <w:spacing w:after="0" w:line="240" w:lineRule="auto"/>
                    <w:jc w:val="both"/>
                    <w:rPr>
                      <w:rFonts w:eastAsia="Arial Unicode MS" w:cstheme="minorHAnsi"/>
                      <w:bCs/>
                      <w:kern w:val="1"/>
                      <w:sz w:val="12"/>
                      <w:szCs w:val="14"/>
                    </w:rPr>
                  </w:pPr>
                  <w:r w:rsidRPr="00FE52F6">
                    <w:rPr>
                      <w:rFonts w:eastAsia="Arial Unicode MS" w:cstheme="minorHAnsi"/>
                      <w:bCs/>
                      <w:kern w:val="1"/>
                      <w:sz w:val="12"/>
                      <w:szCs w:val="14"/>
                    </w:rPr>
                    <w:t xml:space="preserve">Dezaktualizacja wymagań określonych w Opisie Przedmiotu Zamówienia w miarę postępu prac projektowych. </w:t>
                  </w:r>
                </w:p>
                <w:p w14:paraId="12EB65A3" w14:textId="77777777" w:rsidR="000073E7" w:rsidRPr="00FE52F6" w:rsidRDefault="000073E7" w:rsidP="00E369E5">
                  <w:pPr>
                    <w:widowControl w:val="0"/>
                    <w:suppressAutoHyphens/>
                    <w:spacing w:after="0" w:line="240" w:lineRule="auto"/>
                    <w:jc w:val="both"/>
                    <w:rPr>
                      <w:rFonts w:eastAsia="Arial Unicode MS" w:cstheme="minorHAnsi"/>
                      <w:bCs/>
                      <w:kern w:val="1"/>
                      <w:sz w:val="12"/>
                      <w:szCs w:val="14"/>
                    </w:rPr>
                  </w:pPr>
                  <w:r w:rsidRPr="00FE52F6">
                    <w:rPr>
                      <w:rFonts w:eastAsia="Arial Unicode MS" w:cstheme="minorHAnsi"/>
                      <w:bCs/>
                      <w:kern w:val="1"/>
                      <w:sz w:val="12"/>
                      <w:szCs w:val="14"/>
                    </w:rPr>
                    <w:t>Nieprecyzyjnie lub niepełnie określone wymagania w opisie przedmiotu zamówienia.</w:t>
                  </w:r>
                </w:p>
                <w:p w14:paraId="6BA6DF1A" w14:textId="77777777" w:rsidR="000073E7" w:rsidRPr="00FE52F6" w:rsidRDefault="000073E7" w:rsidP="00E369E5">
                  <w:pPr>
                    <w:widowControl w:val="0"/>
                    <w:suppressAutoHyphens/>
                    <w:spacing w:after="0" w:line="240" w:lineRule="auto"/>
                    <w:jc w:val="both"/>
                    <w:rPr>
                      <w:rFonts w:eastAsia="Arial Unicode MS" w:cstheme="minorHAnsi"/>
                      <w:bCs/>
                      <w:kern w:val="1"/>
                      <w:sz w:val="12"/>
                      <w:szCs w:val="14"/>
                    </w:rPr>
                  </w:pPr>
                </w:p>
              </w:tc>
              <w:tc>
                <w:tcPr>
                  <w:tcW w:w="576" w:type="pct"/>
                  <w:shd w:val="clear" w:color="auto" w:fill="FFFFFF"/>
                </w:tcPr>
                <w:p w14:paraId="7BC9CDD2" w14:textId="77777777" w:rsidR="000073E7" w:rsidRPr="00FE52F6" w:rsidRDefault="000073E7" w:rsidP="00E369E5">
                  <w:pPr>
                    <w:pStyle w:val="Legenda"/>
                    <w:jc w:val="both"/>
                    <w:rPr>
                      <w:rFonts w:asciiTheme="minorHAnsi" w:hAnsiTheme="minorHAnsi" w:cstheme="minorHAnsi"/>
                      <w:b w:val="0"/>
                      <w:sz w:val="12"/>
                      <w:szCs w:val="14"/>
                    </w:rPr>
                  </w:pPr>
                  <w:r w:rsidRPr="00FE52F6">
                    <w:rPr>
                      <w:rFonts w:asciiTheme="minorHAnsi" w:hAnsiTheme="minorHAnsi" w:cstheme="minorHAnsi"/>
                      <w:b w:val="0"/>
                      <w:sz w:val="12"/>
                      <w:szCs w:val="14"/>
                    </w:rPr>
                    <w:t>średnia</w:t>
                  </w:r>
                </w:p>
              </w:tc>
              <w:tc>
                <w:tcPr>
                  <w:tcW w:w="2456" w:type="pct"/>
                  <w:shd w:val="clear" w:color="auto" w:fill="FFFFFF"/>
                </w:tcPr>
                <w:p w14:paraId="07E9E85B" w14:textId="77777777" w:rsidR="000073E7" w:rsidRPr="00FE52F6" w:rsidRDefault="000073E7" w:rsidP="00E369E5">
                  <w:pPr>
                    <w:pStyle w:val="Legenda"/>
                    <w:jc w:val="both"/>
                    <w:rPr>
                      <w:rFonts w:asciiTheme="minorHAnsi" w:hAnsiTheme="minorHAnsi" w:cstheme="minorHAnsi"/>
                      <w:b w:val="0"/>
                      <w:sz w:val="12"/>
                      <w:szCs w:val="14"/>
                    </w:rPr>
                  </w:pPr>
                  <w:r w:rsidRPr="00FE52F6">
                    <w:rPr>
                      <w:rFonts w:asciiTheme="minorHAnsi" w:hAnsiTheme="minorHAnsi" w:cstheme="minorHAnsi"/>
                      <w:b w:val="0"/>
                      <w:sz w:val="12"/>
                      <w:szCs w:val="14"/>
                    </w:rPr>
                    <w:t>Wykorzystanie mechanizmu zarządzania zmianą.</w:t>
                  </w:r>
                  <w:r w:rsidR="004E0D8E">
                    <w:rPr>
                      <w:rFonts w:asciiTheme="minorHAnsi" w:hAnsiTheme="minorHAnsi" w:cstheme="minorHAnsi"/>
                      <w:b w:val="0"/>
                      <w:sz w:val="12"/>
                      <w:szCs w:val="14"/>
                    </w:rPr>
                    <w:t xml:space="preserve"> OPZ sformułowany w takim stopniu szczegółowości by zapewniał jego aktualność w okresie obowiązywania kontraktu.  </w:t>
                  </w:r>
                </w:p>
                <w:p w14:paraId="3383904D" w14:textId="77777777" w:rsidR="000073E7" w:rsidRPr="00FE52F6" w:rsidRDefault="000073E7" w:rsidP="00E369E5">
                  <w:pPr>
                    <w:pStyle w:val="Legenda"/>
                    <w:jc w:val="both"/>
                    <w:rPr>
                      <w:rFonts w:asciiTheme="minorHAnsi" w:hAnsiTheme="minorHAnsi" w:cstheme="minorHAnsi"/>
                      <w:b w:val="0"/>
                      <w:sz w:val="12"/>
                      <w:szCs w:val="14"/>
                    </w:rPr>
                  </w:pPr>
                  <w:r w:rsidRPr="00FE52F6">
                    <w:rPr>
                      <w:rFonts w:asciiTheme="minorHAnsi" w:hAnsiTheme="minorHAnsi" w:cstheme="minorHAnsi"/>
                      <w:b w:val="0"/>
                      <w:sz w:val="12"/>
                      <w:szCs w:val="14"/>
                    </w:rPr>
                    <w:t>Przeszkolona kadra KAS w zakresie stosowania Prawa zamówień publicznych. Kompetentna analiza przygotowująca opis przedmiotu zamówienia. Wykorzystywanie wsparcia zewnętrznego do analizy i przygotowania przedmiotu zamówienia i kryteriów oceny ofert.</w:t>
                  </w:r>
                </w:p>
              </w:tc>
            </w:tr>
            <w:tr w:rsidR="000073E7" w:rsidRPr="00FE52F6" w14:paraId="04DAAD9E" w14:textId="77777777" w:rsidTr="00E369E5">
              <w:trPr>
                <w:trHeight w:val="724"/>
              </w:trPr>
              <w:tc>
                <w:tcPr>
                  <w:tcW w:w="1968" w:type="pct"/>
                  <w:shd w:val="clear" w:color="auto" w:fill="auto"/>
                </w:tcPr>
                <w:p w14:paraId="112B9438" w14:textId="77777777" w:rsidR="000073E7" w:rsidRPr="00FE52F6" w:rsidRDefault="000073E7" w:rsidP="00E369E5">
                  <w:pPr>
                    <w:widowControl w:val="0"/>
                    <w:suppressAutoHyphens/>
                    <w:spacing w:after="0" w:line="240" w:lineRule="auto"/>
                    <w:jc w:val="both"/>
                    <w:rPr>
                      <w:rFonts w:eastAsia="Arial Unicode MS" w:cstheme="minorHAnsi"/>
                      <w:bCs/>
                      <w:kern w:val="1"/>
                      <w:sz w:val="12"/>
                      <w:szCs w:val="14"/>
                    </w:rPr>
                  </w:pPr>
                  <w:r w:rsidRPr="00FE52F6">
                    <w:rPr>
                      <w:rFonts w:eastAsia="Arial Unicode MS" w:cstheme="minorHAnsi"/>
                      <w:bCs/>
                      <w:kern w:val="1"/>
                      <w:sz w:val="12"/>
                      <w:szCs w:val="14"/>
                    </w:rPr>
                    <w:t>Nieskuteczna komunikacja pomiędzy uczestnikami projektu</w:t>
                  </w:r>
                </w:p>
              </w:tc>
              <w:tc>
                <w:tcPr>
                  <w:tcW w:w="576" w:type="pct"/>
                  <w:shd w:val="clear" w:color="auto" w:fill="FFFFFF"/>
                </w:tcPr>
                <w:p w14:paraId="4FE1D5C0" w14:textId="77777777" w:rsidR="000073E7" w:rsidRPr="00FE52F6" w:rsidRDefault="000073E7" w:rsidP="00E369E5">
                  <w:pPr>
                    <w:pStyle w:val="Legenda"/>
                    <w:jc w:val="both"/>
                    <w:rPr>
                      <w:rFonts w:asciiTheme="minorHAnsi" w:hAnsiTheme="minorHAnsi" w:cstheme="minorHAnsi"/>
                      <w:b w:val="0"/>
                      <w:sz w:val="12"/>
                      <w:szCs w:val="14"/>
                    </w:rPr>
                  </w:pPr>
                  <w:r w:rsidRPr="00FE52F6">
                    <w:rPr>
                      <w:rFonts w:asciiTheme="minorHAnsi" w:hAnsiTheme="minorHAnsi" w:cstheme="minorHAnsi"/>
                      <w:b w:val="0"/>
                      <w:sz w:val="12"/>
                      <w:szCs w:val="14"/>
                    </w:rPr>
                    <w:t>średnia</w:t>
                  </w:r>
                </w:p>
              </w:tc>
              <w:tc>
                <w:tcPr>
                  <w:tcW w:w="2456" w:type="pct"/>
                  <w:shd w:val="clear" w:color="auto" w:fill="FFFFFF"/>
                </w:tcPr>
                <w:p w14:paraId="25D20370" w14:textId="77777777" w:rsidR="000073E7" w:rsidRPr="00FE52F6" w:rsidRDefault="000073E7" w:rsidP="00E369E5">
                  <w:pPr>
                    <w:pStyle w:val="Legenda"/>
                    <w:jc w:val="both"/>
                    <w:rPr>
                      <w:rFonts w:asciiTheme="minorHAnsi" w:hAnsiTheme="minorHAnsi" w:cstheme="minorHAnsi"/>
                      <w:b w:val="0"/>
                      <w:sz w:val="12"/>
                      <w:szCs w:val="14"/>
                    </w:rPr>
                  </w:pPr>
                  <w:r w:rsidRPr="00FE52F6">
                    <w:rPr>
                      <w:rFonts w:asciiTheme="minorHAnsi" w:hAnsiTheme="minorHAnsi" w:cstheme="minorHAnsi"/>
                      <w:b w:val="0"/>
                      <w:sz w:val="12"/>
                      <w:szCs w:val="14"/>
                    </w:rPr>
                    <w:t xml:space="preserve">Zapewnienie odpowiednich narzędzi i procedur komunikacji w ramach projektu. </w:t>
                  </w:r>
                </w:p>
              </w:tc>
            </w:tr>
            <w:tr w:rsidR="000073E7" w:rsidRPr="00FE52F6" w14:paraId="1605533F" w14:textId="77777777" w:rsidTr="00E369E5">
              <w:trPr>
                <w:trHeight w:val="724"/>
              </w:trPr>
              <w:tc>
                <w:tcPr>
                  <w:tcW w:w="1968" w:type="pct"/>
                  <w:shd w:val="clear" w:color="auto" w:fill="auto"/>
                </w:tcPr>
                <w:p w14:paraId="54433647" w14:textId="77777777" w:rsidR="000073E7" w:rsidRPr="00FE52F6" w:rsidRDefault="000073E7" w:rsidP="00E369E5">
                  <w:pPr>
                    <w:widowControl w:val="0"/>
                    <w:suppressAutoHyphens/>
                    <w:spacing w:after="0" w:line="240" w:lineRule="auto"/>
                    <w:jc w:val="both"/>
                    <w:rPr>
                      <w:rFonts w:eastAsia="Arial Unicode MS" w:cstheme="minorHAnsi"/>
                      <w:bCs/>
                      <w:kern w:val="1"/>
                      <w:sz w:val="12"/>
                      <w:szCs w:val="14"/>
                    </w:rPr>
                  </w:pPr>
                  <w:r w:rsidRPr="00FE52F6">
                    <w:rPr>
                      <w:rFonts w:eastAsia="Arial Unicode MS" w:cstheme="minorHAnsi"/>
                      <w:bCs/>
                      <w:kern w:val="1"/>
                      <w:sz w:val="12"/>
                      <w:szCs w:val="14"/>
                    </w:rPr>
                    <w:t>Utrata zaangażowania dedykowanej części Kierownictwa Resortu w nadzór nad realizacją projektu.</w:t>
                  </w:r>
                </w:p>
              </w:tc>
              <w:tc>
                <w:tcPr>
                  <w:tcW w:w="576" w:type="pct"/>
                  <w:shd w:val="clear" w:color="auto" w:fill="FFFFFF"/>
                </w:tcPr>
                <w:p w14:paraId="31861E41" w14:textId="77777777" w:rsidR="000073E7" w:rsidRPr="00FE52F6" w:rsidRDefault="000073E7" w:rsidP="00E369E5">
                  <w:pPr>
                    <w:pStyle w:val="Legenda"/>
                    <w:jc w:val="both"/>
                    <w:rPr>
                      <w:rFonts w:asciiTheme="minorHAnsi" w:hAnsiTheme="minorHAnsi" w:cstheme="minorHAnsi"/>
                      <w:b w:val="0"/>
                      <w:sz w:val="12"/>
                      <w:szCs w:val="14"/>
                    </w:rPr>
                  </w:pPr>
                  <w:r w:rsidRPr="00FE52F6">
                    <w:rPr>
                      <w:rFonts w:asciiTheme="minorHAnsi" w:hAnsiTheme="minorHAnsi" w:cstheme="minorHAnsi"/>
                      <w:b w:val="0"/>
                      <w:sz w:val="12"/>
                      <w:szCs w:val="14"/>
                    </w:rPr>
                    <w:t>duża</w:t>
                  </w:r>
                </w:p>
              </w:tc>
              <w:tc>
                <w:tcPr>
                  <w:tcW w:w="2456" w:type="pct"/>
                  <w:shd w:val="clear" w:color="auto" w:fill="FFFFFF"/>
                </w:tcPr>
                <w:p w14:paraId="01438300" w14:textId="77777777" w:rsidR="000073E7" w:rsidRPr="00FE52F6" w:rsidRDefault="000073E7" w:rsidP="00E369E5">
                  <w:pPr>
                    <w:pStyle w:val="Legenda"/>
                    <w:jc w:val="both"/>
                    <w:rPr>
                      <w:rFonts w:asciiTheme="minorHAnsi" w:hAnsiTheme="minorHAnsi" w:cstheme="minorHAnsi"/>
                      <w:b w:val="0"/>
                      <w:sz w:val="12"/>
                      <w:szCs w:val="14"/>
                    </w:rPr>
                  </w:pPr>
                  <w:r w:rsidRPr="00FE52F6">
                    <w:rPr>
                      <w:rFonts w:asciiTheme="minorHAnsi" w:hAnsiTheme="minorHAnsi" w:cstheme="minorHAnsi"/>
                      <w:b w:val="0"/>
                      <w:sz w:val="12"/>
                      <w:szCs w:val="14"/>
                    </w:rPr>
                    <w:t>Zapewnienie bieżącej komunikacji na temat statusu projektu oraz jego głównych osiągnięć / sukcesów do kierownictwa Resortu.</w:t>
                  </w:r>
                </w:p>
              </w:tc>
            </w:tr>
          </w:tbl>
          <w:p w14:paraId="65574CDC" w14:textId="77777777" w:rsidR="00DC2637" w:rsidRPr="00DC2637" w:rsidRDefault="00DC2637" w:rsidP="000073E7">
            <w:pPr>
              <w:jc w:val="both"/>
              <w:rPr>
                <w:rFonts w:cstheme="minorHAnsi"/>
                <w:i/>
                <w:sz w:val="18"/>
                <w:szCs w:val="20"/>
              </w:rPr>
            </w:pPr>
          </w:p>
        </w:tc>
      </w:tr>
      <w:tr w:rsidR="00813FEF" w:rsidRPr="00DC2637" w14:paraId="7AD1A298" w14:textId="77777777" w:rsidTr="00E369E5">
        <w:tc>
          <w:tcPr>
            <w:tcW w:w="480" w:type="dxa"/>
          </w:tcPr>
          <w:p w14:paraId="049EE3D2" w14:textId="77777777" w:rsidR="00813FEF" w:rsidRPr="00DC2637" w:rsidRDefault="00813FEF" w:rsidP="0058262E">
            <w:pPr>
              <w:pStyle w:val="Akapitzlist"/>
              <w:numPr>
                <w:ilvl w:val="0"/>
                <w:numId w:val="1"/>
              </w:numPr>
              <w:rPr>
                <w:rFonts w:cstheme="minorHAnsi"/>
                <w:sz w:val="18"/>
                <w:szCs w:val="20"/>
              </w:rPr>
            </w:pPr>
          </w:p>
        </w:tc>
        <w:tc>
          <w:tcPr>
            <w:tcW w:w="2350" w:type="dxa"/>
          </w:tcPr>
          <w:p w14:paraId="5E96AEC0" w14:textId="77777777" w:rsidR="00813FEF" w:rsidRPr="00DC2637" w:rsidRDefault="009D3D41" w:rsidP="009D3D41">
            <w:pPr>
              <w:rPr>
                <w:rFonts w:cstheme="minorHAnsi"/>
                <w:sz w:val="18"/>
                <w:szCs w:val="20"/>
              </w:rPr>
            </w:pPr>
            <w:r w:rsidRPr="00DC2637">
              <w:rPr>
                <w:rFonts w:cstheme="minorHAnsi"/>
                <w:sz w:val="18"/>
                <w:szCs w:val="20"/>
              </w:rPr>
              <w:t>U</w:t>
            </w:r>
            <w:r w:rsidR="00813FEF" w:rsidRPr="00DC2637">
              <w:rPr>
                <w:rFonts w:cstheme="minorHAnsi"/>
                <w:sz w:val="18"/>
                <w:szCs w:val="20"/>
              </w:rPr>
              <w:t xml:space="preserve">zyskane korzyści </w:t>
            </w:r>
          </w:p>
        </w:tc>
        <w:tc>
          <w:tcPr>
            <w:tcW w:w="6232" w:type="dxa"/>
          </w:tcPr>
          <w:tbl>
            <w:tblPr>
              <w:tblpPr w:leftFromText="141" w:rightFromText="141" w:vertAnchor="text" w:horzAnchor="margin" w:tblpY="198"/>
              <w:tblW w:w="59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56"/>
              <w:gridCol w:w="1170"/>
              <w:gridCol w:w="1947"/>
              <w:gridCol w:w="1276"/>
            </w:tblGrid>
            <w:tr w:rsidR="00AB6E89" w:rsidRPr="00FE52F6" w14:paraId="337A70F4" w14:textId="77777777" w:rsidTr="00E369E5">
              <w:tc>
                <w:tcPr>
                  <w:tcW w:w="1556" w:type="dxa"/>
                  <w:shd w:val="clear" w:color="auto" w:fill="E7E6E6"/>
                </w:tcPr>
                <w:p w14:paraId="55BAF62F" w14:textId="77777777" w:rsidR="00AB6E89" w:rsidRPr="00FE52F6" w:rsidRDefault="00AB6E89" w:rsidP="00E369E5">
                  <w:pPr>
                    <w:spacing w:after="0" w:line="240" w:lineRule="auto"/>
                    <w:jc w:val="center"/>
                    <w:rPr>
                      <w:rFonts w:eastAsia="MS MinNew Roman" w:cstheme="minorHAnsi"/>
                      <w:b/>
                      <w:bCs/>
                      <w:sz w:val="12"/>
                      <w:szCs w:val="14"/>
                    </w:rPr>
                  </w:pPr>
                  <w:r w:rsidRPr="00FE52F6">
                    <w:rPr>
                      <w:rFonts w:eastAsia="MS MinNew Roman" w:cstheme="minorHAnsi"/>
                      <w:b/>
                      <w:bCs/>
                      <w:sz w:val="12"/>
                      <w:szCs w:val="14"/>
                    </w:rPr>
                    <w:t xml:space="preserve">Nazwa </w:t>
                  </w:r>
                  <w:r w:rsidRPr="00FE52F6">
                    <w:rPr>
                      <w:rFonts w:eastAsia="MS MinNew Roman" w:cstheme="minorHAnsi"/>
                      <w:b/>
                      <w:bCs/>
                      <w:sz w:val="12"/>
                      <w:szCs w:val="14"/>
                    </w:rPr>
                    <w:br/>
                    <w:t>e-usługi wraz z krótkim opisem</w:t>
                  </w:r>
                </w:p>
              </w:tc>
              <w:tc>
                <w:tcPr>
                  <w:tcW w:w="1170" w:type="dxa"/>
                  <w:shd w:val="clear" w:color="auto" w:fill="E7E6E6"/>
                </w:tcPr>
                <w:p w14:paraId="00833B46" w14:textId="77777777" w:rsidR="00AB6E89" w:rsidRPr="00FE52F6" w:rsidRDefault="00AB6E89" w:rsidP="00E369E5">
                  <w:pPr>
                    <w:spacing w:after="0" w:line="240" w:lineRule="auto"/>
                    <w:jc w:val="center"/>
                    <w:rPr>
                      <w:rFonts w:eastAsia="MS MinNew Roman" w:cstheme="minorHAnsi"/>
                      <w:b/>
                      <w:bCs/>
                      <w:sz w:val="12"/>
                      <w:szCs w:val="14"/>
                    </w:rPr>
                  </w:pPr>
                  <w:r w:rsidRPr="00FE52F6">
                    <w:rPr>
                      <w:rFonts w:eastAsia="MS MinNew Roman" w:cstheme="minorHAnsi"/>
                      <w:b/>
                      <w:bCs/>
                      <w:sz w:val="12"/>
                      <w:szCs w:val="14"/>
                    </w:rPr>
                    <w:t>Zakres oddziaływania</w:t>
                  </w:r>
                </w:p>
              </w:tc>
              <w:tc>
                <w:tcPr>
                  <w:tcW w:w="1947" w:type="dxa"/>
                  <w:shd w:val="clear" w:color="auto" w:fill="E7E6E6"/>
                </w:tcPr>
                <w:p w14:paraId="4585A9DF" w14:textId="77777777" w:rsidR="00AB6E89" w:rsidRPr="00FE52F6" w:rsidRDefault="00AB6E89" w:rsidP="00E369E5">
                  <w:pPr>
                    <w:spacing w:after="0" w:line="240" w:lineRule="auto"/>
                    <w:jc w:val="center"/>
                    <w:rPr>
                      <w:rFonts w:eastAsia="MS MinNew Roman" w:cstheme="minorHAnsi"/>
                      <w:b/>
                      <w:bCs/>
                      <w:sz w:val="12"/>
                      <w:szCs w:val="14"/>
                    </w:rPr>
                  </w:pPr>
                  <w:r w:rsidRPr="00FE52F6">
                    <w:rPr>
                      <w:rFonts w:eastAsia="MS MinNew Roman" w:cstheme="minorHAnsi"/>
                      <w:b/>
                      <w:bCs/>
                      <w:sz w:val="12"/>
                      <w:szCs w:val="14"/>
                    </w:rPr>
                    <w:t>Korzyść z wdrożenia e-usługi</w:t>
                  </w:r>
                </w:p>
              </w:tc>
              <w:tc>
                <w:tcPr>
                  <w:tcW w:w="1276" w:type="dxa"/>
                  <w:shd w:val="clear" w:color="auto" w:fill="E7E6E6"/>
                </w:tcPr>
                <w:p w14:paraId="33D2A7C1" w14:textId="77777777" w:rsidR="00AB6E89" w:rsidRPr="00FE52F6" w:rsidRDefault="00AB6E89" w:rsidP="00E369E5">
                  <w:pPr>
                    <w:spacing w:after="0" w:line="240" w:lineRule="auto"/>
                    <w:jc w:val="center"/>
                    <w:rPr>
                      <w:rFonts w:eastAsia="MS MinNew Roman" w:cstheme="minorHAnsi"/>
                      <w:b/>
                      <w:bCs/>
                      <w:sz w:val="12"/>
                      <w:szCs w:val="14"/>
                    </w:rPr>
                  </w:pPr>
                  <w:r w:rsidRPr="00FE52F6">
                    <w:rPr>
                      <w:rFonts w:eastAsia="MS MinNew Roman" w:cstheme="minorHAnsi"/>
                      <w:b/>
                      <w:bCs/>
                      <w:sz w:val="12"/>
                      <w:szCs w:val="14"/>
                    </w:rPr>
                    <w:t>Sposób pomiaru i udostępnienia informacji</w:t>
                  </w:r>
                </w:p>
              </w:tc>
            </w:tr>
            <w:tr w:rsidR="00AB6E89" w:rsidRPr="00FE52F6" w14:paraId="3984E86A" w14:textId="77777777" w:rsidTr="00E369E5">
              <w:tc>
                <w:tcPr>
                  <w:tcW w:w="1556" w:type="dxa"/>
                  <w:shd w:val="clear" w:color="auto" w:fill="auto"/>
                </w:tcPr>
                <w:p w14:paraId="7B4C124F" w14:textId="77777777" w:rsidR="00AB6E89" w:rsidRPr="00FE52F6" w:rsidRDefault="00AB6E89" w:rsidP="00E369E5">
                  <w:pPr>
                    <w:widowControl w:val="0"/>
                    <w:suppressAutoHyphens/>
                    <w:spacing w:after="0" w:line="240" w:lineRule="auto"/>
                    <w:rPr>
                      <w:rFonts w:eastAsia="Arial Unicode MS" w:cstheme="minorHAnsi"/>
                      <w:b/>
                      <w:bCs/>
                      <w:kern w:val="1"/>
                      <w:sz w:val="12"/>
                      <w:szCs w:val="14"/>
                    </w:rPr>
                  </w:pPr>
                  <w:r w:rsidRPr="00FE52F6">
                    <w:rPr>
                      <w:rFonts w:eastAsia="Arial Unicode MS" w:cstheme="minorHAnsi"/>
                      <w:b/>
                      <w:bCs/>
                      <w:kern w:val="1"/>
                      <w:sz w:val="12"/>
                      <w:szCs w:val="14"/>
                    </w:rPr>
                    <w:t>Elektroniczne czynności kontrolne z użyciem JPK (e-JPK).</w:t>
                  </w:r>
                </w:p>
                <w:p w14:paraId="30676074" w14:textId="77777777" w:rsidR="00AB6E89" w:rsidRPr="00FE52F6" w:rsidRDefault="00AB6E89" w:rsidP="00E369E5">
                  <w:pPr>
                    <w:widowControl w:val="0"/>
                    <w:suppressAutoHyphens/>
                    <w:spacing w:after="0" w:line="240" w:lineRule="auto"/>
                    <w:rPr>
                      <w:rFonts w:eastAsia="Arial Unicode MS" w:cstheme="minorHAnsi"/>
                      <w:bCs/>
                      <w:kern w:val="1"/>
                      <w:sz w:val="12"/>
                      <w:szCs w:val="14"/>
                    </w:rPr>
                  </w:pPr>
                  <w:r w:rsidRPr="00FE52F6">
                    <w:rPr>
                      <w:rFonts w:eastAsia="Arial Unicode MS" w:cstheme="minorHAnsi"/>
                      <w:bCs/>
                      <w:kern w:val="1"/>
                      <w:sz w:val="12"/>
                      <w:szCs w:val="14"/>
                    </w:rPr>
                    <w:t>Usługi składowe:</w:t>
                  </w:r>
                </w:p>
                <w:p w14:paraId="08EC1072" w14:textId="77777777" w:rsidR="00AB6E89" w:rsidRPr="00FE52F6" w:rsidRDefault="00AB6E89" w:rsidP="00E369E5">
                  <w:pPr>
                    <w:widowControl w:val="0"/>
                    <w:suppressAutoHyphens/>
                    <w:spacing w:after="0" w:line="240" w:lineRule="auto"/>
                    <w:rPr>
                      <w:rFonts w:eastAsia="Arial Unicode MS" w:cstheme="minorHAnsi"/>
                      <w:bCs/>
                      <w:kern w:val="1"/>
                      <w:sz w:val="12"/>
                      <w:szCs w:val="14"/>
                    </w:rPr>
                  </w:pPr>
                  <w:r w:rsidRPr="00FE52F6">
                    <w:rPr>
                      <w:rFonts w:eastAsia="Arial Unicode MS" w:cstheme="minorHAnsi"/>
                      <w:bCs/>
                      <w:kern w:val="1"/>
                      <w:sz w:val="12"/>
                      <w:szCs w:val="14"/>
                    </w:rPr>
                    <w:t xml:space="preserve">- Przygotowanie standardu JPK i przyjmowanie danych </w:t>
                  </w:r>
                  <w:r w:rsidRPr="00FE52F6">
                    <w:rPr>
                      <w:rFonts w:eastAsia="Arial Unicode MS" w:cstheme="minorHAnsi"/>
                      <w:bCs/>
                      <w:kern w:val="1"/>
                      <w:sz w:val="12"/>
                      <w:szCs w:val="14"/>
                    </w:rPr>
                    <w:lastRenderedPageBreak/>
                    <w:t>JPK</w:t>
                  </w:r>
                </w:p>
                <w:p w14:paraId="633F91C5" w14:textId="77777777" w:rsidR="00AB6E89" w:rsidRPr="00FE52F6" w:rsidRDefault="00AB6E89" w:rsidP="00E369E5">
                  <w:pPr>
                    <w:widowControl w:val="0"/>
                    <w:suppressAutoHyphens/>
                    <w:spacing w:after="0" w:line="240" w:lineRule="auto"/>
                    <w:rPr>
                      <w:rFonts w:eastAsia="Arial Unicode MS" w:cstheme="minorHAnsi"/>
                      <w:bCs/>
                      <w:kern w:val="1"/>
                      <w:sz w:val="12"/>
                      <w:szCs w:val="14"/>
                    </w:rPr>
                  </w:pPr>
                  <w:r w:rsidRPr="00FE52F6">
                    <w:rPr>
                      <w:rFonts w:eastAsia="Arial Unicode MS" w:cstheme="minorHAnsi"/>
                      <w:bCs/>
                      <w:kern w:val="1"/>
                      <w:sz w:val="12"/>
                      <w:szCs w:val="14"/>
                    </w:rPr>
                    <w:t>- Prowadzenie czynności sprawdzających na podstawie danych JPK</w:t>
                  </w:r>
                </w:p>
                <w:p w14:paraId="18C820CA" w14:textId="77777777" w:rsidR="00AB6E89" w:rsidRPr="00FE52F6" w:rsidRDefault="00AB6E89" w:rsidP="00E369E5">
                  <w:pPr>
                    <w:widowControl w:val="0"/>
                    <w:suppressAutoHyphens/>
                    <w:spacing w:after="0" w:line="240" w:lineRule="auto"/>
                    <w:rPr>
                      <w:rFonts w:eastAsia="Arial Unicode MS" w:cstheme="minorHAnsi"/>
                      <w:bCs/>
                      <w:kern w:val="1"/>
                      <w:sz w:val="12"/>
                      <w:szCs w:val="14"/>
                    </w:rPr>
                  </w:pPr>
                  <w:r w:rsidRPr="00FE52F6">
                    <w:rPr>
                      <w:rFonts w:eastAsia="Arial Unicode MS" w:cstheme="minorHAnsi"/>
                      <w:bCs/>
                      <w:kern w:val="1"/>
                      <w:sz w:val="12"/>
                      <w:szCs w:val="14"/>
                    </w:rPr>
                    <w:t>- Prowadzenie kontroli na podstawie danych JPK</w:t>
                  </w:r>
                </w:p>
              </w:tc>
              <w:tc>
                <w:tcPr>
                  <w:tcW w:w="1170" w:type="dxa"/>
                </w:tcPr>
                <w:p w14:paraId="509EA047" w14:textId="77777777" w:rsidR="00AB6E89" w:rsidRPr="00FE52F6" w:rsidRDefault="00AB6E89" w:rsidP="00E369E5">
                  <w:pPr>
                    <w:widowControl w:val="0"/>
                    <w:suppressAutoHyphens/>
                    <w:spacing w:after="0" w:line="240" w:lineRule="auto"/>
                    <w:rPr>
                      <w:rFonts w:eastAsia="Arial Unicode MS" w:cstheme="minorHAnsi"/>
                      <w:bCs/>
                      <w:kern w:val="1"/>
                      <w:sz w:val="12"/>
                      <w:szCs w:val="14"/>
                    </w:rPr>
                  </w:pPr>
                  <w:r w:rsidRPr="00FE52F6">
                    <w:rPr>
                      <w:rFonts w:eastAsia="Arial Unicode MS" w:cstheme="minorHAnsi"/>
                      <w:bCs/>
                      <w:kern w:val="1"/>
                      <w:sz w:val="12"/>
                      <w:szCs w:val="14"/>
                    </w:rPr>
                    <w:lastRenderedPageBreak/>
                    <w:t xml:space="preserve">liczebność tej grupy interesariuszy będzie zmieniać się w czasie. Finalnie usługa ta będzie </w:t>
                  </w:r>
                  <w:r w:rsidRPr="00FE52F6">
                    <w:rPr>
                      <w:rFonts w:eastAsia="Arial Unicode MS" w:cstheme="minorHAnsi"/>
                      <w:bCs/>
                      <w:kern w:val="1"/>
                      <w:sz w:val="12"/>
                      <w:szCs w:val="14"/>
                    </w:rPr>
                    <w:lastRenderedPageBreak/>
                    <w:t>dedykowana około 5 mln podmiotów.</w:t>
                  </w:r>
                </w:p>
              </w:tc>
              <w:tc>
                <w:tcPr>
                  <w:tcW w:w="1947" w:type="dxa"/>
                </w:tcPr>
                <w:p w14:paraId="707794CA" w14:textId="77777777" w:rsidR="00AB6E89" w:rsidRPr="00FE52F6" w:rsidRDefault="00AB6E89" w:rsidP="00E369E5">
                  <w:pPr>
                    <w:widowControl w:val="0"/>
                    <w:suppressAutoHyphens/>
                    <w:spacing w:after="0" w:line="240" w:lineRule="auto"/>
                    <w:rPr>
                      <w:rFonts w:eastAsia="Arial Unicode MS" w:cstheme="minorHAnsi"/>
                      <w:bCs/>
                      <w:kern w:val="1"/>
                      <w:sz w:val="12"/>
                      <w:szCs w:val="14"/>
                    </w:rPr>
                  </w:pPr>
                  <w:r w:rsidRPr="00FE52F6">
                    <w:rPr>
                      <w:rFonts w:eastAsia="Arial Unicode MS" w:cstheme="minorHAnsi"/>
                      <w:bCs/>
                      <w:kern w:val="1"/>
                      <w:sz w:val="12"/>
                      <w:szCs w:val="14"/>
                    </w:rPr>
                    <w:lastRenderedPageBreak/>
                    <w:t xml:space="preserve">Skrócenie czasu kontroli i zapewnienie obiektywności i wysokiej jakości wyników. Zmniejszenie liczby ‘nietrafionych’ kontroli, które angażują podatników do ich obsługi. </w:t>
                  </w:r>
                  <w:r w:rsidRPr="00FE52F6">
                    <w:rPr>
                      <w:rFonts w:eastAsia="Arial Unicode MS" w:cstheme="minorHAnsi"/>
                      <w:bCs/>
                      <w:kern w:val="1"/>
                      <w:sz w:val="12"/>
                      <w:szCs w:val="14"/>
                    </w:rPr>
                    <w:lastRenderedPageBreak/>
                    <w:t xml:space="preserve">Udostępnienie przez KAS wystandaryzowanych mechanizmów elektronicznego pobierania dokumentów finansowych od podatnika. </w:t>
                  </w:r>
                </w:p>
              </w:tc>
              <w:tc>
                <w:tcPr>
                  <w:tcW w:w="1276" w:type="dxa"/>
                </w:tcPr>
                <w:p w14:paraId="3693F0C9" w14:textId="77777777" w:rsidR="00E369E5" w:rsidRPr="00FE52F6" w:rsidRDefault="00E369E5" w:rsidP="00E369E5">
                  <w:pPr>
                    <w:widowControl w:val="0"/>
                    <w:suppressAutoHyphens/>
                    <w:spacing w:after="0" w:line="240" w:lineRule="auto"/>
                    <w:rPr>
                      <w:rFonts w:eastAsia="Arial Unicode MS" w:cstheme="minorHAnsi"/>
                      <w:bCs/>
                      <w:kern w:val="1"/>
                      <w:sz w:val="12"/>
                      <w:szCs w:val="14"/>
                    </w:rPr>
                  </w:pPr>
                  <w:r w:rsidRPr="00FE52F6">
                    <w:rPr>
                      <w:rFonts w:eastAsia="Arial Unicode MS" w:cstheme="minorHAnsi"/>
                      <w:bCs/>
                      <w:kern w:val="1"/>
                      <w:sz w:val="12"/>
                      <w:szCs w:val="14"/>
                    </w:rPr>
                    <w:lastRenderedPageBreak/>
                    <w:t>monitorowanie usług elektronicznych, w tym liczby i rodzaju transakcji na nich przeprowadzonych.</w:t>
                  </w:r>
                </w:p>
                <w:p w14:paraId="64891BF8" w14:textId="77777777" w:rsidR="00E369E5" w:rsidRPr="00FE52F6" w:rsidRDefault="00E369E5" w:rsidP="00E369E5">
                  <w:pPr>
                    <w:widowControl w:val="0"/>
                    <w:suppressAutoHyphens/>
                    <w:spacing w:after="0" w:line="240" w:lineRule="auto"/>
                    <w:rPr>
                      <w:rFonts w:eastAsia="Arial Unicode MS" w:cstheme="minorHAnsi"/>
                      <w:bCs/>
                      <w:kern w:val="1"/>
                      <w:sz w:val="12"/>
                      <w:szCs w:val="14"/>
                    </w:rPr>
                  </w:pPr>
                  <w:r w:rsidRPr="00FE52F6">
                    <w:rPr>
                      <w:rFonts w:eastAsia="Arial Unicode MS" w:cstheme="minorHAnsi"/>
                      <w:bCs/>
                      <w:kern w:val="1"/>
                      <w:sz w:val="12"/>
                      <w:szCs w:val="14"/>
                    </w:rPr>
                    <w:t xml:space="preserve">Statystyki </w:t>
                  </w:r>
                  <w:r w:rsidRPr="00FE52F6">
                    <w:rPr>
                      <w:rFonts w:eastAsia="Arial Unicode MS" w:cstheme="minorHAnsi"/>
                      <w:bCs/>
                      <w:kern w:val="1"/>
                      <w:sz w:val="12"/>
                      <w:szCs w:val="14"/>
                    </w:rPr>
                    <w:lastRenderedPageBreak/>
                    <w:t xml:space="preserve">udostępniane będą w cyklu półrocznym na: </w:t>
                  </w:r>
                  <w:hyperlink r:id="rId9" w:history="1">
                    <w:r w:rsidRPr="00FE52F6">
                      <w:rPr>
                        <w:rStyle w:val="Hipercze"/>
                        <w:rFonts w:eastAsia="Arial Unicode MS" w:cstheme="minorHAnsi"/>
                        <w:bCs/>
                        <w:kern w:val="1"/>
                        <w:sz w:val="12"/>
                        <w:szCs w:val="14"/>
                      </w:rPr>
                      <w:t>http://www.epodatki.mf.gov.pl/</w:t>
                    </w:r>
                  </w:hyperlink>
                </w:p>
                <w:p w14:paraId="7B02E7D6" w14:textId="77777777" w:rsidR="00AB6E89" w:rsidRPr="00FE52F6" w:rsidRDefault="00AB6E89" w:rsidP="00E369E5">
                  <w:pPr>
                    <w:widowControl w:val="0"/>
                    <w:suppressAutoHyphens/>
                    <w:spacing w:after="0" w:line="240" w:lineRule="auto"/>
                    <w:rPr>
                      <w:rFonts w:eastAsia="Arial Unicode MS" w:cstheme="minorHAnsi"/>
                      <w:bCs/>
                      <w:kern w:val="1"/>
                      <w:sz w:val="12"/>
                      <w:szCs w:val="14"/>
                    </w:rPr>
                  </w:pPr>
                </w:p>
              </w:tc>
            </w:tr>
            <w:tr w:rsidR="00AB6E89" w:rsidRPr="00FE52F6" w14:paraId="32FD46AE" w14:textId="77777777" w:rsidTr="00E369E5">
              <w:tc>
                <w:tcPr>
                  <w:tcW w:w="1556" w:type="dxa"/>
                  <w:shd w:val="clear" w:color="auto" w:fill="auto"/>
                </w:tcPr>
                <w:p w14:paraId="3AD50519" w14:textId="77777777" w:rsidR="00AB6E89" w:rsidRPr="00FE52F6" w:rsidRDefault="00AB6E89" w:rsidP="00E369E5">
                  <w:pPr>
                    <w:widowControl w:val="0"/>
                    <w:suppressAutoHyphens/>
                    <w:spacing w:after="0" w:line="240" w:lineRule="auto"/>
                    <w:rPr>
                      <w:rFonts w:eastAsia="Arial Unicode MS" w:cstheme="minorHAnsi"/>
                      <w:b/>
                      <w:bCs/>
                      <w:kern w:val="1"/>
                      <w:sz w:val="12"/>
                      <w:szCs w:val="14"/>
                    </w:rPr>
                  </w:pPr>
                  <w:r w:rsidRPr="00FE52F6">
                    <w:rPr>
                      <w:rFonts w:eastAsia="Arial Unicode MS" w:cstheme="minorHAnsi"/>
                      <w:b/>
                      <w:bCs/>
                      <w:kern w:val="1"/>
                      <w:sz w:val="12"/>
                      <w:szCs w:val="14"/>
                    </w:rPr>
                    <w:lastRenderedPageBreak/>
                    <w:t>Zintegrowana Obsługa Klienta (e-ZOK)</w:t>
                  </w:r>
                </w:p>
                <w:p w14:paraId="19315AB7" w14:textId="77777777" w:rsidR="00AB6E89" w:rsidRPr="00FE52F6" w:rsidRDefault="00AB6E89" w:rsidP="00E369E5">
                  <w:pPr>
                    <w:widowControl w:val="0"/>
                    <w:suppressAutoHyphens/>
                    <w:spacing w:after="0" w:line="240" w:lineRule="auto"/>
                    <w:rPr>
                      <w:rFonts w:eastAsia="Arial Unicode MS" w:cstheme="minorHAnsi"/>
                      <w:bCs/>
                      <w:kern w:val="1"/>
                      <w:sz w:val="12"/>
                      <w:szCs w:val="14"/>
                    </w:rPr>
                  </w:pPr>
                  <w:r w:rsidRPr="00FE52F6">
                    <w:rPr>
                      <w:rFonts w:eastAsia="Arial Unicode MS" w:cstheme="minorHAnsi"/>
                      <w:bCs/>
                      <w:kern w:val="1"/>
                      <w:sz w:val="12"/>
                      <w:szCs w:val="14"/>
                    </w:rPr>
                    <w:t>Usługi składowe:</w:t>
                  </w:r>
                </w:p>
                <w:p w14:paraId="1571CEAA" w14:textId="77777777" w:rsidR="00AB6E89" w:rsidRPr="00FE52F6" w:rsidRDefault="00AB6E89" w:rsidP="00E369E5">
                  <w:pPr>
                    <w:widowControl w:val="0"/>
                    <w:suppressAutoHyphens/>
                    <w:spacing w:after="0" w:line="240" w:lineRule="auto"/>
                    <w:rPr>
                      <w:rFonts w:eastAsia="Arial Unicode MS" w:cstheme="minorHAnsi"/>
                      <w:bCs/>
                      <w:kern w:val="1"/>
                      <w:sz w:val="12"/>
                      <w:szCs w:val="14"/>
                    </w:rPr>
                  </w:pPr>
                  <w:r w:rsidRPr="00FE52F6">
                    <w:rPr>
                      <w:rFonts w:eastAsia="Arial Unicode MS" w:cstheme="minorHAnsi"/>
                      <w:bCs/>
                      <w:kern w:val="1"/>
                      <w:sz w:val="12"/>
                      <w:szCs w:val="14"/>
                    </w:rPr>
                    <w:t>- Usługa przyjmowania deklaracji wstępnie wypełnionych</w:t>
                  </w:r>
                </w:p>
                <w:p w14:paraId="4A11FB5E" w14:textId="77777777" w:rsidR="00AB6E89" w:rsidRPr="00FE52F6" w:rsidRDefault="00AB6E89" w:rsidP="00E369E5">
                  <w:pPr>
                    <w:widowControl w:val="0"/>
                    <w:suppressAutoHyphens/>
                    <w:spacing w:after="0" w:line="240" w:lineRule="auto"/>
                    <w:rPr>
                      <w:rFonts w:eastAsia="Arial Unicode MS" w:cstheme="minorHAnsi"/>
                      <w:bCs/>
                      <w:kern w:val="1"/>
                      <w:sz w:val="12"/>
                      <w:szCs w:val="14"/>
                    </w:rPr>
                  </w:pPr>
                  <w:r w:rsidRPr="00FE52F6">
                    <w:rPr>
                      <w:rFonts w:eastAsia="Arial Unicode MS" w:cstheme="minorHAnsi"/>
                      <w:bCs/>
                      <w:kern w:val="1"/>
                      <w:sz w:val="12"/>
                      <w:szCs w:val="14"/>
                    </w:rPr>
                    <w:t>- Obsługa przyjmowania wniosku PIT WZ</w:t>
                  </w:r>
                </w:p>
                <w:p w14:paraId="2EE5140D" w14:textId="77777777" w:rsidR="00AB6E89" w:rsidRPr="00FE52F6" w:rsidRDefault="00AB6E89" w:rsidP="00E369E5">
                  <w:pPr>
                    <w:widowControl w:val="0"/>
                    <w:suppressAutoHyphens/>
                    <w:spacing w:after="0" w:line="240" w:lineRule="auto"/>
                    <w:rPr>
                      <w:rFonts w:eastAsia="Arial Unicode MS" w:cstheme="minorHAnsi"/>
                      <w:bCs/>
                      <w:kern w:val="1"/>
                      <w:sz w:val="12"/>
                      <w:szCs w:val="14"/>
                    </w:rPr>
                  </w:pPr>
                  <w:r w:rsidRPr="00FE52F6">
                    <w:rPr>
                      <w:rFonts w:eastAsia="Arial Unicode MS" w:cstheme="minorHAnsi"/>
                      <w:bCs/>
                      <w:kern w:val="1"/>
                      <w:sz w:val="12"/>
                      <w:szCs w:val="14"/>
                    </w:rPr>
                    <w:t>- Obsługa przyjmowania oświadczenia PIT-OP</w:t>
                  </w:r>
                </w:p>
                <w:p w14:paraId="253EF477" w14:textId="77777777" w:rsidR="00AB6E89" w:rsidRPr="00FE52F6" w:rsidRDefault="00AB6E89" w:rsidP="00E369E5">
                  <w:pPr>
                    <w:widowControl w:val="0"/>
                    <w:suppressAutoHyphens/>
                    <w:spacing w:after="0" w:line="240" w:lineRule="auto"/>
                    <w:rPr>
                      <w:rFonts w:eastAsia="Arial Unicode MS" w:cstheme="minorHAnsi"/>
                      <w:bCs/>
                      <w:kern w:val="1"/>
                      <w:sz w:val="12"/>
                      <w:szCs w:val="14"/>
                    </w:rPr>
                  </w:pPr>
                  <w:r w:rsidRPr="00FE52F6">
                    <w:rPr>
                      <w:rFonts w:eastAsia="Arial Unicode MS" w:cstheme="minorHAnsi"/>
                      <w:bCs/>
                      <w:kern w:val="1"/>
                      <w:sz w:val="12"/>
                      <w:szCs w:val="14"/>
                    </w:rPr>
                    <w:t xml:space="preserve">- Przyjmowanie w postaci elektronicznej sprawozdań finansowych </w:t>
                  </w:r>
                </w:p>
                <w:p w14:paraId="7B35467A" w14:textId="77777777" w:rsidR="00AB6E89" w:rsidRPr="00FE52F6" w:rsidRDefault="00AB6E89" w:rsidP="00E369E5">
                  <w:pPr>
                    <w:widowControl w:val="0"/>
                    <w:suppressAutoHyphens/>
                    <w:spacing w:after="0" w:line="240" w:lineRule="auto"/>
                    <w:rPr>
                      <w:rFonts w:eastAsia="Arial Unicode MS" w:cstheme="minorHAnsi"/>
                      <w:bCs/>
                      <w:kern w:val="1"/>
                      <w:sz w:val="12"/>
                      <w:szCs w:val="14"/>
                    </w:rPr>
                  </w:pPr>
                  <w:r w:rsidRPr="00FE52F6">
                    <w:rPr>
                      <w:rFonts w:eastAsia="Arial Unicode MS" w:cstheme="minorHAnsi"/>
                      <w:bCs/>
                      <w:kern w:val="1"/>
                      <w:sz w:val="12"/>
                      <w:szCs w:val="14"/>
                    </w:rPr>
                    <w:t>- Obsługa Rejestru Zastawów Skarbowych</w:t>
                  </w:r>
                </w:p>
                <w:p w14:paraId="45DDC0F0" w14:textId="77777777" w:rsidR="00AB6E89" w:rsidRPr="00FE52F6" w:rsidRDefault="00AB6E89" w:rsidP="00E369E5">
                  <w:pPr>
                    <w:widowControl w:val="0"/>
                    <w:suppressAutoHyphens/>
                    <w:spacing w:after="0" w:line="240" w:lineRule="auto"/>
                    <w:rPr>
                      <w:rFonts w:eastAsia="Arial Unicode MS" w:cstheme="minorHAnsi"/>
                      <w:bCs/>
                      <w:kern w:val="1"/>
                      <w:sz w:val="12"/>
                      <w:szCs w:val="14"/>
                    </w:rPr>
                  </w:pPr>
                  <w:r w:rsidRPr="00FE52F6">
                    <w:rPr>
                      <w:rFonts w:eastAsia="Arial Unicode MS" w:cstheme="minorHAnsi"/>
                      <w:bCs/>
                      <w:kern w:val="1"/>
                      <w:sz w:val="12"/>
                      <w:szCs w:val="14"/>
                    </w:rPr>
                    <w:t>- Obsługa Centralnego Rejestru Pełnomocnictw Ogólnych</w:t>
                  </w:r>
                </w:p>
                <w:p w14:paraId="673F9286" w14:textId="77777777" w:rsidR="00AB6E89" w:rsidRPr="00FE52F6" w:rsidRDefault="00AB6E89" w:rsidP="00E369E5">
                  <w:pPr>
                    <w:widowControl w:val="0"/>
                    <w:suppressAutoHyphens/>
                    <w:spacing w:after="0" w:line="240" w:lineRule="auto"/>
                    <w:rPr>
                      <w:rFonts w:eastAsia="Arial Unicode MS" w:cstheme="minorHAnsi"/>
                      <w:bCs/>
                      <w:kern w:val="1"/>
                      <w:sz w:val="12"/>
                      <w:szCs w:val="14"/>
                    </w:rPr>
                  </w:pPr>
                  <w:r w:rsidRPr="00FE52F6">
                    <w:rPr>
                      <w:rFonts w:eastAsia="Arial Unicode MS" w:cstheme="minorHAnsi"/>
                      <w:bCs/>
                      <w:kern w:val="1"/>
                      <w:sz w:val="12"/>
                      <w:szCs w:val="14"/>
                    </w:rPr>
                    <w:t>- Obsługa przyjmowania płatności za Mandaty</w:t>
                  </w:r>
                </w:p>
                <w:p w14:paraId="0CE508A2" w14:textId="77777777" w:rsidR="00AB6E89" w:rsidRPr="00FE52F6" w:rsidRDefault="00AB6E89" w:rsidP="00E369E5">
                  <w:pPr>
                    <w:widowControl w:val="0"/>
                    <w:suppressAutoHyphens/>
                    <w:spacing w:after="0" w:line="240" w:lineRule="auto"/>
                    <w:rPr>
                      <w:rFonts w:eastAsia="Arial Unicode MS" w:cstheme="minorHAnsi"/>
                      <w:bCs/>
                      <w:kern w:val="1"/>
                      <w:sz w:val="12"/>
                      <w:szCs w:val="14"/>
                    </w:rPr>
                  </w:pPr>
                  <w:r w:rsidRPr="00FE52F6">
                    <w:rPr>
                      <w:rFonts w:eastAsia="Arial Unicode MS" w:cstheme="minorHAnsi"/>
                      <w:bCs/>
                      <w:kern w:val="1"/>
                      <w:sz w:val="12"/>
                      <w:szCs w:val="14"/>
                    </w:rPr>
                    <w:t>- Elektroniczna weryfikacja dochodów beneficjentów pomocy społecznej (wersja 500+)</w:t>
                  </w:r>
                </w:p>
              </w:tc>
              <w:tc>
                <w:tcPr>
                  <w:tcW w:w="1170" w:type="dxa"/>
                </w:tcPr>
                <w:p w14:paraId="4988DC2F" w14:textId="77777777" w:rsidR="00AB6E89" w:rsidRPr="00FE52F6" w:rsidRDefault="00AB6E89" w:rsidP="00E369E5">
                  <w:pPr>
                    <w:widowControl w:val="0"/>
                    <w:suppressAutoHyphens/>
                    <w:spacing w:after="0" w:line="240" w:lineRule="auto"/>
                    <w:rPr>
                      <w:rFonts w:eastAsia="Arial Unicode MS" w:cstheme="minorHAnsi"/>
                      <w:bCs/>
                      <w:kern w:val="1"/>
                      <w:sz w:val="12"/>
                      <w:szCs w:val="14"/>
                    </w:rPr>
                  </w:pPr>
                  <w:r w:rsidRPr="00FE52F6">
                    <w:rPr>
                      <w:rFonts w:eastAsia="Arial Unicode MS" w:cstheme="minorHAnsi"/>
                      <w:bCs/>
                      <w:kern w:val="1"/>
                      <w:sz w:val="12"/>
                      <w:szCs w:val="14"/>
                    </w:rPr>
                    <w:t>liczebność tej grupy interesariuszy będzie zmieniać się w czasie. Finalnie usługa ta będzie dedykowana około 5 mln podmiotów.</w:t>
                  </w:r>
                </w:p>
              </w:tc>
              <w:tc>
                <w:tcPr>
                  <w:tcW w:w="1947" w:type="dxa"/>
                </w:tcPr>
                <w:p w14:paraId="2273CCCB" w14:textId="77777777" w:rsidR="00AB6E89" w:rsidRPr="00FE52F6" w:rsidRDefault="00AB6E89" w:rsidP="00E369E5">
                  <w:pPr>
                    <w:widowControl w:val="0"/>
                    <w:suppressAutoHyphens/>
                    <w:spacing w:after="0" w:line="240" w:lineRule="auto"/>
                    <w:rPr>
                      <w:rFonts w:eastAsia="Arial Unicode MS" w:cstheme="minorHAnsi"/>
                      <w:bCs/>
                      <w:kern w:val="1"/>
                      <w:sz w:val="12"/>
                      <w:szCs w:val="14"/>
                    </w:rPr>
                  </w:pPr>
                  <w:r w:rsidRPr="00FE52F6">
                    <w:rPr>
                      <w:rFonts w:eastAsia="Arial Unicode MS" w:cstheme="minorHAnsi"/>
                      <w:bCs/>
                      <w:kern w:val="1"/>
                      <w:sz w:val="12"/>
                      <w:szCs w:val="14"/>
                    </w:rPr>
                    <w:t xml:space="preserve">Zmniejszenie kosztów wypełniania obowiązków podatkowych. Możliwie wysoka efektywność komunikacji z administracja skarbową. </w:t>
                  </w:r>
                </w:p>
                <w:p w14:paraId="4F8459CB" w14:textId="77777777" w:rsidR="00AB6E89" w:rsidRPr="00FE52F6" w:rsidRDefault="00AB6E89" w:rsidP="00E369E5">
                  <w:pPr>
                    <w:widowControl w:val="0"/>
                    <w:suppressAutoHyphens/>
                    <w:spacing w:after="0" w:line="240" w:lineRule="auto"/>
                    <w:rPr>
                      <w:rFonts w:eastAsia="Arial Unicode MS" w:cstheme="minorHAnsi"/>
                      <w:bCs/>
                      <w:kern w:val="1"/>
                      <w:sz w:val="12"/>
                      <w:szCs w:val="14"/>
                    </w:rPr>
                  </w:pPr>
                  <w:r w:rsidRPr="00FE52F6">
                    <w:rPr>
                      <w:rFonts w:eastAsia="Arial Unicode MS" w:cstheme="minorHAnsi"/>
                      <w:bCs/>
                      <w:kern w:val="1"/>
                      <w:sz w:val="12"/>
                      <w:szCs w:val="14"/>
                    </w:rPr>
                    <w:t>Zmniejszenie pracochłonności i kosztów przetwarzania informacji/danych. Uproszczenie formularzy. Ograniczenie liczby składanych przez podatników deklaracji potwierdzających dane zawarte w innych rejestrach oraz wezwań podatników do jednostek KAS celem złożenia wyjaśnień.</w:t>
                  </w:r>
                </w:p>
                <w:p w14:paraId="2375969E" w14:textId="77777777" w:rsidR="00AB6E89" w:rsidRPr="00FE52F6" w:rsidRDefault="00AB6E89" w:rsidP="00E369E5">
                  <w:pPr>
                    <w:widowControl w:val="0"/>
                    <w:suppressAutoHyphens/>
                    <w:spacing w:after="0" w:line="240" w:lineRule="auto"/>
                    <w:rPr>
                      <w:rFonts w:eastAsia="Arial Unicode MS" w:cstheme="minorHAnsi"/>
                      <w:bCs/>
                      <w:kern w:val="1"/>
                      <w:sz w:val="12"/>
                      <w:szCs w:val="14"/>
                    </w:rPr>
                  </w:pPr>
                  <w:r w:rsidRPr="00FE52F6">
                    <w:rPr>
                      <w:rFonts w:eastAsia="Arial Unicode MS" w:cstheme="minorHAnsi"/>
                      <w:bCs/>
                      <w:kern w:val="1"/>
                      <w:sz w:val="12"/>
                      <w:szCs w:val="14"/>
                    </w:rPr>
                    <w:t>Rezygnacja z podawania w dokumentach wszystkich szczegółowych danych identyfikacyjnych w sytuacjach, gdy podatnik musi podać identyfikator podatkowy.</w:t>
                  </w:r>
                </w:p>
                <w:p w14:paraId="711FE504" w14:textId="77777777" w:rsidR="00AB6E89" w:rsidRPr="00FE52F6" w:rsidRDefault="00AB6E89" w:rsidP="00E369E5">
                  <w:pPr>
                    <w:widowControl w:val="0"/>
                    <w:suppressAutoHyphens/>
                    <w:spacing w:after="0" w:line="240" w:lineRule="auto"/>
                    <w:rPr>
                      <w:rFonts w:eastAsia="Arial Unicode MS" w:cstheme="minorHAnsi"/>
                      <w:bCs/>
                      <w:kern w:val="1"/>
                      <w:sz w:val="12"/>
                      <w:szCs w:val="14"/>
                    </w:rPr>
                  </w:pPr>
                  <w:r w:rsidRPr="00FE52F6">
                    <w:rPr>
                      <w:rFonts w:eastAsia="Arial Unicode MS" w:cstheme="minorHAnsi"/>
                      <w:bCs/>
                      <w:kern w:val="1"/>
                      <w:sz w:val="12"/>
                      <w:szCs w:val="14"/>
                    </w:rPr>
                    <w:t xml:space="preserve"> Współpraca systemów obsługi rozliczeń KAS z systemami finansowo-księgowymi dostępnymi na rynku, używanymi przez podatników.</w:t>
                  </w:r>
                </w:p>
              </w:tc>
              <w:tc>
                <w:tcPr>
                  <w:tcW w:w="1276" w:type="dxa"/>
                </w:tcPr>
                <w:p w14:paraId="6FA1BE71" w14:textId="77777777" w:rsidR="00E369E5" w:rsidRPr="00FE52F6" w:rsidRDefault="00E369E5" w:rsidP="00E369E5">
                  <w:pPr>
                    <w:widowControl w:val="0"/>
                    <w:suppressAutoHyphens/>
                    <w:spacing w:after="0" w:line="240" w:lineRule="auto"/>
                    <w:rPr>
                      <w:rFonts w:eastAsia="Arial Unicode MS" w:cstheme="minorHAnsi"/>
                      <w:bCs/>
                      <w:kern w:val="1"/>
                      <w:sz w:val="12"/>
                      <w:szCs w:val="14"/>
                    </w:rPr>
                  </w:pPr>
                  <w:r w:rsidRPr="00FE52F6">
                    <w:rPr>
                      <w:rFonts w:eastAsia="Arial Unicode MS" w:cstheme="minorHAnsi"/>
                      <w:bCs/>
                      <w:kern w:val="1"/>
                      <w:sz w:val="12"/>
                      <w:szCs w:val="14"/>
                    </w:rPr>
                    <w:t xml:space="preserve">monitorowanie usług elektronicznych, w tym liczby i rodzaju transakcji na nich przeprowadzonych. W wyniku zastosowania metody uzyskano statystyki analogiczne do obecnie świadczonych usług przedkładania deklaracji (por. </w:t>
                  </w:r>
                  <w:hyperlink r:id="rId10" w:history="1">
                    <w:r w:rsidRPr="00FE52F6">
                      <w:rPr>
                        <w:rStyle w:val="Hipercze"/>
                        <w:rFonts w:eastAsia="Arial Unicode MS" w:cstheme="minorHAnsi"/>
                        <w:bCs/>
                        <w:kern w:val="1"/>
                        <w:sz w:val="12"/>
                        <w:szCs w:val="14"/>
                      </w:rPr>
                      <w:t>http://www.epodatki.mf.gov.pl/projekt-e-deklaracje-2/statystyka</w:t>
                    </w:r>
                  </w:hyperlink>
                  <w:r w:rsidRPr="00FE52F6">
                    <w:rPr>
                      <w:rFonts w:eastAsia="Arial Unicode MS" w:cstheme="minorHAnsi"/>
                      <w:bCs/>
                      <w:kern w:val="1"/>
                      <w:sz w:val="12"/>
                      <w:szCs w:val="14"/>
                    </w:rPr>
                    <w:t xml:space="preserve">). </w:t>
                  </w:r>
                </w:p>
                <w:p w14:paraId="2B13D5C9" w14:textId="77777777" w:rsidR="00E369E5" w:rsidRPr="00FE52F6" w:rsidRDefault="00E369E5" w:rsidP="00FE52F6">
                  <w:pPr>
                    <w:widowControl w:val="0"/>
                    <w:suppressAutoHyphens/>
                    <w:spacing w:after="0" w:line="240" w:lineRule="auto"/>
                    <w:rPr>
                      <w:rFonts w:eastAsia="Arial Unicode MS" w:cstheme="minorHAnsi"/>
                      <w:bCs/>
                      <w:kern w:val="1"/>
                      <w:sz w:val="12"/>
                      <w:szCs w:val="14"/>
                    </w:rPr>
                  </w:pPr>
                  <w:r w:rsidRPr="00FE52F6">
                    <w:rPr>
                      <w:rFonts w:eastAsia="Arial Unicode MS" w:cstheme="minorHAnsi"/>
                      <w:bCs/>
                      <w:kern w:val="1"/>
                      <w:sz w:val="12"/>
                      <w:szCs w:val="14"/>
                    </w:rPr>
                    <w:t>Statystyki udostępniane będą w</w:t>
                  </w:r>
                  <w:r w:rsidR="00FE52F6">
                    <w:rPr>
                      <w:rFonts w:eastAsia="Arial Unicode MS" w:cstheme="minorHAnsi"/>
                      <w:bCs/>
                      <w:kern w:val="1"/>
                      <w:sz w:val="12"/>
                      <w:szCs w:val="14"/>
                    </w:rPr>
                    <w:t> </w:t>
                  </w:r>
                  <w:r w:rsidRPr="00FE52F6">
                    <w:rPr>
                      <w:rFonts w:eastAsia="Arial Unicode MS" w:cstheme="minorHAnsi"/>
                      <w:bCs/>
                      <w:kern w:val="1"/>
                      <w:sz w:val="12"/>
                      <w:szCs w:val="14"/>
                    </w:rPr>
                    <w:t xml:space="preserve">cyklu półrocznym na: </w:t>
                  </w:r>
                  <w:hyperlink r:id="rId11" w:history="1">
                    <w:r w:rsidRPr="00FE52F6">
                      <w:rPr>
                        <w:rStyle w:val="Hipercze"/>
                        <w:rFonts w:eastAsia="Arial Unicode MS" w:cstheme="minorHAnsi"/>
                        <w:bCs/>
                        <w:kern w:val="1"/>
                        <w:sz w:val="12"/>
                        <w:szCs w:val="14"/>
                      </w:rPr>
                      <w:t>http://www.epodatki.mf.gov.pl/</w:t>
                    </w:r>
                  </w:hyperlink>
                  <w:r w:rsidRPr="00FE52F6">
                    <w:rPr>
                      <w:rFonts w:eastAsia="Arial Unicode MS" w:cstheme="minorHAnsi"/>
                      <w:bCs/>
                      <w:kern w:val="1"/>
                      <w:sz w:val="12"/>
                      <w:szCs w:val="14"/>
                    </w:rPr>
                    <w:t xml:space="preserve"> </w:t>
                  </w:r>
                </w:p>
              </w:tc>
            </w:tr>
          </w:tbl>
          <w:p w14:paraId="398D3FB4" w14:textId="77777777" w:rsidR="00AB6E89" w:rsidRPr="00DC2637" w:rsidRDefault="00AB6E89" w:rsidP="00BC120E">
            <w:pPr>
              <w:jc w:val="both"/>
              <w:rPr>
                <w:rFonts w:cstheme="minorHAnsi"/>
                <w:i/>
                <w:sz w:val="18"/>
                <w:szCs w:val="20"/>
              </w:rPr>
            </w:pPr>
          </w:p>
        </w:tc>
      </w:tr>
      <w:tr w:rsidR="00F82254" w:rsidRPr="00DC2637" w14:paraId="51C68423" w14:textId="77777777" w:rsidTr="00E369E5">
        <w:tc>
          <w:tcPr>
            <w:tcW w:w="480" w:type="dxa"/>
          </w:tcPr>
          <w:p w14:paraId="5757A8FD" w14:textId="77777777" w:rsidR="00F82254" w:rsidRPr="00DC2637" w:rsidRDefault="00F82254" w:rsidP="0058262E">
            <w:pPr>
              <w:pStyle w:val="Akapitzlist"/>
              <w:numPr>
                <w:ilvl w:val="0"/>
                <w:numId w:val="1"/>
              </w:numPr>
              <w:rPr>
                <w:rFonts w:cstheme="minorHAnsi"/>
                <w:sz w:val="18"/>
                <w:szCs w:val="20"/>
              </w:rPr>
            </w:pPr>
          </w:p>
        </w:tc>
        <w:tc>
          <w:tcPr>
            <w:tcW w:w="2350" w:type="dxa"/>
          </w:tcPr>
          <w:p w14:paraId="58FAD0D8" w14:textId="77777777" w:rsidR="00F82254" w:rsidRPr="00DC2637" w:rsidRDefault="00F82254" w:rsidP="00F82254">
            <w:pPr>
              <w:rPr>
                <w:rFonts w:cstheme="minorHAnsi"/>
                <w:sz w:val="18"/>
                <w:szCs w:val="20"/>
              </w:rPr>
            </w:pPr>
            <w:r w:rsidRPr="00DC2637">
              <w:rPr>
                <w:rFonts w:cstheme="minorHAnsi"/>
                <w:sz w:val="18"/>
                <w:szCs w:val="20"/>
              </w:rPr>
              <w:t>E-usługi i rejestry z jakimi zintegrował się wytworzony system w ramach realizacji projektu</w:t>
            </w:r>
          </w:p>
        </w:tc>
        <w:tc>
          <w:tcPr>
            <w:tcW w:w="6232" w:type="dxa"/>
          </w:tcPr>
          <w:p w14:paraId="292ACDA1" w14:textId="77777777" w:rsidR="00914324" w:rsidRDefault="00914324" w:rsidP="00DB70A5">
            <w:pPr>
              <w:jc w:val="both"/>
              <w:rPr>
                <w:rFonts w:cstheme="minorHAnsi"/>
                <w:i/>
                <w:sz w:val="14"/>
                <w:szCs w:val="18"/>
              </w:rPr>
            </w:pPr>
            <w:r w:rsidRPr="00BE3BD1">
              <w:rPr>
                <w:rFonts w:cstheme="minorHAnsi"/>
                <w:i/>
                <w:sz w:val="14"/>
                <w:szCs w:val="18"/>
              </w:rPr>
              <w:t xml:space="preserve">W ramach zadania ‘Cyfryzacja sprawozdań finansowych’ nastąpiła integracja z Krajowym Rejestrem Skarbowym w celu przekazywania sprawozdań finansowych składanych </w:t>
            </w:r>
            <w:r w:rsidR="009A7C3F">
              <w:rPr>
                <w:rFonts w:cstheme="minorHAnsi"/>
                <w:i/>
                <w:sz w:val="14"/>
                <w:szCs w:val="18"/>
              </w:rPr>
              <w:t xml:space="preserve">przez podmioty związane do ich złożenia do KRS. Za pośrednictwem KRS trafiają one do Centralnego Rejestru Danych Podatkowych (CRDP), którego właścicielem jest Szef Krajowej Administracji Skarbowej. Udostępniona usługa to usługa typu A2A. Utrzymanie usługi realizowane będzie w ramach resortu finansów. </w:t>
            </w:r>
          </w:p>
          <w:p w14:paraId="6A1F6730" w14:textId="77777777" w:rsidR="00F82254" w:rsidRPr="00BE3BD1" w:rsidRDefault="009A7C3F" w:rsidP="009A7C3F">
            <w:pPr>
              <w:jc w:val="both"/>
              <w:rPr>
                <w:rFonts w:cstheme="minorHAnsi"/>
                <w:bCs/>
                <w:i/>
                <w:sz w:val="14"/>
                <w:szCs w:val="20"/>
              </w:rPr>
            </w:pPr>
            <w:r>
              <w:rPr>
                <w:rFonts w:cstheme="minorHAnsi"/>
                <w:i/>
                <w:sz w:val="14"/>
                <w:szCs w:val="18"/>
              </w:rPr>
              <w:t>W ramach ‘</w:t>
            </w:r>
            <w:r w:rsidRPr="009A7C3F">
              <w:rPr>
                <w:rFonts w:cstheme="minorHAnsi"/>
                <w:i/>
                <w:sz w:val="14"/>
                <w:szCs w:val="18"/>
              </w:rPr>
              <w:t>Elektroniczna weryfikacja dochodów beneficjentów pomocy społecznej (wersja 500+)</w:t>
            </w:r>
            <w:r>
              <w:rPr>
                <w:rFonts w:cstheme="minorHAnsi"/>
                <w:i/>
                <w:sz w:val="14"/>
                <w:szCs w:val="18"/>
              </w:rPr>
              <w:t>’ dane o dochodach, których właścicielem jest Szef Krajowej Administracji Skarbowej udostępniono jednostkom podległym Ministrowi Rodziny, Pracy i Polityki Społecznej (system Empatia). Udostępniona usługa to usługa typu A2A. Utrzymanie usługi realizowane będzie w ramach resortu finansów.</w:t>
            </w:r>
          </w:p>
        </w:tc>
      </w:tr>
      <w:tr w:rsidR="007C54F9" w:rsidRPr="00DC2637" w14:paraId="613021C1" w14:textId="77777777" w:rsidTr="00E369E5">
        <w:tc>
          <w:tcPr>
            <w:tcW w:w="480" w:type="dxa"/>
          </w:tcPr>
          <w:p w14:paraId="47C81B8A" w14:textId="77777777" w:rsidR="007C54F9" w:rsidRPr="00DC2637" w:rsidRDefault="007C54F9" w:rsidP="0058262E">
            <w:pPr>
              <w:pStyle w:val="Akapitzlist"/>
              <w:numPr>
                <w:ilvl w:val="0"/>
                <w:numId w:val="1"/>
              </w:numPr>
              <w:rPr>
                <w:rFonts w:cstheme="minorHAnsi"/>
                <w:sz w:val="18"/>
                <w:szCs w:val="20"/>
              </w:rPr>
            </w:pPr>
          </w:p>
        </w:tc>
        <w:tc>
          <w:tcPr>
            <w:tcW w:w="2350" w:type="dxa"/>
          </w:tcPr>
          <w:p w14:paraId="62D55B64" w14:textId="77777777" w:rsidR="007C54F9" w:rsidRPr="00DC2637" w:rsidRDefault="003B7BD6" w:rsidP="007C54F9">
            <w:pPr>
              <w:rPr>
                <w:rFonts w:cstheme="minorHAnsi"/>
                <w:sz w:val="18"/>
                <w:szCs w:val="20"/>
              </w:rPr>
            </w:pPr>
            <w:r w:rsidRPr="00DC2637">
              <w:rPr>
                <w:rFonts w:cstheme="minorHAnsi"/>
                <w:sz w:val="18"/>
                <w:szCs w:val="20"/>
              </w:rPr>
              <w:t>Zapewnienie utrzymania projektu (w okresie trwałości)</w:t>
            </w:r>
          </w:p>
        </w:tc>
        <w:tc>
          <w:tcPr>
            <w:tcW w:w="6232" w:type="dxa"/>
          </w:tcPr>
          <w:p w14:paraId="2E1FF880" w14:textId="77777777" w:rsidR="00662B1B" w:rsidRPr="00662B1B" w:rsidRDefault="00662B1B" w:rsidP="00662B1B">
            <w:pPr>
              <w:jc w:val="both"/>
              <w:rPr>
                <w:rFonts w:cstheme="minorHAnsi"/>
                <w:bCs/>
                <w:i/>
                <w:sz w:val="14"/>
                <w:szCs w:val="20"/>
              </w:rPr>
            </w:pPr>
            <w:r w:rsidRPr="00662B1B">
              <w:rPr>
                <w:rFonts w:cstheme="minorHAnsi"/>
                <w:bCs/>
                <w:i/>
                <w:sz w:val="14"/>
                <w:szCs w:val="20"/>
              </w:rPr>
              <w:t>W celu zapewnienia trwałości efektów po zakończeniu realizacji projektu, zostaną zastosowane następujące mechanizmy:</w:t>
            </w:r>
          </w:p>
          <w:p w14:paraId="1B8D12EE" w14:textId="77777777" w:rsidR="00662B1B" w:rsidRPr="00662B1B" w:rsidRDefault="00662B1B" w:rsidP="00662B1B">
            <w:pPr>
              <w:jc w:val="both"/>
              <w:rPr>
                <w:rFonts w:cstheme="minorHAnsi"/>
                <w:bCs/>
                <w:i/>
                <w:sz w:val="14"/>
                <w:szCs w:val="20"/>
              </w:rPr>
            </w:pPr>
            <w:r>
              <w:rPr>
                <w:rFonts w:cstheme="minorHAnsi"/>
                <w:bCs/>
                <w:i/>
                <w:sz w:val="14"/>
                <w:szCs w:val="20"/>
              </w:rPr>
              <w:t xml:space="preserve">1. </w:t>
            </w:r>
            <w:r w:rsidRPr="00662B1B">
              <w:rPr>
                <w:rFonts w:cstheme="minorHAnsi"/>
                <w:bCs/>
                <w:i/>
                <w:sz w:val="14"/>
                <w:szCs w:val="20"/>
              </w:rPr>
              <w:t>W zakresie trwałości organizacyjnej – w ramach realizacji projektu zostaną przeprowadzone szkolenia dla kadr zajmujących się utrzymaniem produktów projektu, w zakresie utrzymania technicznego, ale również zapewnienia możliwości rozwoju w celu zapewnienia zgodności ze zmianami (np. prawnymi) w</w:t>
            </w:r>
            <w:r>
              <w:rPr>
                <w:rFonts w:cstheme="minorHAnsi"/>
                <w:bCs/>
                <w:i/>
                <w:sz w:val="14"/>
                <w:szCs w:val="20"/>
              </w:rPr>
              <w:t> </w:t>
            </w:r>
            <w:r w:rsidRPr="00662B1B">
              <w:rPr>
                <w:rFonts w:cstheme="minorHAnsi"/>
                <w:bCs/>
                <w:i/>
                <w:sz w:val="14"/>
                <w:szCs w:val="20"/>
              </w:rPr>
              <w:t xml:space="preserve">otoczeniu Beneficjenta. Beneficjent w chwili obecnej dysponuje już szerokim gronem pracowników realizujących podobne projekty (np. projekty </w:t>
            </w:r>
            <w:r w:rsidR="00AB6544">
              <w:rPr>
                <w:rFonts w:cstheme="minorHAnsi"/>
                <w:bCs/>
                <w:i/>
                <w:sz w:val="14"/>
                <w:szCs w:val="20"/>
              </w:rPr>
              <w:t>P</w:t>
            </w:r>
            <w:r w:rsidRPr="00662B1B">
              <w:rPr>
                <w:rFonts w:cstheme="minorHAnsi"/>
                <w:bCs/>
                <w:i/>
                <w:sz w:val="14"/>
                <w:szCs w:val="20"/>
              </w:rPr>
              <w:t>rogramu e-Podatki), dzięki któremu zapewnienie niezbędnych kadr nie powinno stanowić problemu i ze względu na liczbę osób zaangażowanych w projekt nie ma ryzyka szybkiej utraty pracowników niezbędnych do zapewnienia trwałości produktów projektu.</w:t>
            </w:r>
          </w:p>
          <w:p w14:paraId="0E1BF26E" w14:textId="1F2ECDD7" w:rsidR="007C54F9" w:rsidRPr="00BE3BD1" w:rsidRDefault="00662B1B" w:rsidP="00E65827">
            <w:pPr>
              <w:jc w:val="both"/>
              <w:rPr>
                <w:rFonts w:cstheme="minorHAnsi"/>
                <w:bCs/>
                <w:i/>
                <w:sz w:val="14"/>
                <w:szCs w:val="20"/>
              </w:rPr>
            </w:pPr>
            <w:r>
              <w:rPr>
                <w:rFonts w:cstheme="minorHAnsi"/>
                <w:bCs/>
                <w:i/>
                <w:sz w:val="14"/>
                <w:szCs w:val="20"/>
              </w:rPr>
              <w:t xml:space="preserve">2. </w:t>
            </w:r>
            <w:r w:rsidRPr="00662B1B">
              <w:rPr>
                <w:rFonts w:cstheme="minorHAnsi"/>
                <w:bCs/>
                <w:i/>
                <w:sz w:val="14"/>
                <w:szCs w:val="20"/>
              </w:rPr>
              <w:t>W zakresie trwałości finansowej – Beneficjent jest jednostką sektora publicznego i w związku z tym zapewni finansowanie utrzymania produktów projektu ze środków budżetu państwa.</w:t>
            </w:r>
            <w:r>
              <w:rPr>
                <w:rFonts w:cstheme="minorHAnsi"/>
                <w:bCs/>
                <w:i/>
                <w:sz w:val="14"/>
                <w:szCs w:val="20"/>
              </w:rPr>
              <w:t xml:space="preserve"> </w:t>
            </w:r>
            <w:r w:rsidR="00292A5B" w:rsidRPr="00292A5B">
              <w:rPr>
                <w:rFonts w:cstheme="minorHAnsi"/>
                <w:bCs/>
                <w:i/>
                <w:sz w:val="14"/>
                <w:szCs w:val="20"/>
              </w:rPr>
              <w:t>Prognozowane koszty utrzymania produktów projektu w okresie odniesienia tj. do roku 2025 to 8.197.627,</w:t>
            </w:r>
            <w:r w:rsidR="00E65827">
              <w:rPr>
                <w:rFonts w:cstheme="minorHAnsi"/>
                <w:bCs/>
                <w:i/>
                <w:sz w:val="14"/>
                <w:szCs w:val="20"/>
              </w:rPr>
              <w:t>19</w:t>
            </w:r>
            <w:r w:rsidR="00292A5B" w:rsidRPr="00292A5B">
              <w:rPr>
                <w:rFonts w:cstheme="minorHAnsi"/>
                <w:bCs/>
                <w:i/>
                <w:sz w:val="14"/>
                <w:szCs w:val="20"/>
              </w:rPr>
              <w:t xml:space="preserve"> PLN.</w:t>
            </w:r>
            <w:r w:rsidR="00292A5B">
              <w:rPr>
                <w:rFonts w:cstheme="minorHAnsi"/>
                <w:bCs/>
                <w:i/>
                <w:sz w:val="14"/>
                <w:szCs w:val="20"/>
              </w:rPr>
              <w:t xml:space="preserve"> Przedmiotowe środki </w:t>
            </w:r>
            <w:r w:rsidR="00292A5B" w:rsidRPr="00FB58CF">
              <w:rPr>
                <w:rFonts w:cstheme="minorHAnsi"/>
                <w:bCs/>
                <w:i/>
                <w:sz w:val="14"/>
                <w:szCs w:val="20"/>
              </w:rPr>
              <w:t>na utrzymanie projektu w okresie jego trwałości będą zabezpieczone z budżetu państwa</w:t>
            </w:r>
            <w:r w:rsidR="00292A5B">
              <w:rPr>
                <w:rFonts w:cstheme="minorHAnsi"/>
                <w:bCs/>
                <w:i/>
                <w:sz w:val="14"/>
                <w:szCs w:val="20"/>
              </w:rPr>
              <w:t xml:space="preserve">. </w:t>
            </w:r>
          </w:p>
        </w:tc>
      </w:tr>
      <w:tr w:rsidR="009D3D41" w:rsidRPr="00DC2637" w14:paraId="4B71D72B" w14:textId="77777777" w:rsidTr="00E369E5">
        <w:tc>
          <w:tcPr>
            <w:tcW w:w="480" w:type="dxa"/>
          </w:tcPr>
          <w:p w14:paraId="0E8BC102" w14:textId="77777777" w:rsidR="009D3D41" w:rsidRPr="00DC2637" w:rsidRDefault="009D3D41" w:rsidP="0058262E">
            <w:pPr>
              <w:pStyle w:val="Akapitzlist"/>
              <w:numPr>
                <w:ilvl w:val="0"/>
                <w:numId w:val="1"/>
              </w:numPr>
              <w:rPr>
                <w:rFonts w:cstheme="minorHAnsi"/>
                <w:sz w:val="18"/>
                <w:szCs w:val="20"/>
              </w:rPr>
            </w:pPr>
          </w:p>
        </w:tc>
        <w:tc>
          <w:tcPr>
            <w:tcW w:w="2350" w:type="dxa"/>
          </w:tcPr>
          <w:p w14:paraId="22781FAD" w14:textId="77777777" w:rsidR="009D3D41" w:rsidRPr="00DC2637" w:rsidRDefault="009D3D41" w:rsidP="007E6098">
            <w:pPr>
              <w:rPr>
                <w:rFonts w:cstheme="minorHAnsi"/>
                <w:sz w:val="18"/>
                <w:szCs w:val="20"/>
              </w:rPr>
            </w:pPr>
            <w:r w:rsidRPr="00DC2637">
              <w:rPr>
                <w:rFonts w:cstheme="minorHAnsi"/>
                <w:sz w:val="18"/>
                <w:szCs w:val="20"/>
              </w:rPr>
              <w:t>Doświadczenia związane z realizacją projektu</w:t>
            </w:r>
          </w:p>
        </w:tc>
        <w:tc>
          <w:tcPr>
            <w:tcW w:w="6232" w:type="dxa"/>
          </w:tcPr>
          <w:tbl>
            <w:tblPr>
              <w:tblStyle w:val="Jasnecieniowanie"/>
              <w:tblW w:w="59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7"/>
              <w:gridCol w:w="2718"/>
              <w:gridCol w:w="567"/>
              <w:gridCol w:w="1701"/>
            </w:tblGrid>
            <w:tr w:rsidR="008F6B23" w:rsidRPr="00EF49F3" w14:paraId="219187D4" w14:textId="77777777" w:rsidTr="00677D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7" w:type="dxa"/>
                  <w:tcBorders>
                    <w:top w:val="none" w:sz="0" w:space="0" w:color="auto"/>
                    <w:left w:val="none" w:sz="0" w:space="0" w:color="auto"/>
                    <w:bottom w:val="none" w:sz="0" w:space="0" w:color="auto"/>
                    <w:right w:val="none" w:sz="0" w:space="0" w:color="auto"/>
                  </w:tcBorders>
                  <w:shd w:val="clear" w:color="auto" w:fill="auto"/>
                </w:tcPr>
                <w:p w14:paraId="7564014B" w14:textId="77777777" w:rsidR="008F6B23" w:rsidRPr="00C823C5" w:rsidRDefault="008F6B23" w:rsidP="008F6B23">
                  <w:pPr>
                    <w:rPr>
                      <w:rFonts w:cstheme="minorHAnsi"/>
                      <w:sz w:val="12"/>
                      <w:szCs w:val="12"/>
                    </w:rPr>
                  </w:pPr>
                  <w:r w:rsidRPr="00C823C5">
                    <w:rPr>
                      <w:rFonts w:cstheme="minorHAnsi"/>
                      <w:sz w:val="12"/>
                      <w:szCs w:val="12"/>
                    </w:rPr>
                    <w:t>Tytuł</w:t>
                  </w:r>
                </w:p>
              </w:tc>
              <w:tc>
                <w:tcPr>
                  <w:tcW w:w="2718" w:type="dxa"/>
                  <w:tcBorders>
                    <w:top w:val="none" w:sz="0" w:space="0" w:color="auto"/>
                    <w:left w:val="none" w:sz="0" w:space="0" w:color="auto"/>
                    <w:bottom w:val="none" w:sz="0" w:space="0" w:color="auto"/>
                    <w:right w:val="none" w:sz="0" w:space="0" w:color="auto"/>
                  </w:tcBorders>
                  <w:shd w:val="clear" w:color="auto" w:fill="auto"/>
                </w:tcPr>
                <w:p w14:paraId="18928519" w14:textId="77777777" w:rsidR="008F6B23" w:rsidRPr="00C823C5" w:rsidRDefault="008F6B23" w:rsidP="008F6B23">
                  <w:pPr>
                    <w:cnfStyle w:val="100000000000" w:firstRow="1" w:lastRow="0" w:firstColumn="0" w:lastColumn="0" w:oddVBand="0" w:evenVBand="0" w:oddHBand="0" w:evenHBand="0" w:firstRowFirstColumn="0" w:firstRowLastColumn="0" w:lastRowFirstColumn="0" w:lastRowLastColumn="0"/>
                    <w:rPr>
                      <w:rFonts w:cstheme="minorHAnsi"/>
                      <w:sz w:val="12"/>
                      <w:szCs w:val="12"/>
                    </w:rPr>
                  </w:pPr>
                  <w:r w:rsidRPr="00C823C5">
                    <w:rPr>
                      <w:rFonts w:cstheme="minorHAnsi"/>
                      <w:sz w:val="12"/>
                      <w:szCs w:val="12"/>
                    </w:rPr>
                    <w:t>Opis zdarzenia</w:t>
                  </w:r>
                </w:p>
              </w:tc>
              <w:tc>
                <w:tcPr>
                  <w:tcW w:w="567" w:type="dxa"/>
                  <w:tcBorders>
                    <w:top w:val="none" w:sz="0" w:space="0" w:color="auto"/>
                    <w:left w:val="none" w:sz="0" w:space="0" w:color="auto"/>
                    <w:bottom w:val="none" w:sz="0" w:space="0" w:color="auto"/>
                    <w:right w:val="none" w:sz="0" w:space="0" w:color="auto"/>
                  </w:tcBorders>
                  <w:shd w:val="clear" w:color="auto" w:fill="auto"/>
                </w:tcPr>
                <w:p w14:paraId="4808C475" w14:textId="77777777" w:rsidR="008F6B23" w:rsidRPr="00C823C5" w:rsidRDefault="008F6B23" w:rsidP="008F6B23">
                  <w:pPr>
                    <w:cnfStyle w:val="100000000000" w:firstRow="1" w:lastRow="0" w:firstColumn="0" w:lastColumn="0" w:oddVBand="0" w:evenVBand="0" w:oddHBand="0" w:evenHBand="0" w:firstRowFirstColumn="0" w:firstRowLastColumn="0" w:lastRowFirstColumn="0" w:lastRowLastColumn="0"/>
                    <w:rPr>
                      <w:rFonts w:cstheme="minorHAnsi"/>
                      <w:bCs w:val="0"/>
                      <w:sz w:val="12"/>
                      <w:szCs w:val="12"/>
                    </w:rPr>
                  </w:pPr>
                  <w:r w:rsidRPr="00C823C5">
                    <w:rPr>
                      <w:rFonts w:cstheme="minorHAnsi"/>
                      <w:sz w:val="12"/>
                      <w:szCs w:val="12"/>
                    </w:rPr>
                    <w:t>Wpływ</w:t>
                  </w:r>
                </w:p>
                <w:p w14:paraId="13659512" w14:textId="77777777" w:rsidR="008F6B23" w:rsidRPr="00C823C5" w:rsidRDefault="008F6B23" w:rsidP="008F6B23">
                  <w:pPr>
                    <w:cnfStyle w:val="100000000000" w:firstRow="1" w:lastRow="0" w:firstColumn="0" w:lastColumn="0" w:oddVBand="0" w:evenVBand="0" w:oddHBand="0" w:evenHBand="0" w:firstRowFirstColumn="0" w:firstRowLastColumn="0" w:lastRowFirstColumn="0" w:lastRowLastColumn="0"/>
                    <w:rPr>
                      <w:rFonts w:cstheme="minorHAnsi"/>
                      <w:sz w:val="12"/>
                      <w:szCs w:val="12"/>
                    </w:rPr>
                  </w:pPr>
                </w:p>
              </w:tc>
              <w:tc>
                <w:tcPr>
                  <w:tcW w:w="1701" w:type="dxa"/>
                  <w:tcBorders>
                    <w:top w:val="none" w:sz="0" w:space="0" w:color="auto"/>
                    <w:left w:val="none" w:sz="0" w:space="0" w:color="auto"/>
                    <w:bottom w:val="none" w:sz="0" w:space="0" w:color="auto"/>
                    <w:right w:val="none" w:sz="0" w:space="0" w:color="auto"/>
                  </w:tcBorders>
                  <w:shd w:val="clear" w:color="auto" w:fill="auto"/>
                </w:tcPr>
                <w:p w14:paraId="3B14A1D7" w14:textId="77777777" w:rsidR="008F6B23" w:rsidRPr="00C823C5" w:rsidRDefault="008F6B23" w:rsidP="008F6B23">
                  <w:pPr>
                    <w:cnfStyle w:val="100000000000" w:firstRow="1" w:lastRow="0" w:firstColumn="0" w:lastColumn="0" w:oddVBand="0" w:evenVBand="0" w:oddHBand="0" w:evenHBand="0" w:firstRowFirstColumn="0" w:firstRowLastColumn="0" w:lastRowFirstColumn="0" w:lastRowLastColumn="0"/>
                    <w:rPr>
                      <w:rFonts w:cstheme="minorHAnsi"/>
                      <w:sz w:val="12"/>
                      <w:szCs w:val="12"/>
                    </w:rPr>
                  </w:pPr>
                  <w:r w:rsidRPr="00C823C5">
                    <w:rPr>
                      <w:rFonts w:cstheme="minorHAnsi"/>
                      <w:sz w:val="12"/>
                      <w:szCs w:val="12"/>
                    </w:rPr>
                    <w:t>Wnioski, doświadczenia</w:t>
                  </w:r>
                </w:p>
              </w:tc>
            </w:tr>
            <w:tr w:rsidR="00EF49F3" w:rsidRPr="00EF49F3" w14:paraId="12A02EEF" w14:textId="77777777" w:rsidTr="00677DC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7" w:type="dxa"/>
                  <w:tcBorders>
                    <w:left w:val="none" w:sz="0" w:space="0" w:color="auto"/>
                    <w:right w:val="none" w:sz="0" w:space="0" w:color="auto"/>
                  </w:tcBorders>
                  <w:shd w:val="clear" w:color="auto" w:fill="auto"/>
                </w:tcPr>
                <w:p w14:paraId="671497DF" w14:textId="77777777" w:rsidR="00E65738" w:rsidRPr="00EF49F3" w:rsidRDefault="00380DF8" w:rsidP="00677DC4">
                  <w:pPr>
                    <w:rPr>
                      <w:rFonts w:cstheme="minorHAnsi"/>
                      <w:b w:val="0"/>
                      <w:sz w:val="12"/>
                      <w:szCs w:val="12"/>
                    </w:rPr>
                  </w:pPr>
                  <w:r>
                    <w:rPr>
                      <w:rFonts w:cstheme="minorHAnsi"/>
                      <w:b w:val="0"/>
                      <w:sz w:val="12"/>
                      <w:szCs w:val="12"/>
                    </w:rPr>
                    <w:t>Problemy Wykonawcy z podwykonawcami</w:t>
                  </w:r>
                  <w:r w:rsidR="00E65738">
                    <w:rPr>
                      <w:rFonts w:cstheme="minorHAnsi"/>
                      <w:b w:val="0"/>
                      <w:sz w:val="12"/>
                      <w:szCs w:val="12"/>
                    </w:rPr>
                    <w:t xml:space="preserve"> skutkują </w:t>
                  </w:r>
                  <w:r w:rsidR="00677DC4">
                    <w:rPr>
                      <w:rFonts w:cstheme="minorHAnsi"/>
                      <w:b w:val="0"/>
                      <w:sz w:val="12"/>
                      <w:szCs w:val="12"/>
                    </w:rPr>
                    <w:t>opóźnieniami w</w:t>
                  </w:r>
                  <w:r w:rsidR="00E65738">
                    <w:rPr>
                      <w:rFonts w:cstheme="minorHAnsi"/>
                      <w:b w:val="0"/>
                      <w:sz w:val="12"/>
                      <w:szCs w:val="12"/>
                    </w:rPr>
                    <w:t xml:space="preserve"> </w:t>
                  </w:r>
                  <w:r w:rsidR="00677DC4">
                    <w:rPr>
                      <w:rFonts w:cstheme="minorHAnsi"/>
                      <w:b w:val="0"/>
                      <w:sz w:val="12"/>
                      <w:szCs w:val="12"/>
                    </w:rPr>
                    <w:t>realizacji projektu i/lub zmianą zakresu</w:t>
                  </w:r>
                </w:p>
              </w:tc>
              <w:tc>
                <w:tcPr>
                  <w:tcW w:w="2718" w:type="dxa"/>
                  <w:tcBorders>
                    <w:left w:val="none" w:sz="0" w:space="0" w:color="auto"/>
                    <w:right w:val="none" w:sz="0" w:space="0" w:color="auto"/>
                  </w:tcBorders>
                  <w:shd w:val="clear" w:color="auto" w:fill="auto"/>
                </w:tcPr>
                <w:p w14:paraId="1C132745" w14:textId="77777777" w:rsidR="00EF49F3" w:rsidRPr="00EF49F3" w:rsidRDefault="00380DF8" w:rsidP="008F6B23">
                  <w:pPr>
                    <w:cnfStyle w:val="000000100000" w:firstRow="0" w:lastRow="0" w:firstColumn="0" w:lastColumn="0" w:oddVBand="0" w:evenVBand="0" w:oddHBand="1" w:evenHBand="0" w:firstRowFirstColumn="0" w:firstRowLastColumn="0" w:lastRowFirstColumn="0" w:lastRowLastColumn="0"/>
                    <w:rPr>
                      <w:rFonts w:cstheme="minorHAnsi"/>
                      <w:sz w:val="12"/>
                      <w:szCs w:val="12"/>
                    </w:rPr>
                  </w:pPr>
                  <w:r>
                    <w:rPr>
                      <w:rFonts w:cstheme="minorHAnsi"/>
                      <w:sz w:val="12"/>
                      <w:szCs w:val="12"/>
                    </w:rPr>
                    <w:t>Na etapie realizacyjnym jeden z podwykonawców Wykonawcy Kontraktu zerwał współpracę co skutkowało opóźnieniami i niemożnością sfinalizowania wszystkich prac z uwagi na fakt, że Wykonawca nie dysponował wystarczająca wiedzą co do wdrożonych rozwiązań IT</w:t>
                  </w:r>
                  <w:r w:rsidR="00677DC4">
                    <w:rPr>
                      <w:rFonts w:cstheme="minorHAnsi"/>
                      <w:sz w:val="12"/>
                      <w:szCs w:val="12"/>
                    </w:rPr>
                    <w:t xml:space="preserve"> (w projekcie CVP rezygnacja z usług e-CIT, e-VAT).</w:t>
                  </w:r>
                </w:p>
              </w:tc>
              <w:tc>
                <w:tcPr>
                  <w:tcW w:w="567" w:type="dxa"/>
                  <w:tcBorders>
                    <w:left w:val="none" w:sz="0" w:space="0" w:color="auto"/>
                    <w:right w:val="none" w:sz="0" w:space="0" w:color="auto"/>
                  </w:tcBorders>
                  <w:shd w:val="clear" w:color="auto" w:fill="auto"/>
                </w:tcPr>
                <w:p w14:paraId="25D65311" w14:textId="77777777" w:rsidR="00EF49F3" w:rsidRPr="00EF49F3" w:rsidRDefault="00380DF8" w:rsidP="00C823C5">
                  <w:pPr>
                    <w:cnfStyle w:val="000000100000" w:firstRow="0" w:lastRow="0" w:firstColumn="0" w:lastColumn="0" w:oddVBand="0" w:evenVBand="0" w:oddHBand="1" w:evenHBand="0" w:firstRowFirstColumn="0" w:firstRowLastColumn="0" w:lastRowFirstColumn="0" w:lastRowLastColumn="0"/>
                    <w:rPr>
                      <w:rFonts w:cstheme="minorHAnsi"/>
                      <w:sz w:val="12"/>
                      <w:szCs w:val="12"/>
                    </w:rPr>
                  </w:pPr>
                  <w:r>
                    <w:rPr>
                      <w:rFonts w:cstheme="minorHAnsi"/>
                      <w:sz w:val="12"/>
                      <w:szCs w:val="12"/>
                    </w:rPr>
                    <w:t xml:space="preserve">Negatywny </w:t>
                  </w:r>
                </w:p>
              </w:tc>
              <w:tc>
                <w:tcPr>
                  <w:tcW w:w="1701" w:type="dxa"/>
                  <w:tcBorders>
                    <w:left w:val="none" w:sz="0" w:space="0" w:color="auto"/>
                    <w:right w:val="none" w:sz="0" w:space="0" w:color="auto"/>
                  </w:tcBorders>
                  <w:shd w:val="clear" w:color="auto" w:fill="auto"/>
                </w:tcPr>
                <w:p w14:paraId="2A3D7437" w14:textId="77777777" w:rsidR="00EF49F3" w:rsidRPr="00EF49F3" w:rsidRDefault="00677DC4" w:rsidP="00677DC4">
                  <w:pPr>
                    <w:cnfStyle w:val="000000100000" w:firstRow="0" w:lastRow="0" w:firstColumn="0" w:lastColumn="0" w:oddVBand="0" w:evenVBand="0" w:oddHBand="1" w:evenHBand="0" w:firstRowFirstColumn="0" w:firstRowLastColumn="0" w:lastRowFirstColumn="0" w:lastRowLastColumn="0"/>
                    <w:rPr>
                      <w:rFonts w:cstheme="minorHAnsi"/>
                      <w:sz w:val="12"/>
                      <w:szCs w:val="12"/>
                    </w:rPr>
                  </w:pPr>
                  <w:r>
                    <w:rPr>
                      <w:rFonts w:cstheme="minorHAnsi"/>
                      <w:sz w:val="12"/>
                      <w:szCs w:val="12"/>
                    </w:rPr>
                    <w:t>Bieżący monitoring prac po stronie Wykonawcy. Wypracowanie mechanizmów wczesnego eskalowania problemów. Ograniczenie (o ile możliwe) ilości i roli podwykonawców. Zapewnienie bieżącego transferu wiedzy.</w:t>
                  </w:r>
                </w:p>
              </w:tc>
            </w:tr>
            <w:tr w:rsidR="008F6B23" w:rsidRPr="00EF49F3" w14:paraId="0F6E020D" w14:textId="77777777" w:rsidTr="00677DC4">
              <w:tc>
                <w:tcPr>
                  <w:cnfStyle w:val="001000000000" w:firstRow="0" w:lastRow="0" w:firstColumn="1" w:lastColumn="0" w:oddVBand="0" w:evenVBand="0" w:oddHBand="0" w:evenHBand="0" w:firstRowFirstColumn="0" w:firstRowLastColumn="0" w:lastRowFirstColumn="0" w:lastRowLastColumn="0"/>
                  <w:tcW w:w="997" w:type="dxa"/>
                  <w:shd w:val="clear" w:color="auto" w:fill="auto"/>
                </w:tcPr>
                <w:p w14:paraId="26354F35" w14:textId="77777777" w:rsidR="008F6B23" w:rsidRPr="00EF49F3" w:rsidRDefault="008F6B23" w:rsidP="008F6B23">
                  <w:pPr>
                    <w:rPr>
                      <w:rFonts w:cstheme="minorHAnsi"/>
                      <w:b w:val="0"/>
                      <w:sz w:val="12"/>
                      <w:szCs w:val="12"/>
                    </w:rPr>
                  </w:pPr>
                  <w:r w:rsidRPr="00EF49F3">
                    <w:rPr>
                      <w:rFonts w:cstheme="minorHAnsi"/>
                      <w:b w:val="0"/>
                      <w:sz w:val="12"/>
                      <w:szCs w:val="12"/>
                    </w:rPr>
                    <w:t>Konieczność angażowania decydentów wysokiego szczebl</w:t>
                  </w:r>
                  <w:r w:rsidR="00EF49F3">
                    <w:rPr>
                      <w:rFonts w:cstheme="minorHAnsi"/>
                      <w:b w:val="0"/>
                      <w:sz w:val="12"/>
                      <w:szCs w:val="12"/>
                    </w:rPr>
                    <w:t>a, dyrekcji Dep. merytorycznych w realizację projektu</w:t>
                  </w:r>
                </w:p>
              </w:tc>
              <w:tc>
                <w:tcPr>
                  <w:tcW w:w="2718" w:type="dxa"/>
                  <w:shd w:val="clear" w:color="auto" w:fill="auto"/>
                </w:tcPr>
                <w:p w14:paraId="662C6990" w14:textId="77777777" w:rsidR="008F6B23" w:rsidRPr="00EF49F3" w:rsidRDefault="008F6B23" w:rsidP="008F6B23">
                  <w:pPr>
                    <w:cnfStyle w:val="000000000000" w:firstRow="0" w:lastRow="0" w:firstColumn="0" w:lastColumn="0" w:oddVBand="0" w:evenVBand="0" w:oddHBand="0" w:evenHBand="0" w:firstRowFirstColumn="0" w:firstRowLastColumn="0" w:lastRowFirstColumn="0" w:lastRowLastColumn="0"/>
                    <w:rPr>
                      <w:rFonts w:cstheme="minorHAnsi"/>
                      <w:sz w:val="12"/>
                      <w:szCs w:val="12"/>
                    </w:rPr>
                  </w:pPr>
                  <w:r w:rsidRPr="00EF49F3">
                    <w:rPr>
                      <w:rFonts w:cstheme="minorHAnsi"/>
                      <w:sz w:val="12"/>
                      <w:szCs w:val="12"/>
                    </w:rPr>
                    <w:t>Stałe podnoszenie świadomości wśród decydentów wysokiego szczebla  o uzyskiwaniu korzyści z właściwego wykorzystania IT, z produktów planowanych do realizacji w ramach projektu.</w:t>
                  </w:r>
                </w:p>
                <w:p w14:paraId="50DA93D3" w14:textId="77777777" w:rsidR="008F6B23" w:rsidRPr="00EF49F3" w:rsidRDefault="008F6B23" w:rsidP="008F6B23">
                  <w:pPr>
                    <w:cnfStyle w:val="000000000000" w:firstRow="0" w:lastRow="0" w:firstColumn="0" w:lastColumn="0" w:oddVBand="0" w:evenVBand="0" w:oddHBand="0" w:evenHBand="0" w:firstRowFirstColumn="0" w:firstRowLastColumn="0" w:lastRowFirstColumn="0" w:lastRowLastColumn="0"/>
                    <w:rPr>
                      <w:rFonts w:cstheme="minorHAnsi"/>
                      <w:sz w:val="12"/>
                      <w:szCs w:val="12"/>
                    </w:rPr>
                  </w:pPr>
                  <w:r w:rsidRPr="00EF49F3">
                    <w:rPr>
                      <w:rFonts w:cstheme="minorHAnsi"/>
                      <w:sz w:val="12"/>
                      <w:szCs w:val="12"/>
                    </w:rPr>
                    <w:t>Stałe angażowanie przedstawicieli Dep. merytorycznych, których obszary biznesowe podlegają zmianie dostarczanej przez projekt / Program.</w:t>
                  </w:r>
                </w:p>
                <w:p w14:paraId="6C65EFAC" w14:textId="77777777" w:rsidR="008F6B23" w:rsidRPr="00EF49F3" w:rsidRDefault="008F6B23" w:rsidP="006D71D6">
                  <w:pPr>
                    <w:cnfStyle w:val="000000000000" w:firstRow="0" w:lastRow="0" w:firstColumn="0" w:lastColumn="0" w:oddVBand="0" w:evenVBand="0" w:oddHBand="0" w:evenHBand="0" w:firstRowFirstColumn="0" w:firstRowLastColumn="0" w:lastRowFirstColumn="0" w:lastRowLastColumn="0"/>
                    <w:rPr>
                      <w:rFonts w:cstheme="minorHAnsi"/>
                      <w:sz w:val="12"/>
                      <w:szCs w:val="12"/>
                    </w:rPr>
                  </w:pPr>
                  <w:r w:rsidRPr="00EF49F3">
                    <w:rPr>
                      <w:rFonts w:cstheme="minorHAnsi"/>
                      <w:sz w:val="12"/>
                      <w:szCs w:val="12"/>
                    </w:rPr>
                    <w:t xml:space="preserve">Z uwagi na realizację w ramach </w:t>
                  </w:r>
                  <w:r w:rsidR="006D71D6">
                    <w:rPr>
                      <w:rFonts w:cstheme="minorHAnsi"/>
                      <w:sz w:val="12"/>
                      <w:szCs w:val="12"/>
                    </w:rPr>
                    <w:t xml:space="preserve">realizowanego projektu </w:t>
                  </w:r>
                  <w:r w:rsidRPr="00EF49F3">
                    <w:rPr>
                      <w:rFonts w:cstheme="minorHAnsi"/>
                      <w:sz w:val="12"/>
                      <w:szCs w:val="12"/>
                    </w:rPr>
                    <w:t>kluczowych przedsięwzięć dl</w:t>
                  </w:r>
                  <w:r w:rsidR="006D71D6">
                    <w:rPr>
                      <w:rFonts w:cstheme="minorHAnsi"/>
                      <w:sz w:val="12"/>
                      <w:szCs w:val="12"/>
                    </w:rPr>
                    <w:t xml:space="preserve">a resortu finansów i obywateli </w:t>
                  </w:r>
                  <w:r w:rsidRPr="00EF49F3">
                    <w:rPr>
                      <w:rFonts w:cstheme="minorHAnsi"/>
                      <w:sz w:val="12"/>
                      <w:szCs w:val="12"/>
                    </w:rPr>
                    <w:t>informacja o tych działaniach powinna być cyklicznie przedstawiana decydentom.</w:t>
                  </w:r>
                </w:p>
              </w:tc>
              <w:tc>
                <w:tcPr>
                  <w:tcW w:w="567" w:type="dxa"/>
                  <w:shd w:val="clear" w:color="auto" w:fill="auto"/>
                </w:tcPr>
                <w:p w14:paraId="1DA89A83" w14:textId="77777777" w:rsidR="008F6B23" w:rsidRPr="00EF49F3" w:rsidRDefault="008F6B23" w:rsidP="00C823C5">
                  <w:pPr>
                    <w:cnfStyle w:val="000000000000" w:firstRow="0" w:lastRow="0" w:firstColumn="0" w:lastColumn="0" w:oddVBand="0" w:evenVBand="0" w:oddHBand="0" w:evenHBand="0" w:firstRowFirstColumn="0" w:firstRowLastColumn="0" w:lastRowFirstColumn="0" w:lastRowLastColumn="0"/>
                    <w:rPr>
                      <w:rFonts w:cstheme="minorHAnsi"/>
                      <w:sz w:val="12"/>
                      <w:szCs w:val="12"/>
                    </w:rPr>
                  </w:pPr>
                  <w:r w:rsidRPr="00EF49F3">
                    <w:rPr>
                      <w:rFonts w:cstheme="minorHAnsi"/>
                      <w:sz w:val="12"/>
                      <w:szCs w:val="12"/>
                    </w:rPr>
                    <w:t xml:space="preserve">Pozytywny </w:t>
                  </w:r>
                </w:p>
              </w:tc>
              <w:tc>
                <w:tcPr>
                  <w:tcW w:w="1701" w:type="dxa"/>
                  <w:shd w:val="clear" w:color="auto" w:fill="auto"/>
                </w:tcPr>
                <w:p w14:paraId="683C6556" w14:textId="77777777" w:rsidR="008F6B23" w:rsidRPr="00EF49F3" w:rsidRDefault="008F6B23" w:rsidP="008F6B23">
                  <w:pPr>
                    <w:cnfStyle w:val="000000000000" w:firstRow="0" w:lastRow="0" w:firstColumn="0" w:lastColumn="0" w:oddVBand="0" w:evenVBand="0" w:oddHBand="0" w:evenHBand="0" w:firstRowFirstColumn="0" w:firstRowLastColumn="0" w:lastRowFirstColumn="0" w:lastRowLastColumn="0"/>
                    <w:rPr>
                      <w:rFonts w:cstheme="minorHAnsi"/>
                      <w:sz w:val="12"/>
                      <w:szCs w:val="12"/>
                    </w:rPr>
                  </w:pPr>
                  <w:r w:rsidRPr="00EF49F3">
                    <w:rPr>
                      <w:rFonts w:cstheme="minorHAnsi"/>
                      <w:sz w:val="12"/>
                      <w:szCs w:val="12"/>
                    </w:rPr>
                    <w:t>Konieczność powołania struktur projektowych / Programu i zaangażowanie kierownictwa Ministerstwa Finansów do struktur decyzyjnych.</w:t>
                  </w:r>
                </w:p>
                <w:p w14:paraId="70087499" w14:textId="77777777" w:rsidR="008F6B23" w:rsidRPr="00EF49F3" w:rsidRDefault="008F6B23" w:rsidP="008F6B23">
                  <w:pPr>
                    <w:cnfStyle w:val="000000000000" w:firstRow="0" w:lastRow="0" w:firstColumn="0" w:lastColumn="0" w:oddVBand="0" w:evenVBand="0" w:oddHBand="0" w:evenHBand="0" w:firstRowFirstColumn="0" w:firstRowLastColumn="0" w:lastRowFirstColumn="0" w:lastRowLastColumn="0"/>
                    <w:rPr>
                      <w:rFonts w:cstheme="minorHAnsi"/>
                      <w:sz w:val="12"/>
                      <w:szCs w:val="12"/>
                    </w:rPr>
                  </w:pPr>
                  <w:r w:rsidRPr="00EF49F3">
                    <w:rPr>
                      <w:rFonts w:cstheme="minorHAnsi"/>
                      <w:sz w:val="12"/>
                      <w:szCs w:val="12"/>
                    </w:rPr>
                    <w:t>Konieczność cyklicznej organizacji posiedzeń Rad Programu (raz na 3 m-ce), Rady Projekt CVP (raz w miesiącu).</w:t>
                  </w:r>
                </w:p>
              </w:tc>
            </w:tr>
            <w:tr w:rsidR="008F6B23" w:rsidRPr="00EF49F3" w14:paraId="69E5A00E" w14:textId="77777777" w:rsidTr="00677DC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7" w:type="dxa"/>
                  <w:tcBorders>
                    <w:left w:val="none" w:sz="0" w:space="0" w:color="auto"/>
                    <w:right w:val="none" w:sz="0" w:space="0" w:color="auto"/>
                  </w:tcBorders>
                  <w:shd w:val="clear" w:color="auto" w:fill="auto"/>
                </w:tcPr>
                <w:p w14:paraId="0A5178EE" w14:textId="77777777" w:rsidR="008F6B23" w:rsidRDefault="008F6B23" w:rsidP="008F6B23">
                  <w:pPr>
                    <w:rPr>
                      <w:rFonts w:cstheme="minorHAnsi"/>
                      <w:b w:val="0"/>
                      <w:sz w:val="12"/>
                      <w:szCs w:val="12"/>
                    </w:rPr>
                  </w:pPr>
                  <w:r w:rsidRPr="00EF49F3">
                    <w:rPr>
                      <w:rFonts w:cstheme="minorHAnsi"/>
                      <w:b w:val="0"/>
                      <w:sz w:val="12"/>
                      <w:szCs w:val="12"/>
                    </w:rPr>
                    <w:t>Intensywnie zmieniające się otoczenie prawne w ramach, którego projekt jest realizowany.</w:t>
                  </w:r>
                </w:p>
                <w:p w14:paraId="7298EB85" w14:textId="77777777" w:rsidR="009C62DC" w:rsidRPr="00EF49F3" w:rsidRDefault="009C62DC" w:rsidP="008F6B23">
                  <w:pPr>
                    <w:rPr>
                      <w:rFonts w:cstheme="minorHAnsi"/>
                      <w:b w:val="0"/>
                      <w:sz w:val="12"/>
                      <w:szCs w:val="12"/>
                    </w:rPr>
                  </w:pPr>
                  <w:r>
                    <w:rPr>
                      <w:rFonts w:cstheme="minorHAnsi"/>
                      <w:b w:val="0"/>
                      <w:sz w:val="12"/>
                      <w:szCs w:val="12"/>
                    </w:rPr>
                    <w:t>Rosnący ‘apetyt’ organizacji na zmiany.</w:t>
                  </w:r>
                </w:p>
                <w:p w14:paraId="6F903BD5" w14:textId="77777777" w:rsidR="008F6B23" w:rsidRPr="00EF49F3" w:rsidRDefault="008F6B23" w:rsidP="008F6B23">
                  <w:pPr>
                    <w:rPr>
                      <w:rFonts w:cstheme="minorHAnsi"/>
                      <w:b w:val="0"/>
                      <w:sz w:val="12"/>
                      <w:szCs w:val="12"/>
                    </w:rPr>
                  </w:pPr>
                </w:p>
              </w:tc>
              <w:tc>
                <w:tcPr>
                  <w:tcW w:w="2718" w:type="dxa"/>
                  <w:tcBorders>
                    <w:left w:val="none" w:sz="0" w:space="0" w:color="auto"/>
                    <w:right w:val="none" w:sz="0" w:space="0" w:color="auto"/>
                  </w:tcBorders>
                  <w:shd w:val="clear" w:color="auto" w:fill="auto"/>
                </w:tcPr>
                <w:p w14:paraId="0B545796" w14:textId="77777777" w:rsidR="008F6B23" w:rsidRPr="00EF49F3" w:rsidRDefault="008F6B23" w:rsidP="008F6B23">
                  <w:pPr>
                    <w:cnfStyle w:val="000000100000" w:firstRow="0" w:lastRow="0" w:firstColumn="0" w:lastColumn="0" w:oddVBand="0" w:evenVBand="0" w:oddHBand="1" w:evenHBand="0" w:firstRowFirstColumn="0" w:firstRowLastColumn="0" w:lastRowFirstColumn="0" w:lastRowLastColumn="0"/>
                    <w:rPr>
                      <w:rFonts w:cstheme="minorHAnsi"/>
                      <w:sz w:val="12"/>
                      <w:szCs w:val="12"/>
                    </w:rPr>
                  </w:pPr>
                  <w:r w:rsidRPr="00EF49F3">
                    <w:rPr>
                      <w:rFonts w:cstheme="minorHAnsi"/>
                      <w:sz w:val="12"/>
                      <w:szCs w:val="12"/>
                    </w:rPr>
                    <w:lastRenderedPageBreak/>
                    <w:t>Obecnie inicjowanych jest bardzo dużo zmian prawnych, które znacząco mogą wpłynąć na harmonogram realizacji projektu. Tym bardziej, że projektowane zmiany wprowadzane są z bardzo krótkim terminem ich wprowadzenia.</w:t>
                  </w:r>
                </w:p>
              </w:tc>
              <w:tc>
                <w:tcPr>
                  <w:tcW w:w="567" w:type="dxa"/>
                  <w:tcBorders>
                    <w:left w:val="none" w:sz="0" w:space="0" w:color="auto"/>
                    <w:right w:val="none" w:sz="0" w:space="0" w:color="auto"/>
                  </w:tcBorders>
                  <w:shd w:val="clear" w:color="auto" w:fill="auto"/>
                </w:tcPr>
                <w:p w14:paraId="3DB0DD0D" w14:textId="77777777" w:rsidR="008F6B23" w:rsidRPr="00EF49F3" w:rsidRDefault="008F6B23" w:rsidP="00C823C5">
                  <w:pPr>
                    <w:cnfStyle w:val="000000100000" w:firstRow="0" w:lastRow="0" w:firstColumn="0" w:lastColumn="0" w:oddVBand="0" w:evenVBand="0" w:oddHBand="1" w:evenHBand="0" w:firstRowFirstColumn="0" w:firstRowLastColumn="0" w:lastRowFirstColumn="0" w:lastRowLastColumn="0"/>
                    <w:rPr>
                      <w:rFonts w:cstheme="minorHAnsi"/>
                      <w:sz w:val="12"/>
                      <w:szCs w:val="12"/>
                    </w:rPr>
                  </w:pPr>
                  <w:r w:rsidRPr="00EF49F3">
                    <w:rPr>
                      <w:rFonts w:cstheme="minorHAnsi"/>
                      <w:sz w:val="12"/>
                      <w:szCs w:val="12"/>
                    </w:rPr>
                    <w:t xml:space="preserve">Negatywny </w:t>
                  </w:r>
                </w:p>
              </w:tc>
              <w:tc>
                <w:tcPr>
                  <w:tcW w:w="1701" w:type="dxa"/>
                  <w:tcBorders>
                    <w:left w:val="none" w:sz="0" w:space="0" w:color="auto"/>
                    <w:right w:val="none" w:sz="0" w:space="0" w:color="auto"/>
                  </w:tcBorders>
                  <w:shd w:val="clear" w:color="auto" w:fill="auto"/>
                </w:tcPr>
                <w:p w14:paraId="451D011B" w14:textId="77777777" w:rsidR="008F6B23" w:rsidRPr="00EF49F3" w:rsidRDefault="008F6B23" w:rsidP="008F6B23">
                  <w:pPr>
                    <w:cnfStyle w:val="000000100000" w:firstRow="0" w:lastRow="0" w:firstColumn="0" w:lastColumn="0" w:oddVBand="0" w:evenVBand="0" w:oddHBand="1" w:evenHBand="0" w:firstRowFirstColumn="0" w:firstRowLastColumn="0" w:lastRowFirstColumn="0" w:lastRowLastColumn="0"/>
                    <w:rPr>
                      <w:rFonts w:cstheme="minorHAnsi"/>
                      <w:sz w:val="12"/>
                      <w:szCs w:val="12"/>
                    </w:rPr>
                  </w:pPr>
                  <w:r w:rsidRPr="00EF49F3">
                    <w:rPr>
                      <w:rFonts w:cstheme="minorHAnsi"/>
                      <w:sz w:val="12"/>
                      <w:szCs w:val="12"/>
                    </w:rPr>
                    <w:t>Projekt musi być informowany o zmianach prawnych dziejących się w jego otoczeniu.</w:t>
                  </w:r>
                </w:p>
                <w:p w14:paraId="04C04A4B" w14:textId="77777777" w:rsidR="008F6B23" w:rsidRPr="00EF49F3" w:rsidRDefault="008F6B23" w:rsidP="008F6B23">
                  <w:pPr>
                    <w:cnfStyle w:val="000000100000" w:firstRow="0" w:lastRow="0" w:firstColumn="0" w:lastColumn="0" w:oddVBand="0" w:evenVBand="0" w:oddHBand="1" w:evenHBand="0" w:firstRowFirstColumn="0" w:firstRowLastColumn="0" w:lastRowFirstColumn="0" w:lastRowLastColumn="0"/>
                    <w:rPr>
                      <w:rFonts w:cstheme="minorHAnsi"/>
                      <w:sz w:val="12"/>
                      <w:szCs w:val="12"/>
                    </w:rPr>
                  </w:pPr>
                  <w:r w:rsidRPr="00EF49F3">
                    <w:rPr>
                      <w:rFonts w:cstheme="minorHAnsi"/>
                      <w:sz w:val="12"/>
                      <w:szCs w:val="12"/>
                    </w:rPr>
                    <w:t>Przed wprowadzeniem zmiany należy analizować i oszacować ich wpływ na zakres i harmonogram projektu.</w:t>
                  </w:r>
                </w:p>
                <w:p w14:paraId="5FEEDEC9" w14:textId="77777777" w:rsidR="008F6B23" w:rsidRPr="00EF49F3" w:rsidRDefault="008F6B23" w:rsidP="008F6B23">
                  <w:pPr>
                    <w:cnfStyle w:val="000000100000" w:firstRow="0" w:lastRow="0" w:firstColumn="0" w:lastColumn="0" w:oddVBand="0" w:evenVBand="0" w:oddHBand="1" w:evenHBand="0" w:firstRowFirstColumn="0" w:firstRowLastColumn="0" w:lastRowFirstColumn="0" w:lastRowLastColumn="0"/>
                    <w:rPr>
                      <w:rFonts w:cstheme="minorHAnsi"/>
                      <w:sz w:val="12"/>
                      <w:szCs w:val="12"/>
                    </w:rPr>
                  </w:pPr>
                </w:p>
              </w:tc>
            </w:tr>
            <w:tr w:rsidR="005C5466" w:rsidRPr="00EF49F3" w14:paraId="29C7A98D" w14:textId="77777777" w:rsidTr="00677DC4">
              <w:tc>
                <w:tcPr>
                  <w:cnfStyle w:val="001000000000" w:firstRow="0" w:lastRow="0" w:firstColumn="1" w:lastColumn="0" w:oddVBand="0" w:evenVBand="0" w:oddHBand="0" w:evenHBand="0" w:firstRowFirstColumn="0" w:firstRowLastColumn="0" w:lastRowFirstColumn="0" w:lastRowLastColumn="0"/>
                  <w:tcW w:w="997" w:type="dxa"/>
                  <w:shd w:val="clear" w:color="auto" w:fill="auto"/>
                </w:tcPr>
                <w:p w14:paraId="293A2D87" w14:textId="77777777" w:rsidR="005C5466" w:rsidRPr="005C5466" w:rsidRDefault="005C5466" w:rsidP="005C5466">
                  <w:pPr>
                    <w:rPr>
                      <w:rFonts w:cstheme="minorHAnsi"/>
                      <w:b w:val="0"/>
                      <w:sz w:val="12"/>
                      <w:szCs w:val="12"/>
                    </w:rPr>
                  </w:pPr>
                  <w:r>
                    <w:rPr>
                      <w:rFonts w:cstheme="minorHAnsi"/>
                      <w:b w:val="0"/>
                      <w:sz w:val="12"/>
                      <w:szCs w:val="12"/>
                    </w:rPr>
                    <w:t xml:space="preserve">Trudności w uzgodnieniu i egzekwowaniu zobowiązań co do zakresu i </w:t>
                  </w:r>
                  <w:r w:rsidRPr="005C5466">
                    <w:rPr>
                      <w:rFonts w:cstheme="minorHAnsi"/>
                      <w:b w:val="0"/>
                      <w:sz w:val="12"/>
                      <w:szCs w:val="12"/>
                    </w:rPr>
                    <w:t>terminów inny</w:t>
                  </w:r>
                  <w:r>
                    <w:rPr>
                      <w:rFonts w:cstheme="minorHAnsi"/>
                      <w:b w:val="0"/>
                      <w:sz w:val="12"/>
                      <w:szCs w:val="12"/>
                    </w:rPr>
                    <w:t>ch</w:t>
                  </w:r>
                  <w:r w:rsidRPr="005C5466">
                    <w:rPr>
                      <w:rFonts w:cstheme="minorHAnsi"/>
                      <w:b w:val="0"/>
                      <w:sz w:val="12"/>
                      <w:szCs w:val="12"/>
                    </w:rPr>
                    <w:t xml:space="preserve"> resort</w:t>
                  </w:r>
                  <w:r>
                    <w:rPr>
                      <w:rFonts w:cstheme="minorHAnsi"/>
                      <w:b w:val="0"/>
                      <w:sz w:val="12"/>
                      <w:szCs w:val="12"/>
                    </w:rPr>
                    <w:t>ów</w:t>
                  </w:r>
                  <w:r w:rsidRPr="005C5466">
                    <w:rPr>
                      <w:rFonts w:cstheme="minorHAnsi"/>
                      <w:b w:val="0"/>
                      <w:sz w:val="12"/>
                      <w:szCs w:val="12"/>
                    </w:rPr>
                    <w:t xml:space="preserve"> w ramach wspólnych przedsięwzięć</w:t>
                  </w:r>
                </w:p>
              </w:tc>
              <w:tc>
                <w:tcPr>
                  <w:tcW w:w="2718" w:type="dxa"/>
                  <w:shd w:val="clear" w:color="auto" w:fill="auto"/>
                </w:tcPr>
                <w:p w14:paraId="37F151DC" w14:textId="77777777" w:rsidR="00E452EE" w:rsidRPr="00E452EE" w:rsidRDefault="00E452EE" w:rsidP="00E452EE">
                  <w:pPr>
                    <w:cnfStyle w:val="000000000000" w:firstRow="0" w:lastRow="0" w:firstColumn="0" w:lastColumn="0" w:oddVBand="0" w:evenVBand="0" w:oddHBand="0" w:evenHBand="0" w:firstRowFirstColumn="0" w:firstRowLastColumn="0" w:lastRowFirstColumn="0" w:lastRowLastColumn="0"/>
                    <w:rPr>
                      <w:rFonts w:cstheme="minorHAnsi"/>
                      <w:sz w:val="12"/>
                      <w:szCs w:val="12"/>
                    </w:rPr>
                  </w:pPr>
                  <w:r w:rsidRPr="00E452EE">
                    <w:rPr>
                      <w:rFonts w:cstheme="minorHAnsi"/>
                      <w:sz w:val="12"/>
                      <w:szCs w:val="12"/>
                    </w:rPr>
                    <w:t xml:space="preserve">W zaplanowanych do realizacji pracach nad udostępnianiem usług Systemu e-Podatki na potrzeby innych resortów występuje bardzo silne uzależnienie postępu prac projektowych CVP od terminowości i woli pozostałych resortów. </w:t>
                  </w:r>
                </w:p>
                <w:p w14:paraId="3FDE3924" w14:textId="77777777" w:rsidR="00E452EE" w:rsidRPr="00E452EE" w:rsidRDefault="00E452EE" w:rsidP="00E452EE">
                  <w:pPr>
                    <w:cnfStyle w:val="000000000000" w:firstRow="0" w:lastRow="0" w:firstColumn="0" w:lastColumn="0" w:oddVBand="0" w:evenVBand="0" w:oddHBand="0" w:evenHBand="0" w:firstRowFirstColumn="0" w:firstRowLastColumn="0" w:lastRowFirstColumn="0" w:lastRowLastColumn="0"/>
                    <w:rPr>
                      <w:rFonts w:cstheme="minorHAnsi"/>
                      <w:sz w:val="12"/>
                      <w:szCs w:val="12"/>
                    </w:rPr>
                  </w:pPr>
                  <w:r w:rsidRPr="00E452EE">
                    <w:rPr>
                      <w:rFonts w:cstheme="minorHAnsi"/>
                      <w:sz w:val="12"/>
                      <w:szCs w:val="12"/>
                    </w:rPr>
                    <w:t>Działania na rzecz integracji rejestrów czy udostępniania usług wspólnych, wymuszają konieczność zoptymalizowania procesów realizowanych przez różne resorty, niestety nie zawsze do tego odpowiednio przyg</w:t>
                  </w:r>
                  <w:r>
                    <w:rPr>
                      <w:rFonts w:cstheme="minorHAnsi"/>
                      <w:sz w:val="12"/>
                      <w:szCs w:val="12"/>
                    </w:rPr>
                    <w:t>otowanych</w:t>
                  </w:r>
                  <w:r w:rsidRPr="00E452EE">
                    <w:rPr>
                      <w:rFonts w:cstheme="minorHAnsi"/>
                      <w:sz w:val="12"/>
                      <w:szCs w:val="12"/>
                    </w:rPr>
                    <w:t xml:space="preserve">. </w:t>
                  </w:r>
                </w:p>
                <w:p w14:paraId="4B42FA36" w14:textId="77777777" w:rsidR="005C5466" w:rsidRPr="005C5466" w:rsidRDefault="00E452EE" w:rsidP="00E452EE">
                  <w:pPr>
                    <w:cnfStyle w:val="000000000000" w:firstRow="0" w:lastRow="0" w:firstColumn="0" w:lastColumn="0" w:oddVBand="0" w:evenVBand="0" w:oddHBand="0" w:evenHBand="0" w:firstRowFirstColumn="0" w:firstRowLastColumn="0" w:lastRowFirstColumn="0" w:lastRowLastColumn="0"/>
                    <w:rPr>
                      <w:rFonts w:cstheme="minorHAnsi"/>
                      <w:sz w:val="12"/>
                      <w:szCs w:val="12"/>
                    </w:rPr>
                  </w:pPr>
                  <w:r w:rsidRPr="00E452EE">
                    <w:rPr>
                      <w:rFonts w:cstheme="minorHAnsi"/>
                      <w:sz w:val="12"/>
                      <w:szCs w:val="12"/>
                    </w:rPr>
                    <w:t>Produkty które dostarczają projekty, szczególnie w przedsięwzięciach takich jak transformacja stanu AS-IS do stanu TO-BE (czyli projektach np. Programu e-Podatki), niejednokrotnie związane są z wprowadzaniem zmian legislacyjnych i od nich zależą. Czas zakontraktowany w harmonogramach projektowych ulega często dezaktualizacji na skutek przedłużającego się proce</w:t>
                  </w:r>
                  <w:r>
                    <w:rPr>
                      <w:rFonts w:cstheme="minorHAnsi"/>
                      <w:sz w:val="12"/>
                      <w:szCs w:val="12"/>
                    </w:rPr>
                    <w:t>su legislacyjno-organizacyjnego bądź niegotowości jednej ze stron.</w:t>
                  </w:r>
                </w:p>
              </w:tc>
              <w:tc>
                <w:tcPr>
                  <w:tcW w:w="567" w:type="dxa"/>
                  <w:shd w:val="clear" w:color="auto" w:fill="auto"/>
                </w:tcPr>
                <w:p w14:paraId="6385C52D" w14:textId="77777777" w:rsidR="005C5466" w:rsidRPr="00EF49F3" w:rsidRDefault="00E452EE" w:rsidP="00C823C5">
                  <w:pPr>
                    <w:cnfStyle w:val="000000000000" w:firstRow="0" w:lastRow="0" w:firstColumn="0" w:lastColumn="0" w:oddVBand="0" w:evenVBand="0" w:oddHBand="0" w:evenHBand="0" w:firstRowFirstColumn="0" w:firstRowLastColumn="0" w:lastRowFirstColumn="0" w:lastRowLastColumn="0"/>
                    <w:rPr>
                      <w:rFonts w:cstheme="minorHAnsi"/>
                      <w:sz w:val="12"/>
                      <w:szCs w:val="12"/>
                    </w:rPr>
                  </w:pPr>
                  <w:r w:rsidRPr="00EF49F3">
                    <w:rPr>
                      <w:rFonts w:cstheme="minorHAnsi"/>
                      <w:sz w:val="12"/>
                      <w:szCs w:val="12"/>
                    </w:rPr>
                    <w:t xml:space="preserve">Negatywny </w:t>
                  </w:r>
                </w:p>
              </w:tc>
              <w:tc>
                <w:tcPr>
                  <w:tcW w:w="1701" w:type="dxa"/>
                  <w:shd w:val="clear" w:color="auto" w:fill="auto"/>
                </w:tcPr>
                <w:p w14:paraId="1DEA4E34" w14:textId="77777777" w:rsidR="00E452EE" w:rsidRPr="00E452EE" w:rsidRDefault="00E452EE" w:rsidP="00E452EE">
                  <w:pPr>
                    <w:cnfStyle w:val="000000000000" w:firstRow="0" w:lastRow="0" w:firstColumn="0" w:lastColumn="0" w:oddVBand="0" w:evenVBand="0" w:oddHBand="0" w:evenHBand="0" w:firstRowFirstColumn="0" w:firstRowLastColumn="0" w:lastRowFirstColumn="0" w:lastRowLastColumn="0"/>
                    <w:rPr>
                      <w:rFonts w:cstheme="minorHAnsi"/>
                      <w:sz w:val="12"/>
                      <w:szCs w:val="12"/>
                    </w:rPr>
                  </w:pPr>
                  <w:r w:rsidRPr="00E452EE">
                    <w:rPr>
                      <w:rFonts w:cstheme="minorHAnsi"/>
                      <w:sz w:val="12"/>
                      <w:szCs w:val="12"/>
                    </w:rPr>
                    <w:t>Wejście w życie przepisów i ich ostateczny kształt może nie przebiegać zgodnie z zaplanowanym przez Ministerstwo harmonogramem i Ministerstwo nie ma możliwości ani środków by wpływać na przebieg tego procesu (np. konieczność przeprowadzenia dodatkowych uzgodnień, rozpatrzenia uwag zgłaszanych przez dodatkowe Komitety bądź kwestionowanie wcześniejszych uzgodnień międzyresortowych).</w:t>
                  </w:r>
                </w:p>
                <w:p w14:paraId="40C6E839" w14:textId="77777777" w:rsidR="005C5466" w:rsidRPr="00EF49F3" w:rsidRDefault="00E452EE" w:rsidP="00E452EE">
                  <w:pPr>
                    <w:cnfStyle w:val="000000000000" w:firstRow="0" w:lastRow="0" w:firstColumn="0" w:lastColumn="0" w:oddVBand="0" w:evenVBand="0" w:oddHBand="0" w:evenHBand="0" w:firstRowFirstColumn="0" w:firstRowLastColumn="0" w:lastRowFirstColumn="0" w:lastRowLastColumn="0"/>
                    <w:rPr>
                      <w:rFonts w:cstheme="minorHAnsi"/>
                      <w:sz w:val="12"/>
                      <w:szCs w:val="12"/>
                    </w:rPr>
                  </w:pPr>
                  <w:r w:rsidRPr="00E452EE">
                    <w:rPr>
                      <w:rFonts w:cstheme="minorHAnsi"/>
                      <w:sz w:val="12"/>
                      <w:szCs w:val="12"/>
                    </w:rPr>
                    <w:t>Brak mechanizmów koordynacji projektów realizowanych w administracji państwowej przez różne podmioty oraz brak analizy wpływu zmian w jednym projekcie na pozostałe projekty generują zmiany które projekty muszą dodatkowo obsłużyć co częstokroć wiąże się z koniecznością zakontraktowania dodatkowych dni projektowych.</w:t>
                  </w:r>
                </w:p>
              </w:tc>
            </w:tr>
          </w:tbl>
          <w:p w14:paraId="6BC04DB4" w14:textId="77777777" w:rsidR="009D3D41" w:rsidRPr="00BE3BD1" w:rsidRDefault="009D3D41" w:rsidP="009D3D41">
            <w:pPr>
              <w:jc w:val="both"/>
              <w:rPr>
                <w:rFonts w:cstheme="minorHAnsi"/>
                <w:bCs/>
                <w:i/>
                <w:sz w:val="14"/>
                <w:szCs w:val="20"/>
              </w:rPr>
            </w:pPr>
          </w:p>
        </w:tc>
      </w:tr>
    </w:tbl>
    <w:p w14:paraId="6958724C" w14:textId="77777777" w:rsidR="007A0A3D" w:rsidRPr="00DC2637" w:rsidRDefault="007A0A3D" w:rsidP="007A0A3D">
      <w:pPr>
        <w:rPr>
          <w:rFonts w:cstheme="minorHAnsi"/>
        </w:rPr>
      </w:pPr>
    </w:p>
    <w:sectPr w:rsidR="007A0A3D" w:rsidRPr="00DC2637">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6A50088" w14:textId="77777777" w:rsidR="00305437" w:rsidRDefault="00305437" w:rsidP="00771372">
      <w:pPr>
        <w:spacing w:after="0" w:line="240" w:lineRule="auto"/>
      </w:pPr>
      <w:r>
        <w:separator/>
      </w:r>
    </w:p>
  </w:endnote>
  <w:endnote w:type="continuationSeparator" w:id="0">
    <w:p w14:paraId="7A2A9794" w14:textId="77777777" w:rsidR="00305437" w:rsidRDefault="00305437" w:rsidP="007713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MS MinNew Roman">
    <w:altName w:val="Arial Unicode MS"/>
    <w:panose1 w:val="00000000000000000000"/>
    <w:charset w:val="80"/>
    <w:family w:val="roman"/>
    <w:notTrueType/>
    <w:pitch w:val="fixed"/>
    <w:sig w:usb0="00000001" w:usb1="08070000" w:usb2="00000010" w:usb3="00000000" w:csb0="00020000"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48333140"/>
      <w:docPartObj>
        <w:docPartGallery w:val="Page Numbers (Bottom of Page)"/>
        <w:docPartUnique/>
      </w:docPartObj>
    </w:sdtPr>
    <w:sdtEndPr>
      <w:rPr>
        <w:color w:val="7F7F7F" w:themeColor="background1" w:themeShade="7F"/>
        <w:spacing w:val="60"/>
        <w:sz w:val="14"/>
      </w:rPr>
    </w:sdtEndPr>
    <w:sdtContent>
      <w:p w14:paraId="71B5DD5B" w14:textId="77777777" w:rsidR="002B642A" w:rsidRPr="002B642A" w:rsidRDefault="002B642A">
        <w:pPr>
          <w:pStyle w:val="Stopka"/>
          <w:pBdr>
            <w:top w:val="single" w:sz="4" w:space="1" w:color="D9D9D9" w:themeColor="background1" w:themeShade="D9"/>
          </w:pBdr>
          <w:jc w:val="right"/>
          <w:rPr>
            <w:sz w:val="14"/>
          </w:rPr>
        </w:pPr>
        <w:r w:rsidRPr="002B642A">
          <w:rPr>
            <w:sz w:val="14"/>
          </w:rPr>
          <w:fldChar w:fldCharType="begin"/>
        </w:r>
        <w:r w:rsidRPr="002B642A">
          <w:rPr>
            <w:sz w:val="14"/>
          </w:rPr>
          <w:instrText>PAGE   \* MERGEFORMAT</w:instrText>
        </w:r>
        <w:r w:rsidRPr="002B642A">
          <w:rPr>
            <w:sz w:val="14"/>
          </w:rPr>
          <w:fldChar w:fldCharType="separate"/>
        </w:r>
        <w:r w:rsidR="006B47CB">
          <w:rPr>
            <w:noProof/>
            <w:sz w:val="14"/>
          </w:rPr>
          <w:t>1</w:t>
        </w:r>
        <w:r w:rsidRPr="002B642A">
          <w:rPr>
            <w:sz w:val="14"/>
          </w:rPr>
          <w:fldChar w:fldCharType="end"/>
        </w:r>
        <w:r w:rsidRPr="002B642A">
          <w:rPr>
            <w:sz w:val="14"/>
          </w:rPr>
          <w:t xml:space="preserve"> | </w:t>
        </w:r>
        <w:r w:rsidRPr="002B642A">
          <w:rPr>
            <w:color w:val="7F7F7F" w:themeColor="background1" w:themeShade="7F"/>
            <w:spacing w:val="60"/>
            <w:sz w:val="14"/>
          </w:rPr>
          <w:t>Strona</w:t>
        </w:r>
      </w:p>
    </w:sdtContent>
  </w:sdt>
  <w:p w14:paraId="68F9F10E" w14:textId="77777777" w:rsidR="002B642A" w:rsidRDefault="002B642A">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8FDB852" w14:textId="77777777" w:rsidR="00305437" w:rsidRDefault="00305437" w:rsidP="00771372">
      <w:pPr>
        <w:spacing w:after="0" w:line="240" w:lineRule="auto"/>
      </w:pPr>
      <w:r>
        <w:separator/>
      </w:r>
    </w:p>
  </w:footnote>
  <w:footnote w:type="continuationSeparator" w:id="0">
    <w:p w14:paraId="4DC42DBF" w14:textId="77777777" w:rsidR="00305437" w:rsidRDefault="00305437" w:rsidP="00771372">
      <w:pPr>
        <w:spacing w:after="0" w:line="240" w:lineRule="auto"/>
      </w:pPr>
      <w:r>
        <w:continuationSeparator/>
      </w:r>
    </w:p>
  </w:footnote>
  <w:footnote w:id="1">
    <w:p w14:paraId="4436A7C7" w14:textId="77777777" w:rsidR="00771372" w:rsidRPr="00DC2637" w:rsidRDefault="00771372" w:rsidP="00771372">
      <w:pPr>
        <w:pStyle w:val="Tekstprzypisudolnego"/>
        <w:rPr>
          <w:rFonts w:asciiTheme="minorHAnsi" w:hAnsiTheme="minorHAnsi" w:cstheme="minorHAnsi"/>
        </w:rPr>
      </w:pPr>
      <w:r w:rsidRPr="00DC2637">
        <w:rPr>
          <w:rStyle w:val="Odwoanieprzypisudolnego"/>
          <w:rFonts w:asciiTheme="minorHAnsi" w:hAnsiTheme="minorHAnsi" w:cstheme="minorHAnsi"/>
          <w:sz w:val="14"/>
        </w:rPr>
        <w:footnoteRef/>
      </w:r>
      <w:r w:rsidRPr="00DC2637">
        <w:rPr>
          <w:rFonts w:asciiTheme="minorHAnsi" w:hAnsiTheme="minorHAnsi" w:cstheme="minorHAnsi"/>
          <w:sz w:val="14"/>
        </w:rPr>
        <w:t xml:space="preserve"> W Szczegółowym Opisie Priorytetowych PO PC, w ramach działania 2.1, nie planuje się wskaźników o charakterze rezultatu bezpośredniego.</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405095"/>
    <w:multiLevelType w:val="hybridMultilevel"/>
    <w:tmpl w:val="437678FE"/>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 w15:restartNumberingAfterBreak="0">
    <w:nsid w:val="0A754A9E"/>
    <w:multiLevelType w:val="hybridMultilevel"/>
    <w:tmpl w:val="C126416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48D3787C"/>
    <w:multiLevelType w:val="hybridMultilevel"/>
    <w:tmpl w:val="194820B6"/>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 w15:restartNumberingAfterBreak="0">
    <w:nsid w:val="4FBB07AF"/>
    <w:multiLevelType w:val="hybridMultilevel"/>
    <w:tmpl w:val="E0747084"/>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 w15:restartNumberingAfterBreak="0">
    <w:nsid w:val="550565D7"/>
    <w:multiLevelType w:val="hybridMultilevel"/>
    <w:tmpl w:val="5464E30E"/>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 w15:restartNumberingAfterBreak="0">
    <w:nsid w:val="718E1BCE"/>
    <w:multiLevelType w:val="hybridMultilevel"/>
    <w:tmpl w:val="E1C25D42"/>
    <w:lvl w:ilvl="0" w:tplc="38AC9B56">
      <w:start w:val="1"/>
      <w:numFmt w:val="decimal"/>
      <w:lvlText w:val="%1."/>
      <w:lvlJc w:val="left"/>
      <w:pPr>
        <w:ind w:left="720" w:hanging="360"/>
      </w:pPr>
      <w:rPr>
        <w:rFonts w:ascii="Arial Narrow" w:hAnsi="Arial Narrow" w:hint="default"/>
        <w:b/>
        <w:color w:val="auto"/>
        <w:sz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72FA3282"/>
    <w:multiLevelType w:val="hybridMultilevel"/>
    <w:tmpl w:val="B048403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abstractNumId w:val="1"/>
  </w:num>
  <w:num w:numId="2">
    <w:abstractNumId w:val="2"/>
  </w:num>
  <w:num w:numId="3">
    <w:abstractNumId w:val="0"/>
  </w:num>
  <w:num w:numId="4">
    <w:abstractNumId w:val="4"/>
  </w:num>
  <w:num w:numId="5">
    <w:abstractNumId w:val="3"/>
  </w:num>
  <w:num w:numId="6">
    <w:abstractNumId w:val="6"/>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0A3D"/>
    <w:rsid w:val="000073E7"/>
    <w:rsid w:val="000869E1"/>
    <w:rsid w:val="00087CDF"/>
    <w:rsid w:val="00096112"/>
    <w:rsid w:val="000C76C9"/>
    <w:rsid w:val="000D3CA9"/>
    <w:rsid w:val="000E0C6F"/>
    <w:rsid w:val="000E7D7A"/>
    <w:rsid w:val="00112D8A"/>
    <w:rsid w:val="0011428E"/>
    <w:rsid w:val="001455E8"/>
    <w:rsid w:val="00156D53"/>
    <w:rsid w:val="001600BB"/>
    <w:rsid w:val="00164D9A"/>
    <w:rsid w:val="001806EC"/>
    <w:rsid w:val="001A1FD3"/>
    <w:rsid w:val="001C611C"/>
    <w:rsid w:val="001C6D7D"/>
    <w:rsid w:val="00210398"/>
    <w:rsid w:val="0021582D"/>
    <w:rsid w:val="00221D76"/>
    <w:rsid w:val="00234A1E"/>
    <w:rsid w:val="002450C4"/>
    <w:rsid w:val="00245DFE"/>
    <w:rsid w:val="00263656"/>
    <w:rsid w:val="00292A5B"/>
    <w:rsid w:val="002A153C"/>
    <w:rsid w:val="002A728C"/>
    <w:rsid w:val="002B642A"/>
    <w:rsid w:val="002E20D9"/>
    <w:rsid w:val="002F65FC"/>
    <w:rsid w:val="00305437"/>
    <w:rsid w:val="003161C7"/>
    <w:rsid w:val="00345E59"/>
    <w:rsid w:val="00380DF8"/>
    <w:rsid w:val="003B107D"/>
    <w:rsid w:val="003B7BD6"/>
    <w:rsid w:val="003D6F0F"/>
    <w:rsid w:val="003D7919"/>
    <w:rsid w:val="004046DC"/>
    <w:rsid w:val="00443EF7"/>
    <w:rsid w:val="004A2701"/>
    <w:rsid w:val="004B19FE"/>
    <w:rsid w:val="004D135D"/>
    <w:rsid w:val="004E0D8E"/>
    <w:rsid w:val="004E6DFE"/>
    <w:rsid w:val="00516C63"/>
    <w:rsid w:val="005630A4"/>
    <w:rsid w:val="0058262E"/>
    <w:rsid w:val="005A4344"/>
    <w:rsid w:val="005A6C1A"/>
    <w:rsid w:val="005C1B2A"/>
    <w:rsid w:val="005C5466"/>
    <w:rsid w:val="005D4188"/>
    <w:rsid w:val="00622AD4"/>
    <w:rsid w:val="00632AA0"/>
    <w:rsid w:val="00643672"/>
    <w:rsid w:val="00662B1B"/>
    <w:rsid w:val="00677DC4"/>
    <w:rsid w:val="00687AFE"/>
    <w:rsid w:val="00690C6E"/>
    <w:rsid w:val="00692D9D"/>
    <w:rsid w:val="006B47CB"/>
    <w:rsid w:val="006B7454"/>
    <w:rsid w:val="006D71D6"/>
    <w:rsid w:val="00701FEF"/>
    <w:rsid w:val="00715F4A"/>
    <w:rsid w:val="00716201"/>
    <w:rsid w:val="007408A3"/>
    <w:rsid w:val="00743031"/>
    <w:rsid w:val="007437D9"/>
    <w:rsid w:val="00771372"/>
    <w:rsid w:val="00773523"/>
    <w:rsid w:val="007816FF"/>
    <w:rsid w:val="007A0A3D"/>
    <w:rsid w:val="007A3C5B"/>
    <w:rsid w:val="007B772D"/>
    <w:rsid w:val="007C54F9"/>
    <w:rsid w:val="007E2F1F"/>
    <w:rsid w:val="007E6098"/>
    <w:rsid w:val="007F63EF"/>
    <w:rsid w:val="00813FEF"/>
    <w:rsid w:val="00814C23"/>
    <w:rsid w:val="008213A6"/>
    <w:rsid w:val="00856D2A"/>
    <w:rsid w:val="008632E4"/>
    <w:rsid w:val="00867879"/>
    <w:rsid w:val="008927DE"/>
    <w:rsid w:val="008E0416"/>
    <w:rsid w:val="008E28E5"/>
    <w:rsid w:val="008F6B23"/>
    <w:rsid w:val="00905779"/>
    <w:rsid w:val="00914324"/>
    <w:rsid w:val="0092099A"/>
    <w:rsid w:val="00920CE8"/>
    <w:rsid w:val="00982DC4"/>
    <w:rsid w:val="009A7C3F"/>
    <w:rsid w:val="009C62DC"/>
    <w:rsid w:val="009D3D41"/>
    <w:rsid w:val="009E1398"/>
    <w:rsid w:val="009E3833"/>
    <w:rsid w:val="00A12836"/>
    <w:rsid w:val="00A1534B"/>
    <w:rsid w:val="00A522AB"/>
    <w:rsid w:val="00A6601B"/>
    <w:rsid w:val="00A710B2"/>
    <w:rsid w:val="00AA1C73"/>
    <w:rsid w:val="00AA21AA"/>
    <w:rsid w:val="00AB6544"/>
    <w:rsid w:val="00AB6E89"/>
    <w:rsid w:val="00AF2165"/>
    <w:rsid w:val="00B33C04"/>
    <w:rsid w:val="00B57299"/>
    <w:rsid w:val="00B625C6"/>
    <w:rsid w:val="00B67E2B"/>
    <w:rsid w:val="00B93735"/>
    <w:rsid w:val="00BB2A4E"/>
    <w:rsid w:val="00BC120E"/>
    <w:rsid w:val="00BE3BD1"/>
    <w:rsid w:val="00C250D2"/>
    <w:rsid w:val="00C279AE"/>
    <w:rsid w:val="00C37A3A"/>
    <w:rsid w:val="00C42446"/>
    <w:rsid w:val="00C46650"/>
    <w:rsid w:val="00C546B0"/>
    <w:rsid w:val="00C56B53"/>
    <w:rsid w:val="00C67B9B"/>
    <w:rsid w:val="00C70517"/>
    <w:rsid w:val="00C823C5"/>
    <w:rsid w:val="00C82EC7"/>
    <w:rsid w:val="00C948E6"/>
    <w:rsid w:val="00CA79E4"/>
    <w:rsid w:val="00CB74B0"/>
    <w:rsid w:val="00CF4111"/>
    <w:rsid w:val="00D22A05"/>
    <w:rsid w:val="00D2582C"/>
    <w:rsid w:val="00D65F79"/>
    <w:rsid w:val="00D90625"/>
    <w:rsid w:val="00DB3400"/>
    <w:rsid w:val="00DB70A5"/>
    <w:rsid w:val="00DC2637"/>
    <w:rsid w:val="00DD6949"/>
    <w:rsid w:val="00DF6058"/>
    <w:rsid w:val="00E30008"/>
    <w:rsid w:val="00E369E5"/>
    <w:rsid w:val="00E452EE"/>
    <w:rsid w:val="00E52249"/>
    <w:rsid w:val="00E65738"/>
    <w:rsid w:val="00E65827"/>
    <w:rsid w:val="00E8494E"/>
    <w:rsid w:val="00E857FF"/>
    <w:rsid w:val="00E9145F"/>
    <w:rsid w:val="00EF094D"/>
    <w:rsid w:val="00EF49F3"/>
    <w:rsid w:val="00F312D8"/>
    <w:rsid w:val="00F32CAA"/>
    <w:rsid w:val="00F43107"/>
    <w:rsid w:val="00F55768"/>
    <w:rsid w:val="00F741B3"/>
    <w:rsid w:val="00F82254"/>
    <w:rsid w:val="00FA2C7F"/>
    <w:rsid w:val="00FB58CF"/>
    <w:rsid w:val="00FD074F"/>
    <w:rsid w:val="00FE52F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DD4179"/>
  <w15:docId w15:val="{1ACE7451-0CAE-4C0E-BB50-571F33C6A3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7A0A3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7A0A3D"/>
    <w:pPr>
      <w:ind w:left="720"/>
      <w:contextualSpacing/>
    </w:pPr>
  </w:style>
  <w:style w:type="paragraph" w:styleId="Tekstdymka">
    <w:name w:val="Balloon Text"/>
    <w:basedOn w:val="Normalny"/>
    <w:link w:val="TekstdymkaZnak"/>
    <w:uiPriority w:val="99"/>
    <w:semiHidden/>
    <w:unhideWhenUsed/>
    <w:rsid w:val="004D135D"/>
    <w:pPr>
      <w:spacing w:after="0" w:line="240" w:lineRule="auto"/>
    </w:pPr>
    <w:rPr>
      <w:rFonts w:ascii="Times New Roman" w:hAnsi="Times New Roman" w:cs="Times New Roman"/>
      <w:sz w:val="18"/>
      <w:szCs w:val="18"/>
    </w:rPr>
  </w:style>
  <w:style w:type="character" w:customStyle="1" w:styleId="TekstdymkaZnak">
    <w:name w:val="Tekst dymka Znak"/>
    <w:basedOn w:val="Domylnaczcionkaakapitu"/>
    <w:link w:val="Tekstdymka"/>
    <w:uiPriority w:val="99"/>
    <w:semiHidden/>
    <w:rsid w:val="004D135D"/>
    <w:rPr>
      <w:rFonts w:ascii="Times New Roman" w:hAnsi="Times New Roman" w:cs="Times New Roman"/>
      <w:sz w:val="18"/>
      <w:szCs w:val="18"/>
    </w:rPr>
  </w:style>
  <w:style w:type="character" w:styleId="Odwoaniedokomentarza">
    <w:name w:val="annotation reference"/>
    <w:basedOn w:val="Domylnaczcionkaakapitu"/>
    <w:uiPriority w:val="99"/>
    <w:semiHidden/>
    <w:unhideWhenUsed/>
    <w:rsid w:val="00813FEF"/>
    <w:rPr>
      <w:sz w:val="16"/>
      <w:szCs w:val="16"/>
    </w:rPr>
  </w:style>
  <w:style w:type="paragraph" w:styleId="Tekstkomentarza">
    <w:name w:val="annotation text"/>
    <w:basedOn w:val="Normalny"/>
    <w:link w:val="TekstkomentarzaZnak"/>
    <w:uiPriority w:val="99"/>
    <w:semiHidden/>
    <w:unhideWhenUsed/>
    <w:rsid w:val="00813FEF"/>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813FEF"/>
    <w:rPr>
      <w:sz w:val="20"/>
      <w:szCs w:val="20"/>
    </w:rPr>
  </w:style>
  <w:style w:type="paragraph" w:styleId="Tekstpodstawowy2">
    <w:name w:val="Body Text 2"/>
    <w:basedOn w:val="Normalny"/>
    <w:link w:val="Tekstpodstawowy2Znak"/>
    <w:rsid w:val="00771372"/>
    <w:pPr>
      <w:spacing w:after="120" w:line="240" w:lineRule="auto"/>
      <w:ind w:left="900"/>
    </w:pPr>
    <w:rPr>
      <w:rFonts w:ascii="Arial" w:eastAsia="Times New Roman" w:hAnsi="Arial" w:cs="Times New Roman"/>
      <w:sz w:val="24"/>
      <w:szCs w:val="24"/>
      <w:lang w:val="en-US"/>
    </w:rPr>
  </w:style>
  <w:style w:type="character" w:customStyle="1" w:styleId="Tekstpodstawowy2Znak">
    <w:name w:val="Tekst podstawowy 2 Znak"/>
    <w:basedOn w:val="Domylnaczcionkaakapitu"/>
    <w:link w:val="Tekstpodstawowy2"/>
    <w:rsid w:val="00771372"/>
    <w:rPr>
      <w:rFonts w:ascii="Arial" w:eastAsia="Times New Roman" w:hAnsi="Arial" w:cs="Times New Roman"/>
      <w:sz w:val="24"/>
      <w:szCs w:val="24"/>
      <w:lang w:val="en-US"/>
    </w:rPr>
  </w:style>
  <w:style w:type="paragraph" w:styleId="Tekstprzypisudolnego">
    <w:name w:val="footnote text"/>
    <w:basedOn w:val="Normalny"/>
    <w:link w:val="TekstprzypisudolnegoZnak"/>
    <w:rsid w:val="00771372"/>
    <w:pPr>
      <w:spacing w:after="0" w:line="240" w:lineRule="auto"/>
    </w:pPr>
    <w:rPr>
      <w:rFonts w:ascii="Times New Roman" w:eastAsia="Calibri" w:hAnsi="Times New Roman" w:cs="Times New Roman"/>
      <w:sz w:val="24"/>
      <w:szCs w:val="24"/>
      <w:lang w:val="x-none" w:eastAsia="pl-PL"/>
    </w:rPr>
  </w:style>
  <w:style w:type="character" w:customStyle="1" w:styleId="TekstprzypisudolnegoZnak">
    <w:name w:val="Tekst przypisu dolnego Znak"/>
    <w:basedOn w:val="Domylnaczcionkaakapitu"/>
    <w:link w:val="Tekstprzypisudolnego"/>
    <w:rsid w:val="00771372"/>
    <w:rPr>
      <w:rFonts w:ascii="Times New Roman" w:eastAsia="Calibri" w:hAnsi="Times New Roman" w:cs="Times New Roman"/>
      <w:sz w:val="24"/>
      <w:szCs w:val="24"/>
      <w:lang w:val="x-none" w:eastAsia="pl-PL"/>
    </w:rPr>
  </w:style>
  <w:style w:type="character" w:styleId="Odwoanieprzypisudolnego">
    <w:name w:val="footnote reference"/>
    <w:uiPriority w:val="99"/>
    <w:rsid w:val="00771372"/>
    <w:rPr>
      <w:rFonts w:cs="Times New Roman"/>
      <w:vertAlign w:val="superscript"/>
    </w:rPr>
  </w:style>
  <w:style w:type="table" w:customStyle="1" w:styleId="Tabela-Siatka1">
    <w:name w:val="Tabela - Siatka1"/>
    <w:basedOn w:val="Standardowy"/>
    <w:next w:val="Tabela-Siatka"/>
    <w:rsid w:val="00690C6E"/>
    <w:pPr>
      <w:spacing w:after="0" w:line="240" w:lineRule="auto"/>
    </w:pPr>
    <w:rPr>
      <w:rFonts w:ascii="Times New Roman" w:eastAsia="Times New Roman" w:hAnsi="Times New Roman"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egenda">
    <w:name w:val="caption"/>
    <w:basedOn w:val="Normalny"/>
    <w:next w:val="Normalny"/>
    <w:link w:val="LegendaZnak"/>
    <w:uiPriority w:val="99"/>
    <w:qFormat/>
    <w:rsid w:val="000073E7"/>
    <w:pPr>
      <w:widowControl w:val="0"/>
      <w:suppressAutoHyphens/>
      <w:spacing w:after="0" w:line="240" w:lineRule="auto"/>
    </w:pPr>
    <w:rPr>
      <w:rFonts w:ascii="Times New Roman" w:eastAsia="Arial Unicode MS" w:hAnsi="Times New Roman" w:cs="Times New Roman"/>
      <w:b/>
      <w:bCs/>
      <w:kern w:val="1"/>
      <w:sz w:val="24"/>
      <w:szCs w:val="24"/>
    </w:rPr>
  </w:style>
  <w:style w:type="character" w:customStyle="1" w:styleId="LegendaZnak">
    <w:name w:val="Legenda Znak"/>
    <w:link w:val="Legenda"/>
    <w:uiPriority w:val="99"/>
    <w:locked/>
    <w:rsid w:val="000073E7"/>
    <w:rPr>
      <w:rFonts w:ascii="Times New Roman" w:eastAsia="Arial Unicode MS" w:hAnsi="Times New Roman" w:cs="Times New Roman"/>
      <w:b/>
      <w:bCs/>
      <w:kern w:val="1"/>
      <w:sz w:val="24"/>
      <w:szCs w:val="24"/>
    </w:rPr>
  </w:style>
  <w:style w:type="character" w:styleId="Hipercze">
    <w:name w:val="Hyperlink"/>
    <w:basedOn w:val="Domylnaczcionkaakapitu"/>
    <w:uiPriority w:val="99"/>
    <w:unhideWhenUsed/>
    <w:rsid w:val="00E369E5"/>
    <w:rPr>
      <w:color w:val="0563C1" w:themeColor="hyperlink"/>
      <w:u w:val="single"/>
    </w:rPr>
  </w:style>
  <w:style w:type="character" w:styleId="UyteHipercze">
    <w:name w:val="FollowedHyperlink"/>
    <w:basedOn w:val="Domylnaczcionkaakapitu"/>
    <w:uiPriority w:val="99"/>
    <w:semiHidden/>
    <w:unhideWhenUsed/>
    <w:rsid w:val="00E369E5"/>
    <w:rPr>
      <w:color w:val="954F72" w:themeColor="followedHyperlink"/>
      <w:u w:val="single"/>
    </w:rPr>
  </w:style>
  <w:style w:type="paragraph" w:styleId="Tekstpodstawowy">
    <w:name w:val="Body Text"/>
    <w:basedOn w:val="Normalny"/>
    <w:link w:val="TekstpodstawowyZnak"/>
    <w:uiPriority w:val="99"/>
    <w:semiHidden/>
    <w:unhideWhenUsed/>
    <w:rsid w:val="00292A5B"/>
    <w:pPr>
      <w:spacing w:after="120"/>
    </w:pPr>
  </w:style>
  <w:style w:type="character" w:customStyle="1" w:styleId="TekstpodstawowyZnak">
    <w:name w:val="Tekst podstawowy Znak"/>
    <w:basedOn w:val="Domylnaczcionkaakapitu"/>
    <w:link w:val="Tekstpodstawowy"/>
    <w:uiPriority w:val="99"/>
    <w:semiHidden/>
    <w:rsid w:val="00292A5B"/>
  </w:style>
  <w:style w:type="table" w:styleId="Jasnecieniowanie">
    <w:name w:val="Light Shading"/>
    <w:basedOn w:val="Standardowy"/>
    <w:uiPriority w:val="60"/>
    <w:rsid w:val="008F6B23"/>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Nagwek">
    <w:name w:val="header"/>
    <w:basedOn w:val="Normalny"/>
    <w:link w:val="NagwekZnak"/>
    <w:uiPriority w:val="99"/>
    <w:unhideWhenUsed/>
    <w:rsid w:val="002B642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2B642A"/>
  </w:style>
  <w:style w:type="paragraph" w:styleId="Stopka">
    <w:name w:val="footer"/>
    <w:basedOn w:val="Normalny"/>
    <w:link w:val="StopkaZnak"/>
    <w:uiPriority w:val="99"/>
    <w:unhideWhenUsed/>
    <w:rsid w:val="002B642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2B642A"/>
  </w:style>
  <w:style w:type="paragraph" w:styleId="Tematkomentarza">
    <w:name w:val="annotation subject"/>
    <w:basedOn w:val="Tekstkomentarza"/>
    <w:next w:val="Tekstkomentarza"/>
    <w:link w:val="TematkomentarzaZnak"/>
    <w:uiPriority w:val="99"/>
    <w:semiHidden/>
    <w:unhideWhenUsed/>
    <w:rsid w:val="00E9145F"/>
    <w:rPr>
      <w:b/>
      <w:bCs/>
    </w:rPr>
  </w:style>
  <w:style w:type="character" w:customStyle="1" w:styleId="TematkomentarzaZnak">
    <w:name w:val="Temat komentarza Znak"/>
    <w:basedOn w:val="TekstkomentarzaZnak"/>
    <w:link w:val="Tematkomentarza"/>
    <w:uiPriority w:val="99"/>
    <w:semiHidden/>
    <w:rsid w:val="00E9145F"/>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0296770">
      <w:bodyDiv w:val="1"/>
      <w:marLeft w:val="0"/>
      <w:marRight w:val="0"/>
      <w:marTop w:val="0"/>
      <w:marBottom w:val="0"/>
      <w:divBdr>
        <w:top w:val="none" w:sz="0" w:space="0" w:color="auto"/>
        <w:left w:val="none" w:sz="0" w:space="0" w:color="auto"/>
        <w:bottom w:val="none" w:sz="0" w:space="0" w:color="auto"/>
        <w:right w:val="none" w:sz="0" w:space="0" w:color="auto"/>
      </w:divBdr>
    </w:div>
    <w:div w:id="216861418">
      <w:bodyDiv w:val="1"/>
      <w:marLeft w:val="0"/>
      <w:marRight w:val="0"/>
      <w:marTop w:val="0"/>
      <w:marBottom w:val="0"/>
      <w:divBdr>
        <w:top w:val="none" w:sz="0" w:space="0" w:color="auto"/>
        <w:left w:val="none" w:sz="0" w:space="0" w:color="auto"/>
        <w:bottom w:val="none" w:sz="0" w:space="0" w:color="auto"/>
        <w:right w:val="none" w:sz="0" w:space="0" w:color="auto"/>
      </w:divBdr>
    </w:div>
    <w:div w:id="239602358">
      <w:bodyDiv w:val="1"/>
      <w:marLeft w:val="0"/>
      <w:marRight w:val="0"/>
      <w:marTop w:val="0"/>
      <w:marBottom w:val="0"/>
      <w:divBdr>
        <w:top w:val="none" w:sz="0" w:space="0" w:color="auto"/>
        <w:left w:val="none" w:sz="0" w:space="0" w:color="auto"/>
        <w:bottom w:val="none" w:sz="0" w:space="0" w:color="auto"/>
        <w:right w:val="none" w:sz="0" w:space="0" w:color="auto"/>
      </w:divBdr>
    </w:div>
    <w:div w:id="317851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podatki.mf.gov.p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podatki.mf.gov.pl/" TargetMode="External"/><Relationship Id="rId5" Type="http://schemas.openxmlformats.org/officeDocument/2006/relationships/webSettings" Target="webSettings.xml"/><Relationship Id="rId10" Type="http://schemas.openxmlformats.org/officeDocument/2006/relationships/hyperlink" Target="http://www.epodatki.mf.gov.pl/projekt-e-deklaracje-2/statystyka" TargetMode="External"/><Relationship Id="rId4" Type="http://schemas.openxmlformats.org/officeDocument/2006/relationships/settings" Target="settings.xml"/><Relationship Id="rId9" Type="http://schemas.openxmlformats.org/officeDocument/2006/relationships/hyperlink" Target="http://www.epodatki.mf.gov.pl/" TargetMode="Externa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BE65C9-5760-4A1A-98B4-61AEC71486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5</Pages>
  <Words>2770</Words>
  <Characters>16624</Characters>
  <Application>Microsoft Office Word</Application>
  <DocSecurity>0</DocSecurity>
  <Lines>138</Lines>
  <Paragraphs>38</Paragraphs>
  <ScaleCrop>false</ScaleCrop>
  <HeadingPairs>
    <vt:vector size="2" baseType="variant">
      <vt:variant>
        <vt:lpstr>Tytuł</vt:lpstr>
      </vt:variant>
      <vt:variant>
        <vt:i4>1</vt:i4>
      </vt:variant>
    </vt:vector>
  </HeadingPairs>
  <TitlesOfParts>
    <vt:vector size="1" baseType="lpstr">
      <vt:lpstr/>
    </vt:vector>
  </TitlesOfParts>
  <Company>MAiC</Company>
  <LinksUpToDate>false</LinksUpToDate>
  <CharactersWithSpaces>19356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Sankiewicz Szymon</dc:creator>
  <cp:lastModifiedBy>Wróbel Krzysztof</cp:lastModifiedBy>
  <cp:revision>6</cp:revision>
  <cp:lastPrinted>2019-06-03T11:33:00Z</cp:lastPrinted>
  <dcterms:created xsi:type="dcterms:W3CDTF">2019-07-31T09:44:00Z</dcterms:created>
  <dcterms:modified xsi:type="dcterms:W3CDTF">2019-08-12T13:51:00Z</dcterms:modified>
</cp:coreProperties>
</file>