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E1CE" w14:textId="77777777" w:rsidR="00C1311C" w:rsidRPr="00C1311C" w:rsidRDefault="00C1311C" w:rsidP="0029392B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1D96DE8" w14:textId="1E84B10D" w:rsidR="0029392B" w:rsidRPr="00C1311C" w:rsidRDefault="0029392B" w:rsidP="0029392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1311C">
        <w:rPr>
          <w:rFonts w:ascii="Calibri" w:hAnsi="Calibri" w:cs="Calibri"/>
          <w:b/>
          <w:bCs/>
          <w:sz w:val="24"/>
          <w:szCs w:val="24"/>
        </w:rPr>
        <w:t xml:space="preserve">Opinia </w:t>
      </w:r>
      <w:r w:rsidR="001556E7" w:rsidRPr="001556E7">
        <w:rPr>
          <w:rFonts w:ascii="Calibri" w:hAnsi="Calibri" w:cs="Calibri"/>
          <w:b/>
          <w:bCs/>
          <w:sz w:val="24"/>
          <w:szCs w:val="24"/>
        </w:rPr>
        <w:t>Komisj</w:t>
      </w:r>
      <w:r w:rsidR="00237723">
        <w:rPr>
          <w:rFonts w:ascii="Calibri" w:hAnsi="Calibri" w:cs="Calibri"/>
          <w:b/>
          <w:bCs/>
          <w:sz w:val="24"/>
          <w:szCs w:val="24"/>
        </w:rPr>
        <w:t>i</w:t>
      </w:r>
      <w:r w:rsidR="001556E7" w:rsidRPr="001556E7">
        <w:rPr>
          <w:rFonts w:ascii="Calibri" w:hAnsi="Calibri" w:cs="Calibri"/>
          <w:b/>
          <w:bCs/>
          <w:sz w:val="24"/>
          <w:szCs w:val="24"/>
        </w:rPr>
        <w:t xml:space="preserve"> Kodyfikacyjn</w:t>
      </w:r>
      <w:r w:rsidR="00237723">
        <w:rPr>
          <w:rFonts w:ascii="Calibri" w:hAnsi="Calibri" w:cs="Calibri"/>
          <w:b/>
          <w:bCs/>
          <w:sz w:val="24"/>
          <w:szCs w:val="24"/>
        </w:rPr>
        <w:t>ej</w:t>
      </w:r>
      <w:r w:rsidR="001556E7" w:rsidRPr="001556E7">
        <w:rPr>
          <w:rFonts w:ascii="Calibri" w:hAnsi="Calibri" w:cs="Calibri"/>
          <w:b/>
          <w:bCs/>
          <w:sz w:val="24"/>
          <w:szCs w:val="24"/>
        </w:rPr>
        <w:t xml:space="preserve"> Prawa Karnego </w:t>
      </w:r>
      <w:r w:rsidRPr="00C1311C">
        <w:rPr>
          <w:rFonts w:ascii="Calibri" w:hAnsi="Calibri" w:cs="Calibri"/>
          <w:b/>
          <w:bCs/>
          <w:sz w:val="24"/>
          <w:szCs w:val="24"/>
        </w:rPr>
        <w:t xml:space="preserve">w przedmiocie wprowadzenia zasady </w:t>
      </w:r>
    </w:p>
    <w:p w14:paraId="0F5627E7" w14:textId="30060423" w:rsidR="003375BB" w:rsidRDefault="0029392B" w:rsidP="0029392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1311C">
        <w:rPr>
          <w:rFonts w:ascii="Calibri" w:hAnsi="Calibri" w:cs="Calibri"/>
          <w:b/>
          <w:bCs/>
          <w:sz w:val="24"/>
          <w:szCs w:val="24"/>
        </w:rPr>
        <w:t>odpłatnego pełnienia dyżurów obrończych w postępowaniu karnym</w:t>
      </w:r>
    </w:p>
    <w:p w14:paraId="4BDB9129" w14:textId="77777777" w:rsidR="0029392B" w:rsidRPr="00C1311C" w:rsidRDefault="0029392B" w:rsidP="0029392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C84FA50" w14:textId="77777777" w:rsidR="0029392B" w:rsidRDefault="0029392B" w:rsidP="0029392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60EE6CD" w14:textId="77777777" w:rsidR="00C1311C" w:rsidRPr="00C1311C" w:rsidRDefault="00C1311C" w:rsidP="0029392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47E7671" w14:textId="7EEE8DC0" w:rsidR="0029392B" w:rsidRDefault="00C1311C" w:rsidP="00C131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Dyrektor Departamentu Prawa Karnego Ministerstwa Sprawiedliwości </w:t>
      </w:r>
      <w:r w:rsidRPr="00C1311C">
        <w:rPr>
          <w:rFonts w:ascii="Calibri" w:hAnsi="Calibri" w:cs="Calibri"/>
          <w:sz w:val="24"/>
          <w:szCs w:val="24"/>
        </w:rPr>
        <w:t>zwr</w:t>
      </w:r>
      <w:r>
        <w:rPr>
          <w:rFonts w:ascii="Calibri" w:hAnsi="Calibri" w:cs="Calibri"/>
          <w:sz w:val="24"/>
          <w:szCs w:val="24"/>
        </w:rPr>
        <w:t>ócił</w:t>
      </w:r>
      <w:r w:rsidRPr="00C1311C">
        <w:rPr>
          <w:rFonts w:ascii="Calibri" w:hAnsi="Calibri" w:cs="Calibri"/>
          <w:sz w:val="24"/>
          <w:szCs w:val="24"/>
        </w:rPr>
        <w:t xml:space="preserve"> się o</w:t>
      </w:r>
      <w:r w:rsidR="00691D67">
        <w:rPr>
          <w:rFonts w:ascii="Calibri" w:hAnsi="Calibri" w:cs="Calibri"/>
          <w:sz w:val="24"/>
          <w:szCs w:val="24"/>
        </w:rPr>
        <w:t> </w:t>
      </w:r>
      <w:r w:rsidRPr="00C1311C">
        <w:rPr>
          <w:rFonts w:ascii="Calibri" w:hAnsi="Calibri" w:cs="Calibri"/>
          <w:sz w:val="24"/>
          <w:szCs w:val="24"/>
        </w:rPr>
        <w:t xml:space="preserve">wyrażenie przez Komisję Kodyfikacyjną Prawa Karnego stanowiska w sprawie wskazania w art. 517j § 2 k.p.k. zasady, że dyżury obrończe w postępowaniu przyspieszonym pełnione są odpłatnie </w:t>
      </w:r>
      <w:r w:rsidR="00691D67">
        <w:rPr>
          <w:rFonts w:ascii="Calibri" w:hAnsi="Calibri" w:cs="Calibri"/>
          <w:sz w:val="24"/>
          <w:szCs w:val="24"/>
        </w:rPr>
        <w:t>i</w:t>
      </w:r>
      <w:r w:rsidRPr="00C1311C">
        <w:rPr>
          <w:rFonts w:ascii="Calibri" w:hAnsi="Calibri" w:cs="Calibri"/>
          <w:sz w:val="24"/>
          <w:szCs w:val="24"/>
        </w:rPr>
        <w:t xml:space="preserve"> określenia w rozporządzeniu Ministra Sprawiedliwości wysokości wynagrodzenia za pełnienie takiego dyżuru.</w:t>
      </w:r>
    </w:p>
    <w:p w14:paraId="1AC8B171" w14:textId="2604B3C5" w:rsidR="00C1311C" w:rsidRDefault="00C1311C" w:rsidP="00C131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Kwestia powyższa wynikła w związku z petycją adwokata Roberta Pogorzelskiego, który zwrócił się do Ministra Sprawiedliwości o podjęcie inicjatywy ustawodawczej zmierzającej do wskazania w art. 517j k.p.k. zasady, że dyżury obrończe w postępowaniu przyspieszonym pełnione są odpłatnie</w:t>
      </w:r>
      <w:r w:rsidR="005A49F8">
        <w:rPr>
          <w:rFonts w:ascii="Calibri" w:hAnsi="Calibri" w:cs="Calibri"/>
          <w:sz w:val="24"/>
          <w:szCs w:val="24"/>
        </w:rPr>
        <w:t xml:space="preserve"> oraz określenia przez Ministra Sprawiedliwości w</w:t>
      </w:r>
      <w:r w:rsidR="00691D67">
        <w:rPr>
          <w:rFonts w:ascii="Calibri" w:hAnsi="Calibri" w:cs="Calibri"/>
          <w:sz w:val="24"/>
          <w:szCs w:val="24"/>
        </w:rPr>
        <w:t> </w:t>
      </w:r>
      <w:r w:rsidR="005A49F8">
        <w:rPr>
          <w:rFonts w:ascii="Calibri" w:hAnsi="Calibri" w:cs="Calibri"/>
          <w:sz w:val="24"/>
          <w:szCs w:val="24"/>
        </w:rPr>
        <w:t>rozporządzeniu wysokości wynagrodzenia za pełnienie dyżuru. W petycji wskazano, że adwokat wyznaczony do pełnienia dyżuru pozostaje ograniczony w konstytucyjnych swobodach obywatelskich (wolność przemieszczania się oraz swoboda wykonywania zawodu), zaś brak wynagrodzenia za pełnienie dyżuru i brak zwrotu kosztów poniesionych z tego tytułu jest nie do pogodzenia z art. 65 ust. 4 Konstytucji RP, art. 23 Powszechnej Deklaracji Praw Człowieka, art. 4 Międzynarodowego Paktu Praw Społecznych oraz art. 4 Europejskiej Karty Socjalnej.</w:t>
      </w:r>
    </w:p>
    <w:p w14:paraId="5718AA36" w14:textId="2047AE6A" w:rsidR="005A49F8" w:rsidRDefault="00705D2A" w:rsidP="00C131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5A49F8">
        <w:rPr>
          <w:rFonts w:ascii="Calibri" w:hAnsi="Calibri" w:cs="Calibri"/>
          <w:sz w:val="24"/>
          <w:szCs w:val="24"/>
        </w:rPr>
        <w:t xml:space="preserve">becnie obowiązujący art. 517j </w:t>
      </w:r>
      <w:r>
        <w:rPr>
          <w:rFonts w:ascii="Calibri" w:hAnsi="Calibri" w:cs="Calibri"/>
          <w:sz w:val="24"/>
          <w:szCs w:val="24"/>
        </w:rPr>
        <w:t xml:space="preserve">§ 1 </w:t>
      </w:r>
      <w:r w:rsidR="005A49F8">
        <w:rPr>
          <w:rFonts w:ascii="Calibri" w:hAnsi="Calibri" w:cs="Calibri"/>
          <w:sz w:val="24"/>
          <w:szCs w:val="24"/>
        </w:rPr>
        <w:t xml:space="preserve">k.p.k. </w:t>
      </w:r>
      <w:r>
        <w:rPr>
          <w:rFonts w:ascii="Calibri" w:hAnsi="Calibri" w:cs="Calibri"/>
          <w:sz w:val="24"/>
          <w:szCs w:val="24"/>
        </w:rPr>
        <w:t>stanowi, iż w</w:t>
      </w:r>
      <w:r w:rsidRPr="00705D2A">
        <w:rPr>
          <w:rFonts w:ascii="Calibri" w:hAnsi="Calibri" w:cs="Calibri"/>
          <w:sz w:val="24"/>
          <w:szCs w:val="24"/>
        </w:rPr>
        <w:t xml:space="preserve"> celu umożliwienia oskarżonemu korzystania z pomocy obrońcy w postępowaniu przyspieszonym ustanawia się obowiązek pełnienia przez adwokatów i radców prawnych dyżurów w czasie i miejscu ustalonym w</w:t>
      </w:r>
      <w:r w:rsidR="00691D67">
        <w:rPr>
          <w:rFonts w:ascii="Calibri" w:hAnsi="Calibri" w:cs="Calibri"/>
          <w:sz w:val="24"/>
          <w:szCs w:val="24"/>
        </w:rPr>
        <w:t> </w:t>
      </w:r>
      <w:r w:rsidRPr="00705D2A">
        <w:rPr>
          <w:rFonts w:ascii="Calibri" w:hAnsi="Calibri" w:cs="Calibri"/>
          <w:sz w:val="24"/>
          <w:szCs w:val="24"/>
        </w:rPr>
        <w:t>odrębnych przepisach.</w:t>
      </w:r>
      <w:r>
        <w:rPr>
          <w:rFonts w:ascii="Calibri" w:hAnsi="Calibri" w:cs="Calibri"/>
          <w:sz w:val="24"/>
          <w:szCs w:val="24"/>
        </w:rPr>
        <w:t xml:space="preserve"> W § 2 przewidziano podstawę do wydania rozporządzenia określającego m.in. sposób organizacji tych dyżurów. Zgodnie z art. 245 § 2 k.p.k. p</w:t>
      </w:r>
      <w:r w:rsidRPr="00705D2A">
        <w:rPr>
          <w:rFonts w:ascii="Calibri" w:hAnsi="Calibri" w:cs="Calibri"/>
          <w:sz w:val="24"/>
          <w:szCs w:val="24"/>
        </w:rPr>
        <w:t>rzepis art. 517j § 1 oraz przepisy wydane na podstawie art. 517j § 2 stosuje się odpowiednio</w:t>
      </w:r>
      <w:r>
        <w:rPr>
          <w:rFonts w:ascii="Calibri" w:hAnsi="Calibri" w:cs="Calibri"/>
          <w:sz w:val="24"/>
          <w:szCs w:val="24"/>
        </w:rPr>
        <w:t xml:space="preserve"> do zapewnienia zatrzymanemu kontaktu z adwokatem lub radcą prawnym</w:t>
      </w:r>
      <w:r w:rsidRPr="00705D2A">
        <w:rPr>
          <w:rFonts w:ascii="Calibri" w:hAnsi="Calibri" w:cs="Calibri"/>
          <w:sz w:val="24"/>
          <w:szCs w:val="24"/>
        </w:rPr>
        <w:t>.</w:t>
      </w:r>
    </w:p>
    <w:p w14:paraId="6F68E612" w14:textId="4C95047F" w:rsidR="00705D2A" w:rsidRDefault="00705D2A" w:rsidP="00705D2A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Wydane na podstawie art. 517j § 2 k.p.k. rozporządzenie Ministra Sprawiedliwości z dnia 23 czerwca 2015 r. w sprawie </w:t>
      </w:r>
      <w:r w:rsidRPr="00705D2A">
        <w:rPr>
          <w:rFonts w:ascii="Calibri" w:hAnsi="Calibri" w:cs="Calibri"/>
          <w:sz w:val="24"/>
          <w:szCs w:val="24"/>
        </w:rPr>
        <w:t>sposobu zapewnienia oskarżonemu korzystania z pomocy obrońcy w postępowaniu przyspieszonym</w:t>
      </w:r>
      <w:r>
        <w:rPr>
          <w:rFonts w:ascii="Calibri" w:hAnsi="Calibri" w:cs="Calibri"/>
          <w:sz w:val="24"/>
          <w:szCs w:val="24"/>
        </w:rPr>
        <w:t xml:space="preserve"> (Dz. U. poz. 920) przewiduje w § 7 ust. 1, iż a</w:t>
      </w:r>
      <w:r w:rsidRPr="00705D2A">
        <w:rPr>
          <w:rFonts w:ascii="Calibri" w:hAnsi="Calibri" w:cs="Calibri"/>
          <w:sz w:val="24"/>
          <w:szCs w:val="24"/>
        </w:rPr>
        <w:t>dwokaci i radcy prawni pełnią dyżury w godzinach urzędowania właściwego sądu rejonowego ustalonych dla zapewnienia niezwłocznego rozpoznawania spraw w</w:t>
      </w:r>
      <w:r w:rsidR="00691D67">
        <w:rPr>
          <w:rFonts w:ascii="Calibri" w:hAnsi="Calibri" w:cs="Calibri"/>
          <w:sz w:val="24"/>
          <w:szCs w:val="24"/>
        </w:rPr>
        <w:t> </w:t>
      </w:r>
      <w:r w:rsidRPr="00705D2A">
        <w:rPr>
          <w:rFonts w:ascii="Calibri" w:hAnsi="Calibri" w:cs="Calibri"/>
          <w:sz w:val="24"/>
          <w:szCs w:val="24"/>
        </w:rPr>
        <w:t>postępowaniu przyspieszonym</w:t>
      </w:r>
      <w:r>
        <w:rPr>
          <w:rFonts w:ascii="Calibri" w:hAnsi="Calibri" w:cs="Calibri"/>
          <w:sz w:val="24"/>
          <w:szCs w:val="24"/>
        </w:rPr>
        <w:t>. Co do zasady a</w:t>
      </w:r>
      <w:r w:rsidRPr="00705D2A">
        <w:rPr>
          <w:rFonts w:ascii="Calibri" w:hAnsi="Calibri" w:cs="Calibri"/>
          <w:sz w:val="24"/>
          <w:szCs w:val="24"/>
        </w:rPr>
        <w:t xml:space="preserve">dwokaci i radcy prawni </w:t>
      </w:r>
      <w:r>
        <w:rPr>
          <w:rFonts w:ascii="Calibri" w:hAnsi="Calibri" w:cs="Calibri"/>
          <w:sz w:val="24"/>
          <w:szCs w:val="24"/>
        </w:rPr>
        <w:t xml:space="preserve">powinni </w:t>
      </w:r>
      <w:r w:rsidRPr="00705D2A">
        <w:rPr>
          <w:rFonts w:ascii="Calibri" w:hAnsi="Calibri" w:cs="Calibri"/>
          <w:sz w:val="24"/>
          <w:szCs w:val="24"/>
        </w:rPr>
        <w:t>pełni</w:t>
      </w:r>
      <w:r>
        <w:rPr>
          <w:rFonts w:ascii="Calibri" w:hAnsi="Calibri" w:cs="Calibri"/>
          <w:sz w:val="24"/>
          <w:szCs w:val="24"/>
        </w:rPr>
        <w:t>ć</w:t>
      </w:r>
      <w:r w:rsidRPr="00705D2A">
        <w:rPr>
          <w:rFonts w:ascii="Calibri" w:hAnsi="Calibri" w:cs="Calibri"/>
          <w:sz w:val="24"/>
          <w:szCs w:val="24"/>
        </w:rPr>
        <w:t xml:space="preserve"> dyżury w siedzibie właściwego sądu rejonowego</w:t>
      </w:r>
      <w:r w:rsidR="00F1374D">
        <w:rPr>
          <w:rFonts w:ascii="Calibri" w:hAnsi="Calibri" w:cs="Calibri"/>
          <w:sz w:val="24"/>
          <w:szCs w:val="24"/>
        </w:rPr>
        <w:t xml:space="preserve"> (§ 7 ust. 2)</w:t>
      </w:r>
      <w:r>
        <w:rPr>
          <w:rFonts w:ascii="Calibri" w:hAnsi="Calibri" w:cs="Calibri"/>
          <w:sz w:val="24"/>
          <w:szCs w:val="24"/>
        </w:rPr>
        <w:t>,</w:t>
      </w:r>
      <w:r w:rsidR="00F1374D">
        <w:rPr>
          <w:rFonts w:ascii="Calibri" w:hAnsi="Calibri" w:cs="Calibri"/>
          <w:sz w:val="24"/>
          <w:szCs w:val="24"/>
        </w:rPr>
        <w:t xml:space="preserve"> przy czym na wniosek </w:t>
      </w:r>
      <w:r w:rsidR="00F1374D" w:rsidRPr="00F1374D">
        <w:rPr>
          <w:rFonts w:ascii="Calibri" w:hAnsi="Calibri" w:cs="Calibri"/>
          <w:sz w:val="24"/>
          <w:szCs w:val="24"/>
        </w:rPr>
        <w:t>adwokata lub radcy prawnego prezes właściwego sądu rejonowego może zezwolić na pełnienie dyżuru w innym miejscu niż siedziba sądu rejonowego</w:t>
      </w:r>
      <w:r w:rsidR="00F1374D">
        <w:rPr>
          <w:rFonts w:ascii="Calibri" w:hAnsi="Calibri" w:cs="Calibri"/>
          <w:sz w:val="24"/>
          <w:szCs w:val="24"/>
        </w:rPr>
        <w:t xml:space="preserve"> (§ 7 ust. 3).</w:t>
      </w:r>
    </w:p>
    <w:p w14:paraId="775C5E87" w14:textId="647B714F" w:rsidR="00F1374D" w:rsidRDefault="005A49F8" w:rsidP="00C131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opracowanym przez KKPK projekcie tzw. ustawy naprawczej nie zakłada </w:t>
      </w:r>
      <w:r w:rsidR="00F1374D">
        <w:rPr>
          <w:rFonts w:ascii="Calibri" w:hAnsi="Calibri" w:cs="Calibri"/>
          <w:sz w:val="24"/>
          <w:szCs w:val="24"/>
        </w:rPr>
        <w:t xml:space="preserve">się </w:t>
      </w:r>
      <w:r>
        <w:rPr>
          <w:rFonts w:ascii="Calibri" w:hAnsi="Calibri" w:cs="Calibri"/>
          <w:sz w:val="24"/>
          <w:szCs w:val="24"/>
        </w:rPr>
        <w:t xml:space="preserve">w tym zakresie poważniejszych zmian merytorycznych. Dokonano bowiem jedynie uporządkowania regulacji w ten sposób, że unormowanie dotyczące dyżurów obrończych </w:t>
      </w:r>
      <w:r w:rsidR="00691D67">
        <w:rPr>
          <w:rFonts w:ascii="Calibri" w:hAnsi="Calibri" w:cs="Calibri"/>
          <w:sz w:val="24"/>
          <w:szCs w:val="24"/>
        </w:rPr>
        <w:lastRenderedPageBreak/>
        <w:t xml:space="preserve">miałoby </w:t>
      </w:r>
      <w:r>
        <w:rPr>
          <w:rFonts w:ascii="Calibri" w:hAnsi="Calibri" w:cs="Calibri"/>
          <w:sz w:val="24"/>
          <w:szCs w:val="24"/>
        </w:rPr>
        <w:t>zosta</w:t>
      </w:r>
      <w:r w:rsidR="00691D67">
        <w:rPr>
          <w:rFonts w:ascii="Calibri" w:hAnsi="Calibri" w:cs="Calibri"/>
          <w:sz w:val="24"/>
          <w:szCs w:val="24"/>
        </w:rPr>
        <w:t>ć</w:t>
      </w:r>
      <w:r>
        <w:rPr>
          <w:rFonts w:ascii="Calibri" w:hAnsi="Calibri" w:cs="Calibri"/>
          <w:sz w:val="24"/>
          <w:szCs w:val="24"/>
        </w:rPr>
        <w:t xml:space="preserve"> przeniesione do przepis</w:t>
      </w:r>
      <w:r w:rsidR="00BD6DED">
        <w:rPr>
          <w:rFonts w:ascii="Calibri" w:hAnsi="Calibri" w:cs="Calibri"/>
          <w:sz w:val="24"/>
          <w:szCs w:val="24"/>
        </w:rPr>
        <w:t xml:space="preserve">ów dotyczących zatrzymania, zaś art. 517j k.p.k. ma jedynie przewidywać zasadę, </w:t>
      </w:r>
      <w:r w:rsidR="00F1374D">
        <w:rPr>
          <w:rFonts w:ascii="Calibri" w:hAnsi="Calibri" w:cs="Calibri"/>
          <w:sz w:val="24"/>
          <w:szCs w:val="24"/>
        </w:rPr>
        <w:t>i</w:t>
      </w:r>
      <w:r w:rsidR="00BD6DED">
        <w:rPr>
          <w:rFonts w:ascii="Calibri" w:hAnsi="Calibri" w:cs="Calibri"/>
          <w:sz w:val="24"/>
          <w:szCs w:val="24"/>
        </w:rPr>
        <w:t>ż przepisy te znajdują również odpowiednie zastosowanie w</w:t>
      </w:r>
      <w:r w:rsidR="00691D67">
        <w:rPr>
          <w:rFonts w:ascii="Calibri" w:hAnsi="Calibri" w:cs="Calibri"/>
          <w:sz w:val="24"/>
          <w:szCs w:val="24"/>
        </w:rPr>
        <w:t> </w:t>
      </w:r>
      <w:r w:rsidR="00BD6DED">
        <w:rPr>
          <w:rFonts w:ascii="Calibri" w:hAnsi="Calibri" w:cs="Calibri"/>
          <w:sz w:val="24"/>
          <w:szCs w:val="24"/>
        </w:rPr>
        <w:t>postępowaniu przyspieszonym.</w:t>
      </w:r>
      <w:r w:rsidR="00F1374D">
        <w:rPr>
          <w:rFonts w:ascii="Calibri" w:hAnsi="Calibri" w:cs="Calibri"/>
          <w:sz w:val="24"/>
          <w:szCs w:val="24"/>
        </w:rPr>
        <w:t xml:space="preserve"> Uznano bowiem, że podstawowy charakter ma regulacja dotycząca pomocy prawnej dla zatrzymanego (zwłaszcza w związku z poszerzeniem zakresu definicji podejrzanego), zaś przepisy o postępowaniu przyspieszonym stanowią tu regulację szczególną, a więc kierunek odesłania powinien być odwrotny niż jest to obecnie.</w:t>
      </w:r>
    </w:p>
    <w:p w14:paraId="4ADC91A7" w14:textId="5890CDFD" w:rsidR="00F1374D" w:rsidRDefault="00F1374D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Novum projektu przygotowanego przez KKPK </w:t>
      </w:r>
      <w:r w:rsidR="00691D67">
        <w:rPr>
          <w:rFonts w:ascii="Calibri" w:hAnsi="Calibri" w:cs="Calibri"/>
          <w:sz w:val="24"/>
          <w:szCs w:val="24"/>
        </w:rPr>
        <w:t>stanowi</w:t>
      </w:r>
      <w:r>
        <w:rPr>
          <w:rFonts w:ascii="Calibri" w:hAnsi="Calibri" w:cs="Calibri"/>
          <w:sz w:val="24"/>
          <w:szCs w:val="24"/>
        </w:rPr>
        <w:t xml:space="preserve"> jedynie wyraźne sprecyzowanie w</w:t>
      </w:r>
      <w:r w:rsidR="00691D67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art. 245 § 2 k.p.k., że k</w:t>
      </w:r>
      <w:r w:rsidRPr="00F1374D">
        <w:rPr>
          <w:rFonts w:ascii="Calibri" w:hAnsi="Calibri" w:cs="Calibri"/>
          <w:sz w:val="24"/>
          <w:szCs w:val="24"/>
        </w:rPr>
        <w:t xml:space="preserve">oszty pomocy prawnej świadczonej przez obrońcę pełniącego dyżur, o której mowa w </w:t>
      </w:r>
      <w:r>
        <w:rPr>
          <w:rFonts w:ascii="Calibri" w:hAnsi="Calibri" w:cs="Calibri"/>
          <w:sz w:val="24"/>
          <w:szCs w:val="24"/>
        </w:rPr>
        <w:t xml:space="preserve">art. 245 </w:t>
      </w:r>
      <w:r w:rsidRPr="00F1374D">
        <w:rPr>
          <w:rFonts w:ascii="Calibri" w:hAnsi="Calibri" w:cs="Calibri"/>
          <w:sz w:val="24"/>
          <w:szCs w:val="24"/>
        </w:rPr>
        <w:t>§ 1</w:t>
      </w:r>
      <w:r>
        <w:rPr>
          <w:rFonts w:ascii="Calibri" w:hAnsi="Calibri" w:cs="Calibri"/>
          <w:sz w:val="24"/>
          <w:szCs w:val="24"/>
        </w:rPr>
        <w:t xml:space="preserve"> k.p.k.</w:t>
      </w:r>
      <w:r w:rsidRPr="00F1374D">
        <w:rPr>
          <w:rFonts w:ascii="Calibri" w:hAnsi="Calibri" w:cs="Calibri"/>
          <w:sz w:val="24"/>
          <w:szCs w:val="24"/>
        </w:rPr>
        <w:t>, ponosi Skarb Państwa.</w:t>
      </w:r>
      <w:r w:rsidR="00691D67">
        <w:rPr>
          <w:rFonts w:ascii="Calibri" w:hAnsi="Calibri" w:cs="Calibri"/>
          <w:sz w:val="24"/>
          <w:szCs w:val="24"/>
        </w:rPr>
        <w:t xml:space="preserve"> Obecnie kwestia ta nie jest jasno uregulowana, bowiem przepisy rozporządzenia z dnia 23 czerwca 2015 r. dotyczą wprost tylko sytuacji, gdy podejrzany złoży wniosek o obrońcę z urzędu, pomijają natomiast kwestię udzielenia pomocy z urzędu zatrzymanemu.</w:t>
      </w:r>
    </w:p>
    <w:p w14:paraId="24B159AC" w14:textId="296604E2" w:rsidR="005A49F8" w:rsidRDefault="00F1374D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374D">
        <w:rPr>
          <w:rFonts w:ascii="Calibri" w:hAnsi="Calibri" w:cs="Calibri"/>
          <w:sz w:val="24"/>
          <w:szCs w:val="24"/>
        </w:rPr>
        <w:t xml:space="preserve">Projekt tzw. ustawy naprawczej w ogóle zatem nie podejmuje kwestii odpłatności </w:t>
      </w:r>
      <w:r w:rsidR="005610E0">
        <w:rPr>
          <w:rFonts w:ascii="Calibri" w:hAnsi="Calibri" w:cs="Calibri"/>
          <w:sz w:val="24"/>
          <w:szCs w:val="24"/>
        </w:rPr>
        <w:t>za dyżury pełnione przez adwokatów i radców prawnych</w:t>
      </w:r>
      <w:r w:rsidR="005874B6">
        <w:rPr>
          <w:rFonts w:ascii="Calibri" w:hAnsi="Calibri" w:cs="Calibri"/>
          <w:sz w:val="24"/>
          <w:szCs w:val="24"/>
        </w:rPr>
        <w:t xml:space="preserve">, bowiem wskazany art. 245 § 2 zdanie trzecie </w:t>
      </w:r>
      <w:r w:rsidR="005B1062">
        <w:rPr>
          <w:rFonts w:ascii="Calibri" w:hAnsi="Calibri" w:cs="Calibri"/>
          <w:sz w:val="24"/>
          <w:szCs w:val="24"/>
        </w:rPr>
        <w:t xml:space="preserve">k.p.k. </w:t>
      </w:r>
      <w:r w:rsidR="005874B6">
        <w:rPr>
          <w:rFonts w:ascii="Calibri" w:hAnsi="Calibri" w:cs="Calibri"/>
          <w:sz w:val="24"/>
          <w:szCs w:val="24"/>
        </w:rPr>
        <w:t>dotyczy ponoszenia przez Skarb Państwa wyłącznie kosztów świadczonej przez obrońcę pomocy prawnej, a nie kosztów gotowości do świadczenia tej pomocy.</w:t>
      </w:r>
    </w:p>
    <w:p w14:paraId="79EC2275" w14:textId="3C070F42" w:rsidR="007B5AB9" w:rsidRDefault="007B5AB9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Jeśli idzie o kwestię </w:t>
      </w:r>
      <w:r w:rsidR="00EC03FA">
        <w:rPr>
          <w:rFonts w:ascii="Calibri" w:hAnsi="Calibri" w:cs="Calibri"/>
          <w:sz w:val="24"/>
          <w:szCs w:val="24"/>
        </w:rPr>
        <w:t>wynagrodzenia</w:t>
      </w:r>
      <w:r>
        <w:rPr>
          <w:rFonts w:ascii="Calibri" w:hAnsi="Calibri" w:cs="Calibri"/>
          <w:sz w:val="24"/>
          <w:szCs w:val="24"/>
        </w:rPr>
        <w:t xml:space="preserve"> za dyżury adwokatów i radców prawnych </w:t>
      </w:r>
      <w:r w:rsidR="00EC03FA">
        <w:rPr>
          <w:rFonts w:ascii="Calibri" w:hAnsi="Calibri" w:cs="Calibri"/>
          <w:sz w:val="24"/>
          <w:szCs w:val="24"/>
        </w:rPr>
        <w:t>pełnionych zgodnie z przepisami rozporządzenia z dnia 23 czerwca 2015 r.</w:t>
      </w:r>
      <w:r w:rsidR="005B1062">
        <w:rPr>
          <w:rFonts w:ascii="Calibri" w:hAnsi="Calibri" w:cs="Calibri"/>
          <w:sz w:val="24"/>
          <w:szCs w:val="24"/>
        </w:rPr>
        <w:t xml:space="preserve"> na potrzeby udzielania pomocy prawnej zatrzymanym i w postępowaniu przyspieszonym</w:t>
      </w:r>
      <w:r w:rsidR="00EC03FA">
        <w:rPr>
          <w:rFonts w:ascii="Calibri" w:hAnsi="Calibri" w:cs="Calibri"/>
          <w:sz w:val="24"/>
          <w:szCs w:val="24"/>
        </w:rPr>
        <w:t xml:space="preserve">, to należy podkreślić, iż jest to zagadnienie w istocie leżące poza zakresem regulacji kodeksu postępowania karnego, a w konsekwencji </w:t>
      </w:r>
      <w:r w:rsidR="005B1062">
        <w:rPr>
          <w:rFonts w:ascii="Calibri" w:hAnsi="Calibri" w:cs="Calibri"/>
          <w:sz w:val="24"/>
          <w:szCs w:val="24"/>
        </w:rPr>
        <w:t xml:space="preserve">poza </w:t>
      </w:r>
      <w:r w:rsidR="00EC03FA">
        <w:rPr>
          <w:rFonts w:ascii="Calibri" w:hAnsi="Calibri" w:cs="Calibri"/>
          <w:sz w:val="24"/>
          <w:szCs w:val="24"/>
        </w:rPr>
        <w:t xml:space="preserve">zakresem właściwości Komisji Kodyfikacyjnej Prawa Karnego. </w:t>
      </w:r>
      <w:r w:rsidR="00294459">
        <w:rPr>
          <w:rFonts w:ascii="Calibri" w:hAnsi="Calibri" w:cs="Calibri"/>
          <w:sz w:val="24"/>
          <w:szCs w:val="24"/>
        </w:rPr>
        <w:t xml:space="preserve">Nawet bowiem, gdyby ustawodawca zdecydował się na wprowadzenie postulowanej regulacji, a więc adwokaci i radcowie prawni otrzymywaliby wynagrodzenie za pełnione przez nich dyżury obrończe, to nie sposób byłoby uznać poniesionych </w:t>
      </w:r>
      <w:r w:rsidR="00A47BDA">
        <w:rPr>
          <w:rFonts w:ascii="Calibri" w:hAnsi="Calibri" w:cs="Calibri"/>
          <w:sz w:val="24"/>
          <w:szCs w:val="24"/>
        </w:rPr>
        <w:t xml:space="preserve">z tego tytułu </w:t>
      </w:r>
      <w:r w:rsidR="00294459">
        <w:rPr>
          <w:rFonts w:ascii="Calibri" w:hAnsi="Calibri" w:cs="Calibri"/>
          <w:sz w:val="24"/>
          <w:szCs w:val="24"/>
        </w:rPr>
        <w:t xml:space="preserve">przez Skarb Państwa </w:t>
      </w:r>
      <w:r w:rsidR="00A47BDA">
        <w:rPr>
          <w:rFonts w:ascii="Calibri" w:hAnsi="Calibri" w:cs="Calibri"/>
          <w:sz w:val="24"/>
          <w:szCs w:val="24"/>
        </w:rPr>
        <w:t xml:space="preserve">kosztów </w:t>
      </w:r>
      <w:r w:rsidR="00294459">
        <w:rPr>
          <w:rFonts w:ascii="Calibri" w:hAnsi="Calibri" w:cs="Calibri"/>
          <w:sz w:val="24"/>
          <w:szCs w:val="24"/>
        </w:rPr>
        <w:t>za koszty sądowe w rozumieniu art. 616 k.p.k. Koszty sądowe obejmują bowiem wydatki poniesione w danym postępowaniu karnym, w tym koszty pomocy prawnej udzielonej w tym postępowaniu (por. postanowienie SN z dnia 24 maja 2005 r., I KZP 15/05, OSNKW 2005, z. 7-8, poz. 60). Skoro zaś wynagrodzenie za dyżury byłoby w istocie wynagrodzeniem za gotowość świadczenia pomocy prawnej, to trudno byłoby zaliczyć je do kosztów sądowych konkretnego postępowania karnego</w:t>
      </w:r>
      <w:r w:rsidR="000427F5">
        <w:rPr>
          <w:rFonts w:ascii="Calibri" w:hAnsi="Calibri" w:cs="Calibri"/>
          <w:sz w:val="24"/>
          <w:szCs w:val="24"/>
        </w:rPr>
        <w:t xml:space="preserve">, które mogłyby obciążać określoną stronę procesową stosownie do przepisów art. 627 </w:t>
      </w:r>
      <w:r w:rsidR="00A47BDA">
        <w:rPr>
          <w:rFonts w:ascii="Calibri" w:hAnsi="Calibri" w:cs="Calibri"/>
          <w:sz w:val="24"/>
          <w:szCs w:val="24"/>
        </w:rPr>
        <w:t xml:space="preserve">i nast. </w:t>
      </w:r>
      <w:r w:rsidR="000427F5">
        <w:rPr>
          <w:rFonts w:ascii="Calibri" w:hAnsi="Calibri" w:cs="Calibri"/>
          <w:sz w:val="24"/>
          <w:szCs w:val="24"/>
        </w:rPr>
        <w:t xml:space="preserve">k.p.k. </w:t>
      </w:r>
      <w:r w:rsidR="00A47BDA">
        <w:rPr>
          <w:rFonts w:ascii="Calibri" w:hAnsi="Calibri" w:cs="Calibri"/>
          <w:sz w:val="24"/>
          <w:szCs w:val="24"/>
        </w:rPr>
        <w:t xml:space="preserve">W </w:t>
      </w:r>
      <w:r w:rsidR="00294459">
        <w:rPr>
          <w:rFonts w:ascii="Calibri" w:hAnsi="Calibri" w:cs="Calibri"/>
          <w:sz w:val="24"/>
          <w:szCs w:val="24"/>
        </w:rPr>
        <w:t>sytuacji</w:t>
      </w:r>
      <w:r w:rsidR="00A47BDA">
        <w:rPr>
          <w:rFonts w:ascii="Calibri" w:hAnsi="Calibri" w:cs="Calibri"/>
          <w:sz w:val="24"/>
          <w:szCs w:val="24"/>
        </w:rPr>
        <w:t xml:space="preserve"> zaś</w:t>
      </w:r>
      <w:r w:rsidR="00294459">
        <w:rPr>
          <w:rFonts w:ascii="Calibri" w:hAnsi="Calibri" w:cs="Calibri"/>
          <w:sz w:val="24"/>
          <w:szCs w:val="24"/>
        </w:rPr>
        <w:t>, gdy</w:t>
      </w:r>
      <w:r w:rsidR="000427F5">
        <w:rPr>
          <w:rFonts w:ascii="Calibri" w:hAnsi="Calibri" w:cs="Calibri"/>
          <w:sz w:val="24"/>
          <w:szCs w:val="24"/>
        </w:rPr>
        <w:t>by</w:t>
      </w:r>
      <w:r w:rsidR="00294459">
        <w:rPr>
          <w:rFonts w:ascii="Calibri" w:hAnsi="Calibri" w:cs="Calibri"/>
          <w:sz w:val="24"/>
          <w:szCs w:val="24"/>
        </w:rPr>
        <w:t xml:space="preserve"> dany adwokat lub radca prawny, pełniąc określonego dnia dyżur obrończy, udzielił pomocy prawnej konkretnej osobie</w:t>
      </w:r>
      <w:r w:rsidR="00A47BDA">
        <w:rPr>
          <w:rFonts w:ascii="Calibri" w:hAnsi="Calibri" w:cs="Calibri"/>
          <w:sz w:val="24"/>
          <w:szCs w:val="24"/>
        </w:rPr>
        <w:t xml:space="preserve">, otrzymywałby </w:t>
      </w:r>
      <w:r w:rsidR="00294459">
        <w:rPr>
          <w:rFonts w:ascii="Calibri" w:hAnsi="Calibri" w:cs="Calibri"/>
          <w:sz w:val="24"/>
          <w:szCs w:val="24"/>
        </w:rPr>
        <w:t xml:space="preserve">wynagrodzenie </w:t>
      </w:r>
      <w:r w:rsidR="00A47BDA">
        <w:rPr>
          <w:rFonts w:ascii="Calibri" w:hAnsi="Calibri" w:cs="Calibri"/>
          <w:sz w:val="24"/>
          <w:szCs w:val="24"/>
        </w:rPr>
        <w:t xml:space="preserve">już za udzieloną pomoc prawną, które </w:t>
      </w:r>
      <w:r w:rsidR="00294459">
        <w:rPr>
          <w:rFonts w:ascii="Calibri" w:hAnsi="Calibri" w:cs="Calibri"/>
          <w:sz w:val="24"/>
          <w:szCs w:val="24"/>
        </w:rPr>
        <w:t>byłoby wlicz</w:t>
      </w:r>
      <w:r w:rsidR="00A47BDA">
        <w:rPr>
          <w:rFonts w:ascii="Calibri" w:hAnsi="Calibri" w:cs="Calibri"/>
          <w:sz w:val="24"/>
          <w:szCs w:val="24"/>
        </w:rPr>
        <w:t>ane</w:t>
      </w:r>
      <w:r w:rsidR="00294459">
        <w:rPr>
          <w:rFonts w:ascii="Calibri" w:hAnsi="Calibri" w:cs="Calibri"/>
          <w:sz w:val="24"/>
          <w:szCs w:val="24"/>
        </w:rPr>
        <w:t xml:space="preserve"> do kosztów sądowych. W istocie zatem kwestia wynagrodzenia za gotowość do świadczenia pomocy prawnej w</w:t>
      </w:r>
      <w:r w:rsidR="00A47BDA">
        <w:rPr>
          <w:rFonts w:ascii="Calibri" w:hAnsi="Calibri" w:cs="Calibri"/>
          <w:sz w:val="24"/>
          <w:szCs w:val="24"/>
        </w:rPr>
        <w:t> </w:t>
      </w:r>
      <w:r w:rsidR="00294459">
        <w:rPr>
          <w:rFonts w:ascii="Calibri" w:hAnsi="Calibri" w:cs="Calibri"/>
          <w:sz w:val="24"/>
          <w:szCs w:val="24"/>
        </w:rPr>
        <w:t xml:space="preserve">postępowaniu karnym w ramach dyżurów obrończych stanowi zagadnienie należące </w:t>
      </w:r>
      <w:r w:rsidR="000427F5">
        <w:rPr>
          <w:rFonts w:ascii="Calibri" w:hAnsi="Calibri" w:cs="Calibri"/>
          <w:sz w:val="24"/>
          <w:szCs w:val="24"/>
        </w:rPr>
        <w:t xml:space="preserve">nie tyle do obszaru postępowania karnego, </w:t>
      </w:r>
      <w:r w:rsidR="00A47BDA">
        <w:rPr>
          <w:rFonts w:ascii="Calibri" w:hAnsi="Calibri" w:cs="Calibri"/>
          <w:sz w:val="24"/>
          <w:szCs w:val="24"/>
        </w:rPr>
        <w:t xml:space="preserve">ile </w:t>
      </w:r>
      <w:r w:rsidR="00294459">
        <w:rPr>
          <w:rFonts w:ascii="Calibri" w:hAnsi="Calibri" w:cs="Calibri"/>
          <w:sz w:val="24"/>
          <w:szCs w:val="24"/>
        </w:rPr>
        <w:t xml:space="preserve">do problematyki </w:t>
      </w:r>
      <w:r w:rsidR="000427F5">
        <w:rPr>
          <w:rFonts w:ascii="Calibri" w:hAnsi="Calibri" w:cs="Calibri"/>
          <w:sz w:val="24"/>
          <w:szCs w:val="24"/>
        </w:rPr>
        <w:t>ustroju i funkcjonowania organów i zawodów ochrony prawnej.</w:t>
      </w:r>
    </w:p>
    <w:p w14:paraId="2A635933" w14:textId="44C315EE" w:rsidR="00C404BA" w:rsidRDefault="000427F5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Niezależnie od powyższego należy wskazać, że kwestia wprowadzenia wynagrodzenia za dyżury obrończe uzależniona jest przede wszystkim od rozstrzygnięcia z jednej strony</w:t>
      </w:r>
      <w:r w:rsidR="000963E9">
        <w:rPr>
          <w:rFonts w:ascii="Calibri" w:hAnsi="Calibri" w:cs="Calibri"/>
          <w:sz w:val="24"/>
          <w:szCs w:val="24"/>
        </w:rPr>
        <w:t xml:space="preserve"> tego</w:t>
      </w:r>
      <w:r>
        <w:rPr>
          <w:rFonts w:ascii="Calibri" w:hAnsi="Calibri" w:cs="Calibri"/>
          <w:sz w:val="24"/>
          <w:szCs w:val="24"/>
        </w:rPr>
        <w:t xml:space="preserve">, w jakim stopniu nakładany przez ustawodawcę na adwokatów i radców prawnych </w:t>
      </w:r>
      <w:r>
        <w:rPr>
          <w:rFonts w:ascii="Calibri" w:hAnsi="Calibri" w:cs="Calibri"/>
          <w:sz w:val="24"/>
          <w:szCs w:val="24"/>
        </w:rPr>
        <w:lastRenderedPageBreak/>
        <w:t xml:space="preserve">obowiązek pełnienia tych dyżurów powiązany jest ze sferą </w:t>
      </w:r>
      <w:r w:rsidR="00D51F53">
        <w:rPr>
          <w:rFonts w:ascii="Calibri" w:hAnsi="Calibri" w:cs="Calibri"/>
          <w:sz w:val="24"/>
          <w:szCs w:val="24"/>
        </w:rPr>
        <w:t>realizacji przez</w:t>
      </w:r>
      <w:r>
        <w:rPr>
          <w:rFonts w:ascii="Calibri" w:hAnsi="Calibri" w:cs="Calibri"/>
          <w:sz w:val="24"/>
          <w:szCs w:val="24"/>
        </w:rPr>
        <w:t xml:space="preserve"> samorząd adwokacki</w:t>
      </w:r>
      <w:r w:rsidR="00D51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="00D51F5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 xml:space="preserve">samorząd radcowski oraz ich poszczególnych członków </w:t>
      </w:r>
      <w:r w:rsidR="00D51F53">
        <w:rPr>
          <w:rFonts w:ascii="Calibri" w:hAnsi="Calibri" w:cs="Calibri"/>
          <w:sz w:val="24"/>
          <w:szCs w:val="24"/>
        </w:rPr>
        <w:t xml:space="preserve">zadań </w:t>
      </w:r>
      <w:r>
        <w:rPr>
          <w:rFonts w:ascii="Calibri" w:hAnsi="Calibri" w:cs="Calibri"/>
          <w:sz w:val="24"/>
          <w:szCs w:val="24"/>
        </w:rPr>
        <w:t>o</w:t>
      </w:r>
      <w:r w:rsidR="00D51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wymiarze publicznym</w:t>
      </w:r>
      <w:r w:rsidR="00D51F53">
        <w:rPr>
          <w:rFonts w:ascii="Calibri" w:hAnsi="Calibri" w:cs="Calibri"/>
          <w:sz w:val="24"/>
          <w:szCs w:val="24"/>
        </w:rPr>
        <w:t xml:space="preserve"> (por. art. 1 ust. 1 pr. o adwokaturze)</w:t>
      </w:r>
      <w:r>
        <w:rPr>
          <w:rFonts w:ascii="Calibri" w:hAnsi="Calibri" w:cs="Calibri"/>
          <w:sz w:val="24"/>
          <w:szCs w:val="24"/>
        </w:rPr>
        <w:t xml:space="preserve">, </w:t>
      </w:r>
      <w:r w:rsidR="00565E78">
        <w:rPr>
          <w:rFonts w:ascii="Calibri" w:hAnsi="Calibri" w:cs="Calibri"/>
          <w:sz w:val="24"/>
          <w:szCs w:val="24"/>
        </w:rPr>
        <w:t xml:space="preserve">a więc </w:t>
      </w:r>
      <w:r w:rsidR="00A47BDA">
        <w:rPr>
          <w:rFonts w:ascii="Calibri" w:hAnsi="Calibri" w:cs="Calibri"/>
          <w:sz w:val="24"/>
          <w:szCs w:val="24"/>
        </w:rPr>
        <w:t xml:space="preserve">zadań, </w:t>
      </w:r>
      <w:r w:rsidR="00565E78">
        <w:rPr>
          <w:rFonts w:ascii="Calibri" w:hAnsi="Calibri" w:cs="Calibri"/>
          <w:sz w:val="24"/>
          <w:szCs w:val="24"/>
        </w:rPr>
        <w:t>które stanowią przejaw działalności tych samorządów na rzecz dobra wspólnego</w:t>
      </w:r>
      <w:r w:rsidR="00746C73">
        <w:rPr>
          <w:rFonts w:ascii="Calibri" w:hAnsi="Calibri" w:cs="Calibri"/>
          <w:sz w:val="24"/>
          <w:szCs w:val="24"/>
        </w:rPr>
        <w:t xml:space="preserve">. Z drugiej strony należy też niewątpliwie wziąć pod uwagę, z jakimi obciążeniami i ograniczeniami wiąże się </w:t>
      </w:r>
      <w:r w:rsidR="00D51F53" w:rsidRPr="00D51F53">
        <w:rPr>
          <w:rFonts w:ascii="Calibri" w:hAnsi="Calibri" w:cs="Calibri"/>
          <w:i/>
          <w:iCs/>
          <w:sz w:val="24"/>
          <w:szCs w:val="24"/>
        </w:rPr>
        <w:t>in concreto</w:t>
      </w:r>
      <w:r w:rsidR="00D51F53">
        <w:rPr>
          <w:rFonts w:ascii="Calibri" w:hAnsi="Calibri" w:cs="Calibri"/>
          <w:sz w:val="24"/>
          <w:szCs w:val="24"/>
        </w:rPr>
        <w:t xml:space="preserve"> </w:t>
      </w:r>
      <w:r w:rsidR="00746C73">
        <w:rPr>
          <w:rFonts w:ascii="Calibri" w:hAnsi="Calibri" w:cs="Calibri"/>
          <w:sz w:val="24"/>
          <w:szCs w:val="24"/>
        </w:rPr>
        <w:t>realizacja obowiązku pełnienia dyżur</w:t>
      </w:r>
      <w:r w:rsidR="00D51F53">
        <w:rPr>
          <w:rFonts w:ascii="Calibri" w:hAnsi="Calibri" w:cs="Calibri"/>
          <w:sz w:val="24"/>
          <w:szCs w:val="24"/>
        </w:rPr>
        <w:t>ów</w:t>
      </w:r>
      <w:r w:rsidR="00746C73">
        <w:rPr>
          <w:rFonts w:ascii="Calibri" w:hAnsi="Calibri" w:cs="Calibri"/>
          <w:sz w:val="24"/>
          <w:szCs w:val="24"/>
        </w:rPr>
        <w:t xml:space="preserve"> i czy stopień natężenia </w:t>
      </w:r>
      <w:r w:rsidR="00A47BDA">
        <w:rPr>
          <w:rFonts w:ascii="Calibri" w:hAnsi="Calibri" w:cs="Calibri"/>
          <w:sz w:val="24"/>
          <w:szCs w:val="24"/>
        </w:rPr>
        <w:t xml:space="preserve">tych niedogodności </w:t>
      </w:r>
      <w:r w:rsidR="00746C73">
        <w:rPr>
          <w:rFonts w:ascii="Calibri" w:hAnsi="Calibri" w:cs="Calibri"/>
          <w:sz w:val="24"/>
          <w:szCs w:val="24"/>
        </w:rPr>
        <w:t xml:space="preserve">wymaga, aby </w:t>
      </w:r>
      <w:r w:rsidR="000963E9">
        <w:rPr>
          <w:rFonts w:ascii="Calibri" w:hAnsi="Calibri" w:cs="Calibri"/>
          <w:sz w:val="24"/>
          <w:szCs w:val="24"/>
        </w:rPr>
        <w:t>zostały</w:t>
      </w:r>
      <w:r w:rsidR="00D51F53">
        <w:rPr>
          <w:rFonts w:ascii="Calibri" w:hAnsi="Calibri" w:cs="Calibri"/>
          <w:sz w:val="24"/>
          <w:szCs w:val="24"/>
        </w:rPr>
        <w:t xml:space="preserve"> one zrekompensowane poprzez odpowiednią sumę pieniężną</w:t>
      </w:r>
      <w:r w:rsidR="000963E9">
        <w:rPr>
          <w:rFonts w:ascii="Calibri" w:hAnsi="Calibri" w:cs="Calibri"/>
          <w:sz w:val="24"/>
          <w:szCs w:val="24"/>
        </w:rPr>
        <w:t xml:space="preserve"> („wynagrodzenie”)</w:t>
      </w:r>
      <w:r w:rsidR="00D51F53">
        <w:rPr>
          <w:rFonts w:ascii="Calibri" w:hAnsi="Calibri" w:cs="Calibri"/>
          <w:sz w:val="24"/>
          <w:szCs w:val="24"/>
        </w:rPr>
        <w:t>.</w:t>
      </w:r>
      <w:r w:rsidR="00C404BA">
        <w:rPr>
          <w:rFonts w:ascii="Calibri" w:hAnsi="Calibri" w:cs="Calibri"/>
          <w:sz w:val="24"/>
          <w:szCs w:val="24"/>
        </w:rPr>
        <w:t xml:space="preserve"> W końcu rozstrzygnięcie omawianej kwestii musi również uwzględniać, jakie środki (z</w:t>
      </w:r>
      <w:r w:rsidR="00565E78">
        <w:rPr>
          <w:rFonts w:ascii="Calibri" w:hAnsi="Calibri" w:cs="Calibri"/>
          <w:sz w:val="24"/>
          <w:szCs w:val="24"/>
        </w:rPr>
        <w:t> </w:t>
      </w:r>
      <w:r w:rsidR="00C404BA">
        <w:rPr>
          <w:rFonts w:ascii="Calibri" w:hAnsi="Calibri" w:cs="Calibri"/>
          <w:sz w:val="24"/>
          <w:szCs w:val="24"/>
        </w:rPr>
        <w:t xml:space="preserve">budżetu państwa, budżetu jednostki samorządu terytorialnego, budżetu organu samorządu adwokackiego lub radcowskiego) miałyby zostać wyasygnowane na pokrycie owego </w:t>
      </w:r>
      <w:r w:rsidR="00565E78">
        <w:rPr>
          <w:rFonts w:ascii="Calibri" w:hAnsi="Calibri" w:cs="Calibri"/>
          <w:sz w:val="24"/>
          <w:szCs w:val="24"/>
        </w:rPr>
        <w:t>„</w:t>
      </w:r>
      <w:r w:rsidR="00C404BA">
        <w:rPr>
          <w:rFonts w:ascii="Calibri" w:hAnsi="Calibri" w:cs="Calibri"/>
          <w:sz w:val="24"/>
          <w:szCs w:val="24"/>
        </w:rPr>
        <w:t>wynagrodzenia</w:t>
      </w:r>
      <w:r w:rsidR="00565E78">
        <w:rPr>
          <w:rFonts w:ascii="Calibri" w:hAnsi="Calibri" w:cs="Calibri"/>
          <w:sz w:val="24"/>
          <w:szCs w:val="24"/>
        </w:rPr>
        <w:t>”</w:t>
      </w:r>
      <w:r w:rsidR="00C404BA">
        <w:rPr>
          <w:rFonts w:ascii="Calibri" w:hAnsi="Calibri" w:cs="Calibri"/>
          <w:sz w:val="24"/>
          <w:szCs w:val="24"/>
        </w:rPr>
        <w:t>.</w:t>
      </w:r>
      <w:r w:rsidR="008F1157">
        <w:rPr>
          <w:rFonts w:ascii="Calibri" w:hAnsi="Calibri" w:cs="Calibri"/>
          <w:sz w:val="24"/>
          <w:szCs w:val="24"/>
        </w:rPr>
        <w:t xml:space="preserve"> Niewątpliwie kwestia ta wymaga dostrzeżenia punktu widzenia samorządów adwokackiego i radcowskiego, a zwłaszcza rzeczowej dyskusji i porozumienia z ich organami.</w:t>
      </w:r>
    </w:p>
    <w:p w14:paraId="7D033127" w14:textId="659AA943" w:rsidR="005F2087" w:rsidRDefault="005F2087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Wskazać również należy, że w istocie kwestia odpłatności dyżurów obrończych jest ściśle powiązana z generalnym problemem oceny </w:t>
      </w:r>
      <w:r w:rsidR="00565E78">
        <w:rPr>
          <w:rFonts w:ascii="Calibri" w:hAnsi="Calibri" w:cs="Calibri"/>
          <w:sz w:val="24"/>
          <w:szCs w:val="24"/>
        </w:rPr>
        <w:t>prawidłowości</w:t>
      </w:r>
      <w:r>
        <w:rPr>
          <w:rFonts w:ascii="Calibri" w:hAnsi="Calibri" w:cs="Calibri"/>
          <w:sz w:val="24"/>
          <w:szCs w:val="24"/>
        </w:rPr>
        <w:t xml:space="preserve"> funkcjonowania systemu pomocy prawnej dla osób ubogich w postępowaniu przed sądami powszechnymi (zwłaszcza w postępowaniu karnym i postępowaniu cywilnym) oraz ukształtowania takiego systemu w sposób</w:t>
      </w:r>
      <w:r w:rsidR="00EE654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zapewnia</w:t>
      </w:r>
      <w:r w:rsidR="00565E78">
        <w:rPr>
          <w:rFonts w:ascii="Calibri" w:hAnsi="Calibri" w:cs="Calibri"/>
          <w:sz w:val="24"/>
          <w:szCs w:val="24"/>
        </w:rPr>
        <w:t>jący</w:t>
      </w:r>
      <w:r>
        <w:rPr>
          <w:rFonts w:ascii="Calibri" w:hAnsi="Calibri" w:cs="Calibri"/>
          <w:sz w:val="24"/>
          <w:szCs w:val="24"/>
        </w:rPr>
        <w:t xml:space="preserve"> efektywne uzyskiwanie przez jednostki ochrony prawnej</w:t>
      </w:r>
      <w:r w:rsidR="00EE654D">
        <w:rPr>
          <w:rFonts w:ascii="Calibri" w:hAnsi="Calibri" w:cs="Calibri"/>
          <w:sz w:val="24"/>
          <w:szCs w:val="24"/>
        </w:rPr>
        <w:t xml:space="preserve"> w tym postępowaniu</w:t>
      </w:r>
      <w:r>
        <w:rPr>
          <w:rFonts w:ascii="Calibri" w:hAnsi="Calibri" w:cs="Calibri"/>
          <w:sz w:val="24"/>
          <w:szCs w:val="24"/>
        </w:rPr>
        <w:t>.</w:t>
      </w:r>
      <w:r w:rsidR="00565E78">
        <w:rPr>
          <w:rFonts w:ascii="Calibri" w:hAnsi="Calibri" w:cs="Calibri"/>
          <w:sz w:val="24"/>
          <w:szCs w:val="24"/>
        </w:rPr>
        <w:t xml:space="preserve"> Zagadnienie odpłatności dyżurów stanowi wi</w:t>
      </w:r>
      <w:r w:rsidR="00FD7DA7">
        <w:rPr>
          <w:rFonts w:ascii="Calibri" w:hAnsi="Calibri" w:cs="Calibri"/>
          <w:sz w:val="24"/>
          <w:szCs w:val="24"/>
        </w:rPr>
        <w:t>ę</w:t>
      </w:r>
      <w:r w:rsidR="00565E78">
        <w:rPr>
          <w:rFonts w:ascii="Calibri" w:hAnsi="Calibri" w:cs="Calibri"/>
          <w:sz w:val="24"/>
          <w:szCs w:val="24"/>
        </w:rPr>
        <w:t>c wycinek szerszego problemu, czy system pomocy prawnej z urzędu aktualnie funkcjonujący w Polsce jest optymalny i prawidłowo realizuje swoje zadania w praktyce</w:t>
      </w:r>
      <w:r w:rsidR="00B70444">
        <w:rPr>
          <w:rFonts w:ascii="Calibri" w:hAnsi="Calibri" w:cs="Calibri"/>
          <w:sz w:val="24"/>
          <w:szCs w:val="24"/>
        </w:rPr>
        <w:t>, a także czy przyjęty obecnie sposób finansowania tych usług sprzyja zapewnieniu ich odpowiedniego poziomu</w:t>
      </w:r>
      <w:r w:rsidR="00FD7DA7">
        <w:rPr>
          <w:rFonts w:ascii="Calibri" w:hAnsi="Calibri" w:cs="Calibri"/>
          <w:sz w:val="24"/>
          <w:szCs w:val="24"/>
        </w:rPr>
        <w:t>, a funkcjonujący system pozwala na uzyskanie z wydatkowanych z budżetu państwa środków najlepszych możliwych efektów (maksymalizacja wyników możliwych do osiągnięcia z przeznaczanych środków)</w:t>
      </w:r>
      <w:r w:rsidR="00565E78">
        <w:rPr>
          <w:rFonts w:ascii="Calibri" w:hAnsi="Calibri" w:cs="Calibri"/>
          <w:sz w:val="24"/>
          <w:szCs w:val="24"/>
        </w:rPr>
        <w:t>.</w:t>
      </w:r>
    </w:p>
    <w:p w14:paraId="48021EC1" w14:textId="659D46F8" w:rsidR="000427F5" w:rsidRPr="00F1374D" w:rsidRDefault="00222560" w:rsidP="00F137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Reasumując, </w:t>
      </w:r>
      <w:r w:rsidR="005F2087">
        <w:rPr>
          <w:rFonts w:ascii="Calibri" w:hAnsi="Calibri" w:cs="Calibri"/>
          <w:sz w:val="24"/>
          <w:szCs w:val="24"/>
        </w:rPr>
        <w:t xml:space="preserve">rozstrzygnięcie kwestii </w:t>
      </w:r>
      <w:r>
        <w:rPr>
          <w:rFonts w:ascii="Calibri" w:hAnsi="Calibri" w:cs="Calibri"/>
          <w:sz w:val="24"/>
          <w:szCs w:val="24"/>
        </w:rPr>
        <w:t>wprowadzenia wynagrodzenia dla adwokatów i</w:t>
      </w:r>
      <w:r w:rsidR="00565E7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 xml:space="preserve">radców prawnych </w:t>
      </w:r>
      <w:r w:rsidR="005F2087">
        <w:rPr>
          <w:rFonts w:ascii="Calibri" w:hAnsi="Calibri" w:cs="Calibri"/>
          <w:sz w:val="24"/>
          <w:szCs w:val="24"/>
        </w:rPr>
        <w:t>za pełnione przez nich dyżury obrończe wymaga</w:t>
      </w:r>
      <w:r w:rsidR="00C404BA">
        <w:rPr>
          <w:rFonts w:ascii="Calibri" w:hAnsi="Calibri" w:cs="Calibri"/>
          <w:sz w:val="24"/>
          <w:szCs w:val="24"/>
        </w:rPr>
        <w:t xml:space="preserve"> </w:t>
      </w:r>
      <w:r w:rsidR="005F2087">
        <w:rPr>
          <w:rFonts w:ascii="Calibri" w:hAnsi="Calibri" w:cs="Calibri"/>
          <w:sz w:val="24"/>
          <w:szCs w:val="24"/>
        </w:rPr>
        <w:t xml:space="preserve">uwzględnienia szeregu okoliczności, które leżą poza sferą postępowania karnego. Z tego względu przedstawiona kwestia nie mieści się w zakresie działalności Komisji Kodyfikacyjnej Prawa Karnego wynikającym z § 6 ust. 3 </w:t>
      </w:r>
      <w:r w:rsidR="000963E9">
        <w:rPr>
          <w:rFonts w:ascii="Calibri" w:hAnsi="Calibri" w:cs="Calibri"/>
          <w:sz w:val="24"/>
          <w:szCs w:val="24"/>
        </w:rPr>
        <w:t xml:space="preserve">w zw. z § 6 ust. 1 </w:t>
      </w:r>
      <w:r w:rsidR="005F2087">
        <w:rPr>
          <w:rFonts w:ascii="Calibri" w:hAnsi="Calibri" w:cs="Calibri"/>
          <w:sz w:val="24"/>
          <w:szCs w:val="24"/>
        </w:rPr>
        <w:t xml:space="preserve">rozporządzenia Rady Ministrów z dnia 16 grudnia 2003 r. </w:t>
      </w:r>
      <w:r w:rsidR="005F2087" w:rsidRPr="005F2087">
        <w:rPr>
          <w:rFonts w:ascii="Calibri" w:hAnsi="Calibri" w:cs="Calibri"/>
          <w:sz w:val="24"/>
          <w:szCs w:val="24"/>
        </w:rPr>
        <w:t>w</w:t>
      </w:r>
      <w:r w:rsidR="005F2087">
        <w:rPr>
          <w:rFonts w:ascii="Calibri" w:hAnsi="Calibri" w:cs="Calibri"/>
          <w:sz w:val="24"/>
          <w:szCs w:val="24"/>
        </w:rPr>
        <w:t> </w:t>
      </w:r>
      <w:r w:rsidR="005F2087" w:rsidRPr="005F2087">
        <w:rPr>
          <w:rFonts w:ascii="Calibri" w:hAnsi="Calibri" w:cs="Calibri"/>
          <w:sz w:val="24"/>
          <w:szCs w:val="24"/>
        </w:rPr>
        <w:t>sprawie utworzenia, organizacji i trybu działania Komisji Kodyfikacyjnej Prawa Karnego</w:t>
      </w:r>
      <w:r w:rsidR="005F2087">
        <w:rPr>
          <w:rFonts w:ascii="Calibri" w:hAnsi="Calibri" w:cs="Calibri"/>
          <w:sz w:val="24"/>
          <w:szCs w:val="24"/>
        </w:rPr>
        <w:t xml:space="preserve"> (Dz. U. Nr 232, poz. 2319 ze zm.).</w:t>
      </w:r>
    </w:p>
    <w:p w14:paraId="27367EF2" w14:textId="77777777" w:rsidR="00705D2A" w:rsidRDefault="00705D2A" w:rsidP="00705D2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5ABD94" w14:textId="2B670A23" w:rsidR="00705D2A" w:rsidRPr="00691D67" w:rsidRDefault="00691D67" w:rsidP="00705D2A">
      <w:pPr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691D67">
        <w:rPr>
          <w:rFonts w:ascii="Calibri" w:hAnsi="Calibri" w:cs="Calibri"/>
          <w:i/>
          <w:iCs/>
          <w:sz w:val="24"/>
          <w:szCs w:val="24"/>
        </w:rPr>
        <w:t xml:space="preserve">Oprac. </w:t>
      </w:r>
      <w:r w:rsidR="001556E7">
        <w:rPr>
          <w:rFonts w:ascii="Calibri" w:hAnsi="Calibri" w:cs="Calibri"/>
          <w:i/>
          <w:iCs/>
          <w:sz w:val="24"/>
          <w:szCs w:val="24"/>
        </w:rPr>
        <w:t xml:space="preserve">Prof. dr hab. </w:t>
      </w:r>
      <w:r w:rsidRPr="00691D67">
        <w:rPr>
          <w:rFonts w:ascii="Calibri" w:hAnsi="Calibri" w:cs="Calibri"/>
          <w:i/>
          <w:iCs/>
          <w:sz w:val="24"/>
          <w:szCs w:val="24"/>
        </w:rPr>
        <w:t>Sławomir Steinborn</w:t>
      </w:r>
      <w:r w:rsidR="001556E7">
        <w:rPr>
          <w:rFonts w:ascii="Calibri" w:hAnsi="Calibri" w:cs="Calibri"/>
          <w:i/>
          <w:iCs/>
          <w:sz w:val="24"/>
          <w:szCs w:val="24"/>
        </w:rPr>
        <w:t xml:space="preserve"> – członek KKPK</w:t>
      </w:r>
    </w:p>
    <w:sectPr w:rsidR="00705D2A" w:rsidRPr="00691D67" w:rsidSect="00B36C72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FA43" w14:textId="77777777" w:rsidR="00EE7C2E" w:rsidRDefault="00EE7C2E" w:rsidP="00691D67">
      <w:pPr>
        <w:spacing w:after="0" w:line="240" w:lineRule="auto"/>
      </w:pPr>
      <w:r>
        <w:separator/>
      </w:r>
    </w:p>
  </w:endnote>
  <w:endnote w:type="continuationSeparator" w:id="0">
    <w:p w14:paraId="36CED12B" w14:textId="77777777" w:rsidR="00EE7C2E" w:rsidRDefault="00EE7C2E" w:rsidP="0069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14853518"/>
      <w:docPartObj>
        <w:docPartGallery w:val="Page Numbers (Bottom of Page)"/>
        <w:docPartUnique/>
      </w:docPartObj>
    </w:sdtPr>
    <w:sdtContent>
      <w:p w14:paraId="65AACE33" w14:textId="1BC8A7F1" w:rsidR="00691D67" w:rsidRDefault="00691D67" w:rsidP="004A19D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5C019CD" w14:textId="77777777" w:rsidR="00691D67" w:rsidRDefault="00691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33605753"/>
      <w:docPartObj>
        <w:docPartGallery w:val="Page Numbers (Bottom of Page)"/>
        <w:docPartUnique/>
      </w:docPartObj>
    </w:sdtPr>
    <w:sdtContent>
      <w:p w14:paraId="78A8062D" w14:textId="0C9D6301" w:rsidR="00691D67" w:rsidRDefault="00691D67" w:rsidP="004A19D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0ED3F74" w14:textId="77777777" w:rsidR="00691D67" w:rsidRDefault="00691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0DDE" w14:textId="77777777" w:rsidR="00EE7C2E" w:rsidRDefault="00EE7C2E" w:rsidP="00691D67">
      <w:pPr>
        <w:spacing w:after="0" w:line="240" w:lineRule="auto"/>
      </w:pPr>
      <w:r>
        <w:separator/>
      </w:r>
    </w:p>
  </w:footnote>
  <w:footnote w:type="continuationSeparator" w:id="0">
    <w:p w14:paraId="6278E74E" w14:textId="77777777" w:rsidR="00EE7C2E" w:rsidRDefault="00EE7C2E" w:rsidP="0069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79E0"/>
    <w:multiLevelType w:val="hybridMultilevel"/>
    <w:tmpl w:val="96629DB2"/>
    <w:lvl w:ilvl="0" w:tplc="799E1F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70887"/>
    <w:multiLevelType w:val="hybridMultilevel"/>
    <w:tmpl w:val="BFF6EC9A"/>
    <w:lvl w:ilvl="0" w:tplc="799E1F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945789">
    <w:abstractNumId w:val="1"/>
  </w:num>
  <w:num w:numId="2" w16cid:durableId="136506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2B"/>
    <w:rsid w:val="00034E7E"/>
    <w:rsid w:val="000427F5"/>
    <w:rsid w:val="000963E9"/>
    <w:rsid w:val="000A7635"/>
    <w:rsid w:val="001556E7"/>
    <w:rsid w:val="00222560"/>
    <w:rsid w:val="00237723"/>
    <w:rsid w:val="00272EF4"/>
    <w:rsid w:val="0029392B"/>
    <w:rsid w:val="00294459"/>
    <w:rsid w:val="003375BB"/>
    <w:rsid w:val="00457748"/>
    <w:rsid w:val="005610E0"/>
    <w:rsid w:val="00565E78"/>
    <w:rsid w:val="005874B6"/>
    <w:rsid w:val="005A49F8"/>
    <w:rsid w:val="005B1062"/>
    <w:rsid w:val="005F2087"/>
    <w:rsid w:val="00691D67"/>
    <w:rsid w:val="00705D2A"/>
    <w:rsid w:val="00746C73"/>
    <w:rsid w:val="007B5AB9"/>
    <w:rsid w:val="00800787"/>
    <w:rsid w:val="00846FEB"/>
    <w:rsid w:val="00850A6C"/>
    <w:rsid w:val="008F1157"/>
    <w:rsid w:val="009B5C62"/>
    <w:rsid w:val="00A47BDA"/>
    <w:rsid w:val="00AB1DA7"/>
    <w:rsid w:val="00B03F1C"/>
    <w:rsid w:val="00B36C72"/>
    <w:rsid w:val="00B70444"/>
    <w:rsid w:val="00BD6DED"/>
    <w:rsid w:val="00C1311C"/>
    <w:rsid w:val="00C404BA"/>
    <w:rsid w:val="00D51F53"/>
    <w:rsid w:val="00D9339B"/>
    <w:rsid w:val="00DD4AF1"/>
    <w:rsid w:val="00EC03FA"/>
    <w:rsid w:val="00EE654D"/>
    <w:rsid w:val="00EE7C2E"/>
    <w:rsid w:val="00F1374D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8D7"/>
  <w15:chartTrackingRefBased/>
  <w15:docId w15:val="{27124B51-81DC-F14D-9ED2-CCC8732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color w:val="000000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92B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2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92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92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92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92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92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92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92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92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9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9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9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9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9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9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9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92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92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9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92B"/>
    <w:pPr>
      <w:spacing w:before="160" w:line="240" w:lineRule="auto"/>
      <w:jc w:val="center"/>
    </w:pPr>
    <w:rPr>
      <w:rFonts w:ascii="Cambria" w:hAnsi="Cambria" w:cs="Times New Roman"/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2939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92B"/>
    <w:pPr>
      <w:spacing w:after="0" w:line="240" w:lineRule="auto"/>
      <w:ind w:left="720"/>
      <w:contextualSpacing/>
    </w:pPr>
    <w:rPr>
      <w:rFonts w:ascii="Cambria" w:hAnsi="Cambria" w:cs="Times New Roman"/>
      <w:color w:val="000000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2939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mbria" w:hAnsi="Cambria" w:cs="Times New Roman"/>
      <w:i/>
      <w:iCs/>
      <w:color w:val="0F476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9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92B"/>
    <w:rPr>
      <w:b/>
      <w:bCs/>
      <w:smallCaps/>
      <w:color w:val="0F4761" w:themeColor="accent1" w:themeShade="BF"/>
      <w:spacing w:val="5"/>
    </w:rPr>
  </w:style>
  <w:style w:type="character" w:customStyle="1" w:styleId="IGindeksgrny">
    <w:name w:val="_IG_ – indeks górny"/>
    <w:basedOn w:val="Domylnaczcionkaakapitu"/>
    <w:uiPriority w:val="2"/>
    <w:qFormat/>
    <w:rsid w:val="0029392B"/>
    <w:rPr>
      <w:b w:val="0"/>
      <w:i w:val="0"/>
      <w:vanish w:val="0"/>
      <w:spacing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9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D67"/>
    <w:rPr>
      <w:rFonts w:asciiTheme="minorHAnsi" w:hAnsiTheme="minorHAnsi" w:cstheme="minorBidi"/>
      <w:color w:val="auto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9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Steinborn</dc:creator>
  <cp:keywords/>
  <dc:description/>
  <cp:lastModifiedBy>Wiraszka-Bereza Beata  (DPK)</cp:lastModifiedBy>
  <cp:revision>6</cp:revision>
  <dcterms:created xsi:type="dcterms:W3CDTF">2024-07-16T14:34:00Z</dcterms:created>
  <dcterms:modified xsi:type="dcterms:W3CDTF">2024-07-16T14:36:00Z</dcterms:modified>
</cp:coreProperties>
</file>