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7"/>
        <w:gridCol w:w="642"/>
        <w:gridCol w:w="422"/>
        <w:gridCol w:w="43"/>
        <w:gridCol w:w="709"/>
        <w:gridCol w:w="132"/>
        <w:gridCol w:w="337"/>
        <w:gridCol w:w="240"/>
        <w:gridCol w:w="697"/>
        <w:gridCol w:w="11"/>
        <w:gridCol w:w="128"/>
        <w:gridCol w:w="150"/>
        <w:gridCol w:w="431"/>
        <w:gridCol w:w="218"/>
        <w:gridCol w:w="491"/>
        <w:gridCol w:w="561"/>
        <w:gridCol w:w="148"/>
        <w:gridCol w:w="419"/>
        <w:gridCol w:w="256"/>
        <w:gridCol w:w="33"/>
        <w:gridCol w:w="289"/>
        <w:gridCol w:w="420"/>
        <w:gridCol w:w="196"/>
        <w:gridCol w:w="513"/>
        <w:gridCol w:w="425"/>
        <w:gridCol w:w="284"/>
        <w:gridCol w:w="1162"/>
      </w:tblGrid>
      <w:tr w:rsidR="007F011B" w:rsidRPr="007F011B" w14:paraId="13046B05" w14:textId="77777777" w:rsidTr="004F518E">
        <w:trPr>
          <w:trHeight w:val="1611"/>
        </w:trPr>
        <w:tc>
          <w:tcPr>
            <w:tcW w:w="6799" w:type="dxa"/>
            <w:gridSpan w:val="16"/>
          </w:tcPr>
          <w:p w14:paraId="46BF269B" w14:textId="77777777" w:rsidR="006A701A" w:rsidRPr="007F011B" w:rsidRDefault="006A701A" w:rsidP="001549B4">
            <w:pPr>
              <w:spacing w:line="240" w:lineRule="auto"/>
              <w:ind w:left="34"/>
              <w:rPr>
                <w:rFonts w:ascii="Times New Roman" w:hAnsi="Times New Roman"/>
                <w:sz w:val="21"/>
                <w:szCs w:val="21"/>
              </w:rPr>
            </w:pPr>
            <w:bookmarkStart w:id="0" w:name="t1"/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Nazwa </w:t>
            </w:r>
            <w:r w:rsidR="001B75D8" w:rsidRPr="007F011B">
              <w:rPr>
                <w:rFonts w:ascii="Times New Roman" w:hAnsi="Times New Roman"/>
                <w:b/>
                <w:sz w:val="21"/>
                <w:szCs w:val="21"/>
              </w:rPr>
              <w:t>projektu</w:t>
            </w:r>
          </w:p>
          <w:p w14:paraId="2E38E825" w14:textId="03758170" w:rsidR="006A701A" w:rsidRPr="007F011B" w:rsidRDefault="00511200" w:rsidP="001549B4">
            <w:pPr>
              <w:spacing w:line="240" w:lineRule="auto"/>
              <w:ind w:left="3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eastAsia="MS Mincho" w:hAnsi="Times New Roman"/>
                <w:sz w:val="21"/>
                <w:szCs w:val="21"/>
              </w:rPr>
              <w:t xml:space="preserve">Projekt </w:t>
            </w:r>
            <w:r w:rsidR="004142C4" w:rsidRPr="007F011B">
              <w:rPr>
                <w:rFonts w:ascii="Times New Roman" w:eastAsia="MS Mincho" w:hAnsi="Times New Roman"/>
                <w:sz w:val="21"/>
                <w:szCs w:val="21"/>
              </w:rPr>
              <w:t xml:space="preserve">ustawy o zmianie ustawy o wjeździe na terytorium Rzeczypospolitej Polskiej, pobycie oraz wyjeździe z tego terytorium obywateli państw członkowskich Unii Europejskiej i członków ich rodzin </w:t>
            </w:r>
            <w:r w:rsidR="00A6264C">
              <w:rPr>
                <w:rFonts w:ascii="Times New Roman" w:eastAsia="MS Mincho" w:hAnsi="Times New Roman"/>
                <w:sz w:val="21"/>
                <w:szCs w:val="21"/>
              </w:rPr>
              <w:t xml:space="preserve"> oraz</w:t>
            </w:r>
            <w:r w:rsidR="00A27D18" w:rsidRPr="007F011B">
              <w:rPr>
                <w:rFonts w:ascii="Times New Roman" w:eastAsia="MS Mincho" w:hAnsi="Times New Roman"/>
                <w:sz w:val="21"/>
                <w:szCs w:val="21"/>
              </w:rPr>
              <w:t xml:space="preserve"> </w:t>
            </w:r>
            <w:r w:rsidR="00252BE9" w:rsidRPr="007F011B">
              <w:rPr>
                <w:rFonts w:ascii="Times New Roman" w:eastAsia="MS Mincho" w:hAnsi="Times New Roman"/>
                <w:sz w:val="21"/>
                <w:szCs w:val="21"/>
              </w:rPr>
              <w:t>niektórych innych</w:t>
            </w:r>
            <w:r w:rsidR="00CD3D65" w:rsidRPr="007F011B">
              <w:rPr>
                <w:rFonts w:ascii="Times New Roman" w:eastAsia="MS Mincho" w:hAnsi="Times New Roman"/>
                <w:sz w:val="21"/>
                <w:szCs w:val="21"/>
              </w:rPr>
              <w:t xml:space="preserve"> </w:t>
            </w:r>
            <w:r w:rsidR="00252BE9" w:rsidRPr="007F011B">
              <w:rPr>
                <w:rFonts w:ascii="Times New Roman" w:eastAsia="MS Mincho" w:hAnsi="Times New Roman"/>
                <w:sz w:val="21"/>
                <w:szCs w:val="21"/>
              </w:rPr>
              <w:t>ustaw</w:t>
            </w:r>
          </w:p>
          <w:p w14:paraId="582E9321" w14:textId="77777777" w:rsidR="001549B4" w:rsidRPr="007F011B" w:rsidRDefault="001549B4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0DCF41F7" w14:textId="77777777" w:rsidR="006A701A" w:rsidRPr="007F011B" w:rsidRDefault="006A701A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>Ministerstwo wiodące i ministerstwa współpracujące</w:t>
            </w:r>
          </w:p>
          <w:bookmarkEnd w:id="0"/>
          <w:p w14:paraId="63226690" w14:textId="77777777" w:rsidR="006A701A" w:rsidRPr="007F011B" w:rsidRDefault="00511200" w:rsidP="001549B4">
            <w:pPr>
              <w:spacing w:line="240" w:lineRule="auto"/>
              <w:ind w:left="34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Minister</w:t>
            </w:r>
            <w:r w:rsidR="00EF2FBD" w:rsidRPr="007F011B">
              <w:rPr>
                <w:rFonts w:ascii="Times New Roman" w:hAnsi="Times New Roman"/>
                <w:sz w:val="21"/>
                <w:szCs w:val="21"/>
              </w:rPr>
              <w:t>stwo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EF2FBD" w:rsidRPr="007F011B">
              <w:rPr>
                <w:rFonts w:ascii="Times New Roman" w:hAnsi="Times New Roman"/>
                <w:sz w:val="21"/>
                <w:szCs w:val="21"/>
              </w:rPr>
              <w:t>S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praw </w:t>
            </w:r>
            <w:r w:rsidR="00EF2FBD" w:rsidRPr="007F011B">
              <w:rPr>
                <w:rFonts w:ascii="Times New Roman" w:hAnsi="Times New Roman"/>
                <w:sz w:val="21"/>
                <w:szCs w:val="21"/>
              </w:rPr>
              <w:t>W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ewnętrznych</w:t>
            </w:r>
            <w:r w:rsidR="004A3351" w:rsidRPr="007F011B">
              <w:rPr>
                <w:rFonts w:ascii="Times New Roman" w:hAnsi="Times New Roman"/>
                <w:sz w:val="21"/>
                <w:szCs w:val="21"/>
              </w:rPr>
              <w:t xml:space="preserve"> i Administracji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39C5873E" w14:textId="77777777" w:rsidR="001549B4" w:rsidRPr="007F011B" w:rsidRDefault="001549B4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69E222B3" w14:textId="65E15631" w:rsidR="001B3460" w:rsidRPr="007F011B" w:rsidRDefault="001B3460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Osoba odpowiedzialna za projekt w randze Ministra, Sekretarza Stanu lub Podsekretarza Stanu </w:t>
            </w:r>
          </w:p>
          <w:p w14:paraId="10B47C88" w14:textId="6AA7DF5E" w:rsidR="000A52D7" w:rsidRPr="007F011B" w:rsidRDefault="000A52D7" w:rsidP="001549B4">
            <w:pPr>
              <w:spacing w:line="240" w:lineRule="auto"/>
              <w:ind w:left="34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Bartosz Grodecki – Podsekretarz Stanu w Ministerstwie Spraw Wewnętrznych i Administracji  </w:t>
            </w:r>
          </w:p>
          <w:p w14:paraId="504A7E5F" w14:textId="77777777" w:rsidR="001549B4" w:rsidRPr="007F011B" w:rsidRDefault="001549B4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54DEDE26" w14:textId="77777777" w:rsidR="006A701A" w:rsidRPr="007F011B" w:rsidRDefault="006A701A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>Kontakt do opiekuna merytorycznego projektu</w:t>
            </w:r>
          </w:p>
          <w:p w14:paraId="4185AF97" w14:textId="77777777" w:rsidR="000A52D7" w:rsidRPr="007F011B" w:rsidRDefault="000A52D7" w:rsidP="000A52D7">
            <w:pPr>
              <w:spacing w:line="240" w:lineRule="auto"/>
              <w:ind w:left="3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Jarosław Boguszyński – Dyrektor Departamentu Analiz i Polityki Migracyjnej w Ministerstwie Spraw Wewnętrznych i Administracji</w:t>
            </w:r>
          </w:p>
          <w:p w14:paraId="40AE18C9" w14:textId="77777777" w:rsidR="000A52D7" w:rsidRPr="007F011B" w:rsidRDefault="000A52D7" w:rsidP="000A52D7">
            <w:pPr>
              <w:spacing w:line="240" w:lineRule="auto"/>
              <w:ind w:left="34"/>
              <w:jc w:val="both"/>
              <w:rPr>
                <w:rFonts w:ascii="Times New Roman" w:hAnsi="Times New Roman"/>
                <w:sz w:val="21"/>
                <w:szCs w:val="21"/>
                <w:lang w:val="en-GB"/>
              </w:rPr>
            </w:pPr>
            <w:r w:rsidRPr="007F011B">
              <w:rPr>
                <w:rFonts w:ascii="Times New Roman" w:hAnsi="Times New Roman"/>
                <w:sz w:val="21"/>
                <w:szCs w:val="21"/>
                <w:lang w:val="en-GB"/>
              </w:rPr>
              <w:t xml:space="preserve">tel. +48 22 60 115 20  |  fax +48 22 60 149 14  </w:t>
            </w:r>
          </w:p>
          <w:p w14:paraId="6B8AEE3B" w14:textId="77777777" w:rsidR="000A52D7" w:rsidRPr="007F011B" w:rsidRDefault="000A52D7" w:rsidP="000A52D7">
            <w:pPr>
              <w:spacing w:line="240" w:lineRule="auto"/>
              <w:ind w:left="34"/>
              <w:jc w:val="both"/>
              <w:rPr>
                <w:rFonts w:ascii="Times New Roman" w:hAnsi="Times New Roman"/>
                <w:sz w:val="21"/>
                <w:szCs w:val="21"/>
                <w:lang w:val="en-GB"/>
              </w:rPr>
            </w:pPr>
            <w:r w:rsidRPr="007F011B">
              <w:rPr>
                <w:rFonts w:ascii="Times New Roman" w:hAnsi="Times New Roman"/>
                <w:sz w:val="21"/>
                <w:szCs w:val="21"/>
                <w:lang w:val="en-GB"/>
              </w:rPr>
              <w:t xml:space="preserve">sekretariat.daipm@mswia.gov.pl  </w:t>
            </w:r>
          </w:p>
          <w:p w14:paraId="013DEEEB" w14:textId="77777777" w:rsidR="00B53811" w:rsidRPr="007F011B" w:rsidRDefault="00B53811" w:rsidP="000A52D7">
            <w:pPr>
              <w:spacing w:line="240" w:lineRule="auto"/>
              <w:ind w:left="34"/>
              <w:jc w:val="both"/>
              <w:rPr>
                <w:rFonts w:ascii="Times New Roman" w:hAnsi="Times New Roman"/>
                <w:sz w:val="21"/>
                <w:szCs w:val="21"/>
                <w:lang w:val="en-GB"/>
              </w:rPr>
            </w:pPr>
          </w:p>
        </w:tc>
        <w:tc>
          <w:tcPr>
            <w:tcW w:w="4145" w:type="dxa"/>
            <w:gridSpan w:val="11"/>
            <w:shd w:val="clear" w:color="auto" w:fill="FFFFFF"/>
          </w:tcPr>
          <w:p w14:paraId="40035E3A" w14:textId="536CCB33" w:rsidR="001B3460" w:rsidRPr="007F011B" w:rsidRDefault="00F549C5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Data sporządzenia </w:t>
            </w:r>
            <w:r w:rsidR="00373142">
              <w:rPr>
                <w:rFonts w:ascii="Times New Roman" w:hAnsi="Times New Roman"/>
                <w:sz w:val="21"/>
                <w:szCs w:val="21"/>
              </w:rPr>
              <w:t>9 października</w:t>
            </w:r>
            <w:bookmarkStart w:id="1" w:name="_GoBack"/>
            <w:bookmarkEnd w:id="1"/>
            <w:r w:rsidR="0040114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133625" w:rsidRPr="007F011B">
              <w:rPr>
                <w:rFonts w:ascii="Times New Roman" w:hAnsi="Times New Roman"/>
                <w:sz w:val="21"/>
                <w:szCs w:val="21"/>
              </w:rPr>
              <w:t>20</w:t>
            </w:r>
            <w:r w:rsidR="00AF51A0" w:rsidRPr="007F011B">
              <w:rPr>
                <w:rFonts w:ascii="Times New Roman" w:hAnsi="Times New Roman"/>
                <w:sz w:val="21"/>
                <w:szCs w:val="21"/>
              </w:rPr>
              <w:t>20</w:t>
            </w:r>
            <w:r w:rsidR="001549B4"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11200" w:rsidRPr="007F011B">
              <w:rPr>
                <w:rFonts w:ascii="Times New Roman" w:hAnsi="Times New Roman"/>
                <w:sz w:val="21"/>
                <w:szCs w:val="21"/>
              </w:rPr>
              <w:t xml:space="preserve">r. </w:t>
            </w:r>
          </w:p>
          <w:p w14:paraId="5C429B08" w14:textId="77777777" w:rsidR="00F76884" w:rsidRPr="007F011B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02425D8C" w14:textId="77777777" w:rsidR="00F76884" w:rsidRPr="007F011B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Źródło: </w:t>
            </w:r>
            <w:bookmarkStart w:id="2" w:name="Lista1"/>
          </w:p>
          <w:bookmarkEnd w:id="2"/>
          <w:p w14:paraId="470B7CF4" w14:textId="77777777" w:rsidR="00F76884" w:rsidRPr="007F011B" w:rsidRDefault="00F76884" w:rsidP="00F76884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1EC58638" w14:textId="632DFCF9" w:rsidR="006A701A" w:rsidRDefault="006A701A" w:rsidP="007943E2">
            <w:pPr>
              <w:spacing w:before="12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Nr </w:t>
            </w:r>
            <w:r w:rsidR="0057668E" w:rsidRPr="007F011B">
              <w:rPr>
                <w:rFonts w:ascii="Times New Roman" w:hAnsi="Times New Roman"/>
                <w:b/>
                <w:sz w:val="21"/>
                <w:szCs w:val="21"/>
              </w:rPr>
              <w:t>w</w:t>
            </w: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 wykaz</w:t>
            </w:r>
            <w:r w:rsidR="0057668E" w:rsidRPr="007F011B">
              <w:rPr>
                <w:rFonts w:ascii="Times New Roman" w:hAnsi="Times New Roman"/>
                <w:b/>
                <w:sz w:val="21"/>
                <w:szCs w:val="21"/>
              </w:rPr>
              <w:t>ie</w:t>
            </w: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 prac </w:t>
            </w:r>
          </w:p>
          <w:p w14:paraId="764EC38E" w14:textId="139B0145" w:rsidR="00485F6C" w:rsidRPr="007F011B" w:rsidRDefault="00485F6C" w:rsidP="007943E2">
            <w:pPr>
              <w:spacing w:before="12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UC51</w:t>
            </w:r>
          </w:p>
          <w:p w14:paraId="1ABADA34" w14:textId="77777777" w:rsidR="006A701A" w:rsidRPr="007F011B" w:rsidRDefault="006A701A" w:rsidP="007943E2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0D51B7CA" w14:textId="77777777" w:rsidR="006A701A" w:rsidRPr="007F011B" w:rsidRDefault="006A701A" w:rsidP="00A17CB2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F011B" w:rsidRPr="007F011B" w14:paraId="768C2182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99CCFF"/>
          </w:tcPr>
          <w:p w14:paraId="2B8A5FDB" w14:textId="77777777" w:rsidR="006A701A" w:rsidRPr="007F011B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F011B">
              <w:rPr>
                <w:rFonts w:ascii="Times New Roman" w:hAnsi="Times New Roman"/>
                <w:b/>
                <w:sz w:val="32"/>
                <w:szCs w:val="32"/>
              </w:rPr>
              <w:t>OCENA SKUTKÓW REGULACJI</w:t>
            </w:r>
          </w:p>
        </w:tc>
      </w:tr>
      <w:tr w:rsidR="007F011B" w:rsidRPr="007F011B" w14:paraId="6CF123EA" w14:textId="77777777" w:rsidTr="004F518E">
        <w:trPr>
          <w:trHeight w:val="333"/>
        </w:trPr>
        <w:tc>
          <w:tcPr>
            <w:tcW w:w="10944" w:type="dxa"/>
            <w:gridSpan w:val="27"/>
            <w:shd w:val="clear" w:color="auto" w:fill="99CCFF"/>
            <w:vAlign w:val="center"/>
          </w:tcPr>
          <w:p w14:paraId="78EE66F8" w14:textId="77777777" w:rsidR="006A701A" w:rsidRPr="007F011B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7F011B">
              <w:rPr>
                <w:rFonts w:ascii="Times New Roman" w:hAnsi="Times New Roman"/>
                <w:b/>
              </w:rPr>
              <w:t>rozwiązywany?</w:t>
            </w:r>
            <w:bookmarkStart w:id="3" w:name="Wybór1"/>
            <w:bookmarkEnd w:id="3"/>
          </w:p>
        </w:tc>
      </w:tr>
      <w:tr w:rsidR="007F011B" w:rsidRPr="007F011B" w14:paraId="659C7424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FFFFFF"/>
          </w:tcPr>
          <w:p w14:paraId="79FBB088" w14:textId="77777777" w:rsidR="00A40249" w:rsidRPr="007F011B" w:rsidRDefault="00A40249" w:rsidP="004F518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Projektowane przepisy mają na celu</w:t>
            </w:r>
            <w:r w:rsidR="00132CD5" w:rsidRPr="007F01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7B03A3B" w14:textId="7AB37561" w:rsidR="006E0310" w:rsidRPr="00BC39C0" w:rsidRDefault="00A40249" w:rsidP="00BC39C0">
            <w:pPr>
              <w:numPr>
                <w:ilvl w:val="0"/>
                <w:numId w:val="39"/>
              </w:numPr>
              <w:spacing w:line="240" w:lineRule="auto"/>
              <w:ind w:left="344" w:hanging="3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d</w:t>
            </w:r>
            <w:r w:rsidR="00D735F6" w:rsidRPr="007F011B">
              <w:rPr>
                <w:rFonts w:ascii="Times New Roman" w:hAnsi="Times New Roman"/>
                <w:sz w:val="20"/>
                <w:szCs w:val="20"/>
              </w:rPr>
              <w:t>ostosowanie u</w:t>
            </w:r>
            <w:r w:rsidR="004142C4" w:rsidRPr="007F011B">
              <w:rPr>
                <w:rFonts w:ascii="Times New Roman" w:hAnsi="Times New Roman"/>
                <w:sz w:val="20"/>
                <w:szCs w:val="20"/>
              </w:rPr>
              <w:t>staw</w:t>
            </w:r>
            <w:r w:rsidR="00D735F6" w:rsidRPr="007F011B">
              <w:rPr>
                <w:rFonts w:ascii="Times New Roman" w:hAnsi="Times New Roman"/>
                <w:sz w:val="20"/>
                <w:szCs w:val="20"/>
              </w:rPr>
              <w:t>y</w:t>
            </w:r>
            <w:r w:rsidR="004142C4" w:rsidRPr="007F011B">
              <w:rPr>
                <w:rFonts w:ascii="Times New Roman" w:hAnsi="Times New Roman"/>
                <w:sz w:val="20"/>
                <w:szCs w:val="20"/>
              </w:rPr>
              <w:t xml:space="preserve"> z dnia 14 lipca 2006 r. o wjeździe na terytorium Rzeczypospolitej Polskiej, pobycie oraz wyjeździe z tego terytorium obywateli państw członkowskich Unii Europejskiej i członków ich rodzin</w:t>
            </w:r>
            <w:r w:rsidR="0087280E" w:rsidRPr="007F011B">
              <w:rPr>
                <w:rFonts w:ascii="Times New Roman" w:hAnsi="Times New Roman"/>
                <w:sz w:val="20"/>
                <w:szCs w:val="20"/>
              </w:rPr>
              <w:t xml:space="preserve"> (Dz. U. z 2019 r. poz. 293</w:t>
            </w:r>
            <w:r w:rsidR="001C098D" w:rsidRPr="007F011B">
              <w:rPr>
                <w:rFonts w:ascii="Times New Roman" w:hAnsi="Times New Roman"/>
                <w:sz w:val="20"/>
                <w:szCs w:val="20"/>
              </w:rPr>
              <w:t>)</w:t>
            </w:r>
            <w:r w:rsidR="00813AC9" w:rsidRPr="007F011B">
              <w:rPr>
                <w:rFonts w:ascii="Times New Roman" w:hAnsi="Times New Roman"/>
                <w:sz w:val="20"/>
                <w:szCs w:val="20"/>
              </w:rPr>
              <w:t>, zwan</w:t>
            </w:r>
            <w:r w:rsidR="001C098D" w:rsidRPr="007F011B">
              <w:rPr>
                <w:rFonts w:ascii="Times New Roman" w:hAnsi="Times New Roman"/>
                <w:sz w:val="20"/>
                <w:szCs w:val="20"/>
              </w:rPr>
              <w:t>ej</w:t>
            </w:r>
            <w:r w:rsidR="00813AC9" w:rsidRPr="007F011B">
              <w:rPr>
                <w:rFonts w:ascii="Times New Roman" w:hAnsi="Times New Roman"/>
                <w:sz w:val="20"/>
                <w:szCs w:val="20"/>
              </w:rPr>
              <w:t xml:space="preserve"> dalej „</w:t>
            </w:r>
            <w:r w:rsidR="001A6200" w:rsidRPr="007F011B">
              <w:rPr>
                <w:rFonts w:ascii="Times New Roman" w:hAnsi="Times New Roman"/>
                <w:sz w:val="20"/>
                <w:szCs w:val="20"/>
              </w:rPr>
              <w:t>ustawą o wjeździe obywateli UE”</w:t>
            </w:r>
            <w:r w:rsidR="00D735F6" w:rsidRPr="007F011B">
              <w:rPr>
                <w:rFonts w:ascii="Times New Roman" w:hAnsi="Times New Roman"/>
                <w:sz w:val="20"/>
                <w:szCs w:val="20"/>
              </w:rPr>
              <w:t xml:space="preserve">, w której </w:t>
            </w:r>
            <w:r w:rsidR="004142C4" w:rsidRPr="007F011B">
              <w:rPr>
                <w:rFonts w:ascii="Times New Roman" w:hAnsi="Times New Roman"/>
                <w:sz w:val="20"/>
                <w:szCs w:val="20"/>
              </w:rPr>
              <w:t>wdroż</w:t>
            </w:r>
            <w:r w:rsidR="00D735F6" w:rsidRPr="007F011B">
              <w:rPr>
                <w:rFonts w:ascii="Times New Roman" w:hAnsi="Times New Roman"/>
                <w:sz w:val="20"/>
                <w:szCs w:val="20"/>
              </w:rPr>
              <w:t>ono</w:t>
            </w:r>
            <w:r w:rsidR="004142C4" w:rsidRPr="007F011B">
              <w:rPr>
                <w:rFonts w:ascii="Times New Roman" w:hAnsi="Times New Roman"/>
                <w:sz w:val="20"/>
                <w:szCs w:val="20"/>
              </w:rPr>
              <w:t xml:space="preserve"> do polskiego porządku prawnego </w:t>
            </w:r>
            <w:r w:rsidR="004142C4" w:rsidRPr="007F011B">
              <w:rPr>
                <w:rFonts w:ascii="Times New Roman" w:hAnsi="Times New Roman"/>
                <w:i/>
                <w:sz w:val="20"/>
                <w:szCs w:val="20"/>
              </w:rPr>
              <w:t>dyrektyw</w:t>
            </w:r>
            <w:r w:rsidR="001A6200" w:rsidRPr="007F011B">
              <w:rPr>
                <w:rFonts w:ascii="Times New Roman" w:hAnsi="Times New Roman"/>
                <w:i/>
                <w:sz w:val="20"/>
                <w:szCs w:val="20"/>
              </w:rPr>
              <w:t>ę</w:t>
            </w:r>
            <w:r w:rsidR="004142C4" w:rsidRPr="007F011B">
              <w:rPr>
                <w:rFonts w:ascii="Times New Roman" w:hAnsi="Times New Roman"/>
                <w:i/>
                <w:sz w:val="20"/>
                <w:szCs w:val="20"/>
              </w:rPr>
              <w:t xml:space="preserve"> 2004/38/WE Parlamentu Europejskiego i Rady z dnia 29 kwietnia 2004 r. w sprawie prawa obywateli Unii i członków ich rodzin do swobodnego przemieszczania się i pobytu na terytorium Państw Członkowskich, zmieniając</w:t>
            </w:r>
            <w:r w:rsidR="00BC39C0">
              <w:rPr>
                <w:rFonts w:ascii="Times New Roman" w:hAnsi="Times New Roman"/>
                <w:i/>
                <w:sz w:val="20"/>
                <w:szCs w:val="20"/>
              </w:rPr>
              <w:t>ą</w:t>
            </w:r>
            <w:r w:rsidR="004142C4" w:rsidRPr="007F011B">
              <w:rPr>
                <w:rFonts w:ascii="Times New Roman" w:hAnsi="Times New Roman"/>
                <w:i/>
                <w:sz w:val="20"/>
                <w:szCs w:val="20"/>
              </w:rPr>
              <w:t xml:space="preserve"> rozporządzenie (EWG) nr 1612/68 i uchylając</w:t>
            </w:r>
            <w:r w:rsidR="00BC39C0">
              <w:rPr>
                <w:rFonts w:ascii="Times New Roman" w:hAnsi="Times New Roman"/>
                <w:i/>
                <w:sz w:val="20"/>
                <w:szCs w:val="20"/>
              </w:rPr>
              <w:t>ą</w:t>
            </w:r>
            <w:r w:rsidR="004142C4" w:rsidRPr="007F011B">
              <w:rPr>
                <w:rFonts w:ascii="Times New Roman" w:hAnsi="Times New Roman"/>
                <w:i/>
                <w:sz w:val="20"/>
                <w:szCs w:val="20"/>
              </w:rPr>
              <w:t xml:space="preserve"> dyrektywy 64/221/EWG, 68/360/EWG, 72/194/EWG, 73/148/EWG, 75/34/EWG, 75/35/EWG, 90/364/EWG, 90/365/EWG </w:t>
            </w:r>
            <w:r w:rsidR="00BC39C0">
              <w:rPr>
                <w:rFonts w:ascii="Times New Roman" w:hAnsi="Times New Roman"/>
                <w:sz w:val="20"/>
                <w:szCs w:val="20"/>
              </w:rPr>
              <w:br/>
            </w:r>
            <w:r w:rsidR="004142C4" w:rsidRPr="00BC39C0">
              <w:rPr>
                <w:rFonts w:ascii="Times New Roman" w:hAnsi="Times New Roman"/>
                <w:i/>
                <w:sz w:val="20"/>
                <w:szCs w:val="20"/>
              </w:rPr>
              <w:t>i 93/96/EWG</w:t>
            </w:r>
            <w:r w:rsidR="004142C4" w:rsidRPr="00BC39C0">
              <w:rPr>
                <w:rFonts w:ascii="Times New Roman" w:hAnsi="Times New Roman"/>
                <w:sz w:val="20"/>
                <w:szCs w:val="20"/>
              </w:rPr>
              <w:t xml:space="preserve"> (D</w:t>
            </w:r>
            <w:r w:rsidR="00A5274F" w:rsidRPr="00BC39C0">
              <w:rPr>
                <w:rFonts w:ascii="Times New Roman" w:hAnsi="Times New Roman"/>
                <w:sz w:val="20"/>
                <w:szCs w:val="20"/>
              </w:rPr>
              <w:t xml:space="preserve">z. Urz. L 158 </w:t>
            </w:r>
            <w:r w:rsidR="00EF2FBD" w:rsidRPr="00BC39C0">
              <w:rPr>
                <w:rFonts w:ascii="Times New Roman" w:hAnsi="Times New Roman"/>
                <w:sz w:val="20"/>
                <w:szCs w:val="20"/>
              </w:rPr>
              <w:t>z</w:t>
            </w:r>
            <w:r w:rsidR="00A5274F" w:rsidRPr="00BC39C0">
              <w:rPr>
                <w:rFonts w:ascii="Times New Roman" w:hAnsi="Times New Roman"/>
                <w:sz w:val="20"/>
                <w:szCs w:val="20"/>
              </w:rPr>
              <w:t xml:space="preserve"> 30</w:t>
            </w:r>
            <w:r w:rsidR="00EF2FBD" w:rsidRPr="00BC39C0">
              <w:rPr>
                <w:rFonts w:ascii="Times New Roman" w:hAnsi="Times New Roman"/>
                <w:sz w:val="20"/>
                <w:szCs w:val="20"/>
              </w:rPr>
              <w:t>.</w:t>
            </w:r>
            <w:r w:rsidR="00A5274F" w:rsidRPr="00BC39C0">
              <w:rPr>
                <w:rFonts w:ascii="Times New Roman" w:hAnsi="Times New Roman"/>
                <w:sz w:val="20"/>
                <w:szCs w:val="20"/>
              </w:rPr>
              <w:t>04</w:t>
            </w:r>
            <w:r w:rsidR="00EF2FBD" w:rsidRPr="00BC39C0">
              <w:rPr>
                <w:rFonts w:ascii="Times New Roman" w:hAnsi="Times New Roman"/>
                <w:sz w:val="20"/>
                <w:szCs w:val="20"/>
              </w:rPr>
              <w:t>.</w:t>
            </w:r>
            <w:r w:rsidR="00A5274F" w:rsidRPr="00BC39C0">
              <w:rPr>
                <w:rFonts w:ascii="Times New Roman" w:hAnsi="Times New Roman"/>
                <w:sz w:val="20"/>
                <w:szCs w:val="20"/>
              </w:rPr>
              <w:t>2004</w:t>
            </w:r>
            <w:r w:rsidR="00EF2FBD" w:rsidRPr="00BC39C0">
              <w:rPr>
                <w:rFonts w:ascii="Times New Roman" w:hAnsi="Times New Roman"/>
                <w:sz w:val="20"/>
                <w:szCs w:val="20"/>
              </w:rPr>
              <w:t>,</w:t>
            </w:r>
            <w:r w:rsidR="00A5274F" w:rsidRPr="00BC39C0">
              <w:rPr>
                <w:rFonts w:ascii="Times New Roman" w:hAnsi="Times New Roman"/>
                <w:sz w:val="20"/>
                <w:szCs w:val="20"/>
              </w:rPr>
              <w:t xml:space="preserve"> str. 77</w:t>
            </w:r>
            <w:r w:rsidR="00EF2FBD" w:rsidRPr="00BC39C0">
              <w:rPr>
                <w:rFonts w:ascii="Times New Roman" w:hAnsi="Times New Roman"/>
                <w:sz w:val="20"/>
                <w:szCs w:val="20"/>
              </w:rPr>
              <w:t>; Dz. Urz. UE Polskie wydanie specjalne, rozdz. 5, t. 5, str. 46</w:t>
            </w:r>
            <w:r w:rsidR="00A5274F" w:rsidRPr="00BC39C0">
              <w:rPr>
                <w:rFonts w:ascii="Times New Roman" w:hAnsi="Times New Roman"/>
                <w:sz w:val="20"/>
                <w:szCs w:val="20"/>
              </w:rPr>
              <w:t>)</w:t>
            </w:r>
            <w:r w:rsidR="00EF2FBD" w:rsidRPr="00BC39C0">
              <w:rPr>
                <w:rFonts w:ascii="Times New Roman" w:hAnsi="Times New Roman"/>
                <w:sz w:val="20"/>
                <w:szCs w:val="20"/>
              </w:rPr>
              <w:t>, zwan</w:t>
            </w:r>
            <w:r w:rsidR="001A6200" w:rsidRPr="00BC39C0">
              <w:rPr>
                <w:rFonts w:ascii="Times New Roman" w:hAnsi="Times New Roman"/>
                <w:sz w:val="20"/>
                <w:szCs w:val="20"/>
              </w:rPr>
              <w:t>ą</w:t>
            </w:r>
            <w:r w:rsidR="00EF2FBD" w:rsidRPr="00BC39C0">
              <w:rPr>
                <w:rFonts w:ascii="Times New Roman" w:hAnsi="Times New Roman"/>
                <w:sz w:val="20"/>
                <w:szCs w:val="20"/>
              </w:rPr>
              <w:t xml:space="preserve"> dalej „dyrektywą 2004/38/WE”</w:t>
            </w:r>
            <w:r w:rsidR="00D735F6" w:rsidRPr="00BC39C0">
              <w:rPr>
                <w:rFonts w:ascii="Times New Roman" w:hAnsi="Times New Roman"/>
                <w:sz w:val="20"/>
                <w:szCs w:val="20"/>
              </w:rPr>
              <w:t>,</w:t>
            </w:r>
            <w:r w:rsidR="00A5274F" w:rsidRPr="00BC39C0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="00807AA0" w:rsidRPr="00BC39C0">
              <w:rPr>
                <w:rFonts w:ascii="Times New Roman" w:hAnsi="Times New Roman"/>
                <w:sz w:val="20"/>
                <w:szCs w:val="20"/>
              </w:rPr>
              <w:t xml:space="preserve">aktualnego </w:t>
            </w:r>
            <w:r w:rsidR="00A5274F" w:rsidRPr="00BC39C0">
              <w:rPr>
                <w:rFonts w:ascii="Times New Roman" w:hAnsi="Times New Roman"/>
                <w:sz w:val="20"/>
                <w:szCs w:val="20"/>
              </w:rPr>
              <w:t>orzecznictw</w:t>
            </w:r>
            <w:r w:rsidR="001A6200" w:rsidRPr="00BC39C0">
              <w:rPr>
                <w:rFonts w:ascii="Times New Roman" w:hAnsi="Times New Roman"/>
                <w:sz w:val="20"/>
                <w:szCs w:val="20"/>
              </w:rPr>
              <w:t xml:space="preserve">a Trybunału Sprawiedliwości </w:t>
            </w:r>
            <w:r w:rsidR="00A2505D" w:rsidRPr="00BC39C0">
              <w:rPr>
                <w:rFonts w:ascii="Times New Roman" w:hAnsi="Times New Roman"/>
                <w:sz w:val="20"/>
                <w:szCs w:val="20"/>
              </w:rPr>
              <w:t>Unii Europejskiej</w:t>
            </w:r>
            <w:r w:rsidR="00BC39C0">
              <w:rPr>
                <w:rFonts w:ascii="Times New Roman" w:hAnsi="Times New Roman"/>
                <w:sz w:val="20"/>
                <w:szCs w:val="20"/>
              </w:rPr>
              <w:t>, tj.</w:t>
            </w:r>
            <w:r w:rsidR="0087280E" w:rsidRPr="00BC39C0">
              <w:rPr>
                <w:rFonts w:ascii="Times New Roman" w:hAnsi="Times New Roman"/>
                <w:sz w:val="20"/>
                <w:szCs w:val="20"/>
              </w:rPr>
              <w:t xml:space="preserve"> w sprawach</w:t>
            </w:r>
            <w:r w:rsidR="00AD2DFE">
              <w:rPr>
                <w:rFonts w:ascii="Times New Roman" w:hAnsi="Times New Roman"/>
                <w:sz w:val="20"/>
                <w:szCs w:val="20"/>
              </w:rPr>
              <w:t>:</w:t>
            </w:r>
            <w:r w:rsidR="0087280E" w:rsidRPr="00BC39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C-378/12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Onuekwere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, C-400/12 MG, C-456/12 O i B, C-145/09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Tsakouridis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, C-348/09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Infusino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, C-244/13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Ogieriakhi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>, C-325/09 Maria Dias, C-424/10 Ziółkowski, C-425/10 Szeja</w:t>
            </w:r>
            <w:r w:rsidR="00AD2DFE">
              <w:rPr>
                <w:rFonts w:ascii="Times New Roman" w:hAnsi="Times New Roman"/>
                <w:sz w:val="20"/>
                <w:szCs w:val="20"/>
              </w:rPr>
              <w:t>,</w:t>
            </w:r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 C-507/12, Saint Prix, C-218/14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Kuldp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 Singh, C-200/02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Zhu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 i Chen,  C-165/14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Rendón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Marín</w:t>
            </w:r>
            <w:proofErr w:type="spellEnd"/>
            <w:r w:rsidR="006E0310" w:rsidRPr="00BC39C0" w:rsidDel="00B96E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, C-86/12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Alokpa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Moudoulou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, C-133/15 </w:t>
            </w:r>
            <w:proofErr w:type="spellStart"/>
            <w:r w:rsidR="006E0310" w:rsidRPr="00BC39C0">
              <w:rPr>
                <w:rFonts w:ascii="Times New Roman" w:hAnsi="Times New Roman"/>
                <w:sz w:val="20"/>
                <w:szCs w:val="20"/>
              </w:rPr>
              <w:t>Chavez-Vilchez</w:t>
            </w:r>
            <w:proofErr w:type="spellEnd"/>
            <w:r w:rsidR="006E0310" w:rsidRPr="00BC39C0">
              <w:rPr>
                <w:rFonts w:ascii="Times New Roman" w:hAnsi="Times New Roman"/>
                <w:sz w:val="20"/>
                <w:szCs w:val="20"/>
              </w:rPr>
              <w:t xml:space="preserve">, C-165/16 </w:t>
            </w:r>
            <w:proofErr w:type="spellStart"/>
            <w:r w:rsidR="006E0310" w:rsidRPr="00BC39C0">
              <w:rPr>
                <w:rFonts w:ascii="Times New Roman" w:hAnsi="Times New Roman"/>
                <w:bCs/>
                <w:sz w:val="20"/>
                <w:szCs w:val="20"/>
              </w:rPr>
              <w:t>Toufik</w:t>
            </w:r>
            <w:proofErr w:type="spellEnd"/>
            <w:r w:rsidR="006E0310" w:rsidRPr="00BC39C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E0310" w:rsidRPr="00BC39C0">
              <w:rPr>
                <w:rFonts w:ascii="Times New Roman" w:hAnsi="Times New Roman"/>
                <w:bCs/>
                <w:sz w:val="20"/>
                <w:szCs w:val="20"/>
              </w:rPr>
              <w:t>Lounes</w:t>
            </w:r>
            <w:proofErr w:type="spellEnd"/>
            <w:r w:rsidR="006E0310" w:rsidRPr="00BC39C0">
              <w:rPr>
                <w:rFonts w:ascii="Times New Roman" w:hAnsi="Times New Roman"/>
                <w:bCs/>
                <w:sz w:val="20"/>
                <w:szCs w:val="20"/>
              </w:rPr>
              <w:t xml:space="preserve"> oraz w s</w:t>
            </w:r>
            <w:r w:rsidR="00E90AEA" w:rsidRPr="00BC39C0">
              <w:rPr>
                <w:rFonts w:ascii="Times New Roman" w:hAnsi="Times New Roman"/>
                <w:bCs/>
                <w:sz w:val="20"/>
                <w:szCs w:val="20"/>
              </w:rPr>
              <w:t>prawach połączonych C-316/16 B,</w:t>
            </w:r>
            <w:r w:rsidR="006E0310" w:rsidRPr="00BC39C0">
              <w:rPr>
                <w:rFonts w:ascii="Times New Roman" w:hAnsi="Times New Roman"/>
                <w:bCs/>
                <w:sz w:val="20"/>
                <w:szCs w:val="20"/>
              </w:rPr>
              <w:t xml:space="preserve"> C-424/16 Franco </w:t>
            </w:r>
            <w:proofErr w:type="spellStart"/>
            <w:r w:rsidR="006E0310" w:rsidRPr="00BC39C0">
              <w:rPr>
                <w:rFonts w:ascii="Times New Roman" w:hAnsi="Times New Roman"/>
                <w:bCs/>
                <w:sz w:val="20"/>
                <w:szCs w:val="20"/>
              </w:rPr>
              <w:t>Vomero</w:t>
            </w:r>
            <w:proofErr w:type="spellEnd"/>
            <w:r w:rsidR="00E90AEA" w:rsidRPr="00BC39C0">
              <w:rPr>
                <w:rFonts w:ascii="Times New Roman" w:hAnsi="Times New Roman"/>
                <w:bCs/>
                <w:sz w:val="20"/>
                <w:szCs w:val="20"/>
              </w:rPr>
              <w:t xml:space="preserve"> i </w:t>
            </w:r>
            <w:r w:rsidR="00851232" w:rsidRPr="00BC39C0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="00E90AEA" w:rsidRPr="00BC39C0">
              <w:rPr>
                <w:rFonts w:ascii="Times New Roman" w:hAnsi="Times New Roman"/>
                <w:bCs/>
                <w:sz w:val="20"/>
                <w:szCs w:val="20"/>
              </w:rPr>
              <w:t xml:space="preserve">sprawie C-94/18 </w:t>
            </w:r>
            <w:proofErr w:type="spellStart"/>
            <w:r w:rsidR="00E90AEA" w:rsidRPr="00BC39C0">
              <w:rPr>
                <w:rFonts w:ascii="Times New Roman" w:hAnsi="Times New Roman"/>
                <w:bCs/>
                <w:sz w:val="20"/>
                <w:szCs w:val="20"/>
              </w:rPr>
              <w:t>Chenchooliah</w:t>
            </w:r>
            <w:proofErr w:type="spellEnd"/>
            <w:r w:rsidR="00EF59C8" w:rsidRPr="00BC39C0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4EB6C7C5" w14:textId="77777777" w:rsidR="003E1085" w:rsidRPr="007F011B" w:rsidRDefault="00E26532" w:rsidP="00E26532">
            <w:pPr>
              <w:numPr>
                <w:ilvl w:val="0"/>
                <w:numId w:val="39"/>
              </w:numPr>
              <w:spacing w:line="240" w:lineRule="auto"/>
              <w:ind w:left="344" w:hanging="3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pełniejsze dostosowanie polskiego prawa do uregulowań dyrektywy 2004/38/WE w kwestii ograniczenia prawa do swobody przepływu osób z uwagi na zagrożenie dla bezpieczeństwa oraz nadużycie prawa</w:t>
            </w:r>
            <w:r w:rsidR="00EF59C8" w:rsidRPr="007F011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1A9E57" w14:textId="2A157EDD" w:rsidR="00366809" w:rsidRPr="007F011B" w:rsidRDefault="00A40249" w:rsidP="00EF59C8">
            <w:pPr>
              <w:numPr>
                <w:ilvl w:val="0"/>
                <w:numId w:val="39"/>
              </w:numPr>
              <w:spacing w:line="240" w:lineRule="auto"/>
              <w:ind w:left="344" w:hanging="3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d</w:t>
            </w:r>
            <w:r w:rsidR="00C71B06" w:rsidRPr="007F011B">
              <w:rPr>
                <w:rFonts w:ascii="Times New Roman" w:hAnsi="Times New Roman"/>
                <w:sz w:val="20"/>
                <w:szCs w:val="20"/>
              </w:rPr>
              <w:t>ostosowanie przepisów</w:t>
            </w:r>
            <w:r w:rsidR="0087280E" w:rsidRPr="007F011B">
              <w:rPr>
                <w:rFonts w:ascii="Times New Roman" w:hAnsi="Times New Roman"/>
                <w:sz w:val="20"/>
                <w:szCs w:val="20"/>
              </w:rPr>
              <w:t xml:space="preserve"> polskiego prawa do </w:t>
            </w:r>
            <w:r w:rsidR="0087280E" w:rsidRPr="007F011B">
              <w:rPr>
                <w:rFonts w:ascii="Times New Roman" w:hAnsi="Times New Roman"/>
                <w:i/>
                <w:sz w:val="20"/>
                <w:szCs w:val="20"/>
              </w:rPr>
              <w:t>rozporządzenia Parlamentu Europejskiego i Rady (UE) 2019/1157 z dnia 20 czerwca 2019 r. w sprawie poprawy zabezpieczeń dowodów osobistych obywateli Unii i dokumentów pobytowych wydawanych obywatelom Unii i członkom ich rodzin korzystającym z prawa do</w:t>
            </w:r>
            <w:r w:rsidR="00AD2DFE">
              <w:rPr>
                <w:rFonts w:ascii="Times New Roman" w:hAnsi="Times New Roman"/>
                <w:i/>
                <w:sz w:val="20"/>
                <w:szCs w:val="20"/>
              </w:rPr>
              <w:t xml:space="preserve"> swobodnego przemieszczania się</w:t>
            </w:r>
            <w:r w:rsidR="0087280E" w:rsidRPr="007F011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E0310" w:rsidRPr="007F011B">
              <w:rPr>
                <w:rFonts w:ascii="Times New Roman" w:hAnsi="Times New Roman"/>
                <w:sz w:val="20"/>
                <w:szCs w:val="20"/>
              </w:rPr>
              <w:t>(Dz. Urz. UE L 188 z 12.07.2019, str. 67), zwanego dalej „rozpo</w:t>
            </w:r>
            <w:r w:rsidR="004572D1" w:rsidRPr="007F011B">
              <w:rPr>
                <w:rFonts w:ascii="Times New Roman" w:hAnsi="Times New Roman"/>
                <w:sz w:val="20"/>
                <w:szCs w:val="20"/>
              </w:rPr>
              <w:t>rządze</w:t>
            </w:r>
            <w:r w:rsidR="00EF59C8" w:rsidRPr="007F011B">
              <w:rPr>
                <w:rFonts w:ascii="Times New Roman" w:hAnsi="Times New Roman"/>
                <w:sz w:val="20"/>
                <w:szCs w:val="20"/>
              </w:rPr>
              <w:t>niem Rady (UE) 2019/1157”, które</w:t>
            </w:r>
            <w:r w:rsidR="0087280E" w:rsidRPr="007F011B">
              <w:rPr>
                <w:rFonts w:ascii="Times New Roman" w:hAnsi="Times New Roman"/>
                <w:sz w:val="20"/>
                <w:szCs w:val="20"/>
              </w:rPr>
              <w:t xml:space="preserve"> wprowadza jednolity format dokumentów wydawanych obywatelom UE oraz członkom ich rodzin, którzy korzystają ze swobody przemieszczania się</w:t>
            </w:r>
            <w:r w:rsidR="00A27D18" w:rsidRPr="007F011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395E45" w14:textId="25F746F6" w:rsidR="00C71B06" w:rsidRPr="007F011B" w:rsidRDefault="00A40249" w:rsidP="00EF59C8">
            <w:pPr>
              <w:numPr>
                <w:ilvl w:val="0"/>
                <w:numId w:val="39"/>
              </w:numPr>
              <w:spacing w:line="240" w:lineRule="auto"/>
              <w:ind w:left="344" w:hanging="3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zmianę</w:t>
            </w:r>
            <w:r w:rsidR="00C71B06" w:rsidRPr="007F011B">
              <w:rPr>
                <w:rFonts w:ascii="Times New Roman" w:hAnsi="Times New Roman"/>
                <w:sz w:val="20"/>
                <w:szCs w:val="20"/>
              </w:rPr>
              <w:t xml:space="preserve"> nazw dokumentów wydawanych członkom rodziny obywateli UE </w:t>
            </w:r>
            <w:r w:rsidR="00A27D18" w:rsidRPr="007F011B">
              <w:rPr>
                <w:rFonts w:ascii="Times New Roman" w:hAnsi="Times New Roman"/>
                <w:sz w:val="20"/>
                <w:szCs w:val="20"/>
              </w:rPr>
              <w:t xml:space="preserve">niebędących </w:t>
            </w:r>
            <w:r w:rsidR="00C71B06" w:rsidRPr="007F011B">
              <w:rPr>
                <w:rFonts w:ascii="Times New Roman" w:hAnsi="Times New Roman"/>
                <w:sz w:val="20"/>
                <w:szCs w:val="20"/>
              </w:rPr>
              <w:t xml:space="preserve">obywatelami UE z „karta pobytu członka rodziny obywatela UE” na „karta pobytowa” i </w:t>
            </w:r>
            <w:r w:rsidR="004572D1" w:rsidRPr="007F011B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C71B06" w:rsidRPr="007F011B">
              <w:rPr>
                <w:rFonts w:ascii="Times New Roman" w:hAnsi="Times New Roman"/>
                <w:sz w:val="20"/>
                <w:szCs w:val="20"/>
              </w:rPr>
              <w:t xml:space="preserve">„karta stałego pobytu członka rodziny obywatela UE” na „karta stałego pobytu” w celu dostosowania ich </w:t>
            </w:r>
            <w:r w:rsidR="004572D1" w:rsidRPr="007F011B">
              <w:rPr>
                <w:rFonts w:ascii="Times New Roman" w:hAnsi="Times New Roman"/>
                <w:sz w:val="20"/>
                <w:szCs w:val="20"/>
              </w:rPr>
              <w:t xml:space="preserve">nazw </w:t>
            </w:r>
            <w:r w:rsidR="00C71B06" w:rsidRPr="007F011B">
              <w:rPr>
                <w:rFonts w:ascii="Times New Roman" w:hAnsi="Times New Roman"/>
                <w:sz w:val="20"/>
                <w:szCs w:val="20"/>
              </w:rPr>
              <w:t>do nazewnictwa, którym posługuje się rozporządz</w:t>
            </w:r>
            <w:r w:rsidR="004572D1" w:rsidRPr="007F011B">
              <w:rPr>
                <w:rFonts w:ascii="Times New Roman" w:hAnsi="Times New Roman"/>
                <w:sz w:val="20"/>
                <w:szCs w:val="20"/>
              </w:rPr>
              <w:t>e</w:t>
            </w:r>
            <w:r w:rsidR="00C71B06" w:rsidRPr="007F011B">
              <w:rPr>
                <w:rFonts w:ascii="Times New Roman" w:hAnsi="Times New Roman"/>
                <w:sz w:val="20"/>
                <w:szCs w:val="20"/>
              </w:rPr>
              <w:t>nie Rady (UE) 2019/1157</w:t>
            </w:r>
            <w:r w:rsidR="00EF59C8" w:rsidRPr="007F011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8E28823" w14:textId="77777777" w:rsidR="00D735F6" w:rsidRPr="007F011B" w:rsidRDefault="00A40249" w:rsidP="00EF59C8">
            <w:pPr>
              <w:numPr>
                <w:ilvl w:val="0"/>
                <w:numId w:val="39"/>
              </w:numPr>
              <w:spacing w:line="240" w:lineRule="auto"/>
              <w:ind w:left="344" w:hanging="3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w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 xml:space="preserve">prowadzenie rozwiązań prawnych pozwalających na zamieszczanie obrazu linii papilarnych w karcie </w:t>
            </w:r>
            <w:r w:rsidR="00C71B06" w:rsidRPr="007F011B">
              <w:rPr>
                <w:rFonts w:ascii="Times New Roman" w:hAnsi="Times New Roman"/>
                <w:sz w:val="20"/>
                <w:szCs w:val="20"/>
              </w:rPr>
              <w:t xml:space="preserve">pobytowej 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>i w karcie stałego pobyt</w:t>
            </w:r>
            <w:r w:rsidR="00D735F6" w:rsidRPr="007F011B">
              <w:rPr>
                <w:rFonts w:ascii="Times New Roman" w:hAnsi="Times New Roman"/>
                <w:sz w:val="20"/>
                <w:szCs w:val="20"/>
              </w:rPr>
              <w:t>u</w:t>
            </w:r>
            <w:r w:rsidR="0087280E" w:rsidRPr="007F011B">
              <w:rPr>
                <w:rFonts w:ascii="Times New Roman" w:hAnsi="Times New Roman"/>
                <w:sz w:val="20"/>
                <w:szCs w:val="20"/>
              </w:rPr>
              <w:t xml:space="preserve">, zgodnie z art. 7 ust. 1 </w:t>
            </w:r>
            <w:r w:rsidR="00C71B06" w:rsidRPr="007F011B">
              <w:rPr>
                <w:rFonts w:ascii="Times New Roman" w:hAnsi="Times New Roman"/>
                <w:sz w:val="20"/>
                <w:szCs w:val="20"/>
              </w:rPr>
              <w:t>rozporządz</w:t>
            </w:r>
            <w:r w:rsidR="004572D1" w:rsidRPr="007F011B">
              <w:rPr>
                <w:rFonts w:ascii="Times New Roman" w:hAnsi="Times New Roman"/>
                <w:sz w:val="20"/>
                <w:szCs w:val="20"/>
              </w:rPr>
              <w:t>e</w:t>
            </w:r>
            <w:r w:rsidR="00C71B06" w:rsidRPr="007F011B">
              <w:rPr>
                <w:rFonts w:ascii="Times New Roman" w:hAnsi="Times New Roman"/>
                <w:sz w:val="20"/>
                <w:szCs w:val="20"/>
              </w:rPr>
              <w:t>nia</w:t>
            </w:r>
            <w:r w:rsidR="0087280E" w:rsidRPr="007F011B">
              <w:rPr>
                <w:rFonts w:ascii="Times New Roman" w:hAnsi="Times New Roman"/>
                <w:sz w:val="20"/>
                <w:szCs w:val="20"/>
              </w:rPr>
              <w:t xml:space="preserve"> Rady (UE) 2019/1157</w:t>
            </w:r>
            <w:r w:rsidR="00EF59C8" w:rsidRPr="007F011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58D5EFD" w14:textId="77777777" w:rsidR="003146AC" w:rsidRPr="007F011B" w:rsidRDefault="00A40249" w:rsidP="00EF59C8">
            <w:pPr>
              <w:numPr>
                <w:ilvl w:val="0"/>
                <w:numId w:val="39"/>
              </w:numPr>
              <w:spacing w:line="240" w:lineRule="auto"/>
              <w:ind w:left="344" w:hanging="3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w</w:t>
            </w:r>
            <w:r w:rsidR="00032D7C" w:rsidRPr="007F011B">
              <w:rPr>
                <w:rFonts w:ascii="Times New Roman" w:hAnsi="Times New Roman"/>
                <w:sz w:val="20"/>
                <w:szCs w:val="20"/>
              </w:rPr>
              <w:t>prowadz</w:t>
            </w:r>
            <w:r w:rsidR="001A6200" w:rsidRPr="007F011B">
              <w:rPr>
                <w:rFonts w:ascii="Times New Roman" w:hAnsi="Times New Roman"/>
                <w:sz w:val="20"/>
                <w:szCs w:val="20"/>
              </w:rPr>
              <w:t>enie regulacji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 xml:space="preserve"> przewidując</w:t>
            </w:r>
            <w:r w:rsidR="001A6200" w:rsidRPr="007F011B">
              <w:rPr>
                <w:rFonts w:ascii="Times New Roman" w:hAnsi="Times New Roman"/>
                <w:sz w:val="20"/>
                <w:szCs w:val="20"/>
              </w:rPr>
              <w:t>ych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 xml:space="preserve"> wydawanie zaświadczeni</w:t>
            </w:r>
            <w:r w:rsidR="00EF2FBD" w:rsidRPr="007F011B">
              <w:rPr>
                <w:rFonts w:ascii="Times New Roman" w:hAnsi="Times New Roman"/>
                <w:sz w:val="20"/>
                <w:szCs w:val="20"/>
              </w:rPr>
              <w:t>a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 xml:space="preserve"> o zarejestrowaniu pobytu obywatela UE w formacie zbliżonym do karty pobyt</w:t>
            </w:r>
            <w:r w:rsidR="00EF2FBD" w:rsidRPr="007F011B">
              <w:rPr>
                <w:rFonts w:ascii="Times New Roman" w:hAnsi="Times New Roman"/>
                <w:sz w:val="20"/>
                <w:szCs w:val="20"/>
              </w:rPr>
              <w:t>u</w:t>
            </w:r>
            <w:r w:rsidR="00EF59C8" w:rsidRPr="007F011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81D332" w14:textId="77777777" w:rsidR="00D735F6" w:rsidRPr="007F011B" w:rsidRDefault="00A40249" w:rsidP="00EF59C8">
            <w:pPr>
              <w:numPr>
                <w:ilvl w:val="0"/>
                <w:numId w:val="39"/>
              </w:numPr>
              <w:spacing w:line="240" w:lineRule="auto"/>
              <w:ind w:left="344" w:hanging="3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u</w:t>
            </w:r>
            <w:r w:rsidR="00D735F6" w:rsidRPr="007F011B">
              <w:rPr>
                <w:rFonts w:ascii="Times New Roman" w:hAnsi="Times New Roman"/>
                <w:sz w:val="20"/>
                <w:szCs w:val="20"/>
              </w:rPr>
              <w:t>możliwienie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 xml:space="preserve"> Straży Granicznej </w:t>
            </w:r>
            <w:r w:rsidR="00D735F6" w:rsidRPr="007F011B">
              <w:rPr>
                <w:rFonts w:ascii="Times New Roman" w:hAnsi="Times New Roman"/>
                <w:sz w:val="20"/>
                <w:szCs w:val="20"/>
              </w:rPr>
              <w:t>przeprowadzania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 xml:space="preserve"> wywiadu środowiskowego oraz sprawdzenia w miejscu pobytu obywatela UE w przypadku podejrzenia </w:t>
            </w:r>
            <w:r w:rsidR="001C098D" w:rsidRPr="007F011B">
              <w:rPr>
                <w:rFonts w:ascii="Times New Roman" w:hAnsi="Times New Roman"/>
                <w:sz w:val="20"/>
                <w:szCs w:val="20"/>
              </w:rPr>
              <w:t xml:space="preserve">zawarcia 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 xml:space="preserve">fikcyjnego małżeństwa oraz wyłączenie stosownych przepisów </w:t>
            </w:r>
            <w:r w:rsidR="00EF2FBD" w:rsidRPr="007F011B">
              <w:rPr>
                <w:rFonts w:ascii="Times New Roman" w:hAnsi="Times New Roman"/>
                <w:sz w:val="20"/>
                <w:szCs w:val="20"/>
              </w:rPr>
              <w:t>Kodeksu postępowania administracyjnego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 xml:space="preserve"> w przypadku przeprowadz</w:t>
            </w:r>
            <w:r w:rsidR="001549B4" w:rsidRPr="007F011B">
              <w:rPr>
                <w:rFonts w:ascii="Times New Roman" w:hAnsi="Times New Roman"/>
                <w:sz w:val="20"/>
                <w:szCs w:val="20"/>
              </w:rPr>
              <w:t>a</w:t>
            </w:r>
            <w:r w:rsidR="00DA62BC" w:rsidRPr="007F011B">
              <w:rPr>
                <w:rFonts w:ascii="Times New Roman" w:hAnsi="Times New Roman"/>
                <w:sz w:val="20"/>
                <w:szCs w:val="20"/>
              </w:rPr>
              <w:t xml:space="preserve">nia tego typu </w:t>
            </w:r>
            <w:r w:rsidR="001549B4" w:rsidRPr="007F011B">
              <w:rPr>
                <w:rFonts w:ascii="Times New Roman" w:hAnsi="Times New Roman"/>
                <w:sz w:val="20"/>
                <w:szCs w:val="20"/>
              </w:rPr>
              <w:t>dział</w:t>
            </w:r>
            <w:r w:rsidR="00EF59C8" w:rsidRPr="007F011B">
              <w:rPr>
                <w:rFonts w:ascii="Times New Roman" w:hAnsi="Times New Roman"/>
                <w:sz w:val="20"/>
                <w:szCs w:val="20"/>
              </w:rPr>
              <w:t>ań;</w:t>
            </w:r>
          </w:p>
          <w:p w14:paraId="6E900359" w14:textId="77777777" w:rsidR="003146AC" w:rsidRPr="007F011B" w:rsidRDefault="00A40249" w:rsidP="00EF59C8">
            <w:pPr>
              <w:numPr>
                <w:ilvl w:val="0"/>
                <w:numId w:val="39"/>
              </w:numPr>
              <w:spacing w:line="240" w:lineRule="auto"/>
              <w:ind w:left="344" w:hanging="3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 xml:space="preserve">zmianę </w:t>
            </w:r>
            <w:r w:rsidR="003146AC" w:rsidRPr="007F011B">
              <w:rPr>
                <w:rFonts w:ascii="Times New Roman" w:hAnsi="Times New Roman"/>
                <w:sz w:val="20"/>
                <w:szCs w:val="20"/>
              </w:rPr>
              <w:t>organu właściwego do wydawania decyzji o wydaleniu obywateli UE oraz członków rodz</w:t>
            </w:r>
            <w:r w:rsidR="003E1085" w:rsidRPr="007F011B">
              <w:rPr>
                <w:rFonts w:ascii="Times New Roman" w:hAnsi="Times New Roman"/>
                <w:sz w:val="20"/>
                <w:szCs w:val="20"/>
              </w:rPr>
              <w:t>iny niebędących obywat</w:t>
            </w:r>
            <w:r w:rsidR="00EF59C8" w:rsidRPr="007F011B">
              <w:rPr>
                <w:rFonts w:ascii="Times New Roman" w:hAnsi="Times New Roman"/>
                <w:sz w:val="20"/>
                <w:szCs w:val="20"/>
              </w:rPr>
              <w:t>elami UE;</w:t>
            </w:r>
          </w:p>
          <w:p w14:paraId="25DD539C" w14:textId="3137418B" w:rsidR="00A40249" w:rsidRPr="007F011B" w:rsidRDefault="00A57F18" w:rsidP="00A57F18">
            <w:pPr>
              <w:numPr>
                <w:ilvl w:val="0"/>
                <w:numId w:val="39"/>
              </w:numPr>
              <w:spacing w:line="240" w:lineRule="auto"/>
              <w:ind w:left="346" w:hanging="34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uzupełnienie</w:t>
            </w:r>
            <w:r w:rsidR="00D735F6" w:rsidRPr="007F011B">
              <w:rPr>
                <w:rFonts w:ascii="Times New Roman" w:hAnsi="Times New Roman"/>
                <w:sz w:val="20"/>
                <w:szCs w:val="20"/>
              </w:rPr>
              <w:t xml:space="preserve"> wdrożeni</w:t>
            </w:r>
            <w:r w:rsidRPr="007F011B">
              <w:rPr>
                <w:rFonts w:ascii="Times New Roman" w:hAnsi="Times New Roman"/>
                <w:sz w:val="20"/>
                <w:szCs w:val="20"/>
              </w:rPr>
              <w:t>a</w:t>
            </w:r>
            <w:r w:rsidR="003146AC" w:rsidRPr="007F011B">
              <w:rPr>
                <w:rFonts w:ascii="Times New Roman" w:hAnsi="Times New Roman"/>
                <w:sz w:val="20"/>
                <w:szCs w:val="20"/>
              </w:rPr>
              <w:t xml:space="preserve"> do polskiego porządku prawnego art. 11 </w:t>
            </w:r>
            <w:r w:rsidR="003146AC" w:rsidRPr="007F011B">
              <w:rPr>
                <w:rFonts w:ascii="Times New Roman" w:hAnsi="Times New Roman"/>
                <w:i/>
                <w:sz w:val="20"/>
                <w:szCs w:val="20"/>
              </w:rPr>
              <w:t>dyrektywy Parlamentu Europejskiego i Rady 2011/36/UE z dnia 5 kwietnia 2011 r. w sprawie  zapobiegania handlu ludźmi i zwalczania tego procederu oraz ochrony ofiar</w:t>
            </w:r>
            <w:r w:rsidR="003146AC" w:rsidRPr="007F011B">
              <w:rPr>
                <w:rFonts w:ascii="Times New Roman" w:hAnsi="Times New Roman"/>
                <w:sz w:val="20"/>
                <w:szCs w:val="20"/>
              </w:rPr>
              <w:t xml:space="preserve"> (Dz</w:t>
            </w:r>
            <w:r w:rsidR="00EF2FBD" w:rsidRPr="007F011B">
              <w:rPr>
                <w:rFonts w:ascii="Times New Roman" w:hAnsi="Times New Roman"/>
                <w:sz w:val="20"/>
                <w:szCs w:val="20"/>
              </w:rPr>
              <w:t>.</w:t>
            </w:r>
            <w:r w:rsidR="003146AC" w:rsidRPr="007F011B">
              <w:rPr>
                <w:rFonts w:ascii="Times New Roman" w:hAnsi="Times New Roman"/>
                <w:sz w:val="20"/>
                <w:szCs w:val="20"/>
              </w:rPr>
              <w:t xml:space="preserve"> Urz</w:t>
            </w:r>
            <w:r w:rsidR="00EF2FBD" w:rsidRPr="007F011B">
              <w:rPr>
                <w:rFonts w:ascii="Times New Roman" w:hAnsi="Times New Roman"/>
                <w:sz w:val="20"/>
                <w:szCs w:val="20"/>
              </w:rPr>
              <w:t>.</w:t>
            </w:r>
            <w:r w:rsidR="00BC39C0">
              <w:rPr>
                <w:rFonts w:ascii="Times New Roman" w:hAnsi="Times New Roman"/>
                <w:sz w:val="20"/>
                <w:szCs w:val="20"/>
              </w:rPr>
              <w:t xml:space="preserve"> U</w:t>
            </w:r>
            <w:r w:rsidR="003146AC" w:rsidRPr="007F011B">
              <w:rPr>
                <w:rFonts w:ascii="Times New Roman" w:hAnsi="Times New Roman"/>
                <w:sz w:val="20"/>
                <w:szCs w:val="20"/>
              </w:rPr>
              <w:t xml:space="preserve">E L 101 </w:t>
            </w:r>
            <w:r w:rsidR="00BC39C0">
              <w:rPr>
                <w:rFonts w:ascii="Times New Roman" w:hAnsi="Times New Roman"/>
                <w:sz w:val="20"/>
                <w:szCs w:val="20"/>
              </w:rPr>
              <w:br/>
            </w:r>
            <w:r w:rsidR="003146AC" w:rsidRPr="007F011B">
              <w:rPr>
                <w:rFonts w:ascii="Times New Roman" w:hAnsi="Times New Roman"/>
                <w:sz w:val="20"/>
                <w:szCs w:val="20"/>
              </w:rPr>
              <w:t>z 15.04.2011</w:t>
            </w:r>
            <w:r w:rsidR="00EF2FBD" w:rsidRPr="007F011B">
              <w:rPr>
                <w:rFonts w:ascii="Times New Roman" w:hAnsi="Times New Roman"/>
                <w:sz w:val="20"/>
                <w:szCs w:val="20"/>
              </w:rPr>
              <w:t>, str. 1</w:t>
            </w:r>
            <w:r w:rsidR="00EF59C8" w:rsidRPr="007F011B">
              <w:rPr>
                <w:rFonts w:ascii="Times New Roman" w:hAnsi="Times New Roman"/>
                <w:sz w:val="20"/>
                <w:szCs w:val="20"/>
              </w:rPr>
              <w:t>)</w:t>
            </w:r>
            <w:r w:rsidRPr="007F011B">
              <w:rPr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z w:val="20"/>
                <w:szCs w:val="20"/>
              </w:rPr>
              <w:t>w zakresie dotyczącym obywateli UE i członków ich rodzin</w:t>
            </w:r>
            <w:r w:rsidR="00EF59C8" w:rsidRPr="007F011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D1D81FB" w14:textId="2FD16475" w:rsidR="000A52D7" w:rsidRPr="007F011B" w:rsidRDefault="00A40249" w:rsidP="00494F58">
            <w:pPr>
              <w:numPr>
                <w:ilvl w:val="0"/>
                <w:numId w:val="39"/>
              </w:numPr>
              <w:spacing w:line="240" w:lineRule="auto"/>
              <w:ind w:left="346" w:hanging="34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 xml:space="preserve">zapewnienie stosowania przez Rzeczpospolitą Polską Umowy </w:t>
            </w:r>
            <w:r w:rsidR="00AD2DFE">
              <w:rPr>
                <w:rFonts w:ascii="Times New Roman" w:hAnsi="Times New Roman"/>
                <w:sz w:val="20"/>
                <w:szCs w:val="20"/>
              </w:rPr>
              <w:t>o wystąpieniu</w:t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Zjednoczonego Królestwa Wielkiej Brytanii i Irlandii Północnej z Unii Europejskiej i Europejskiej Wspólnoty</w:t>
            </w:r>
            <w:r w:rsidR="004572D1" w:rsidRPr="007F011B">
              <w:rPr>
                <w:rFonts w:ascii="Times New Roman" w:hAnsi="Times New Roman"/>
                <w:sz w:val="20"/>
                <w:szCs w:val="20"/>
              </w:rPr>
              <w:t xml:space="preserve"> Energii Atomowej, zwanej dalej</w:t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„Umową wystąpienia” w zakresie zasad wjazdu i pobytu obywateli tego państwa, członków ich rodzin oraz innych osób objętych zakresem stosowania tej umowy na teryt</w:t>
            </w:r>
            <w:r w:rsidR="001A1ADB" w:rsidRPr="007F011B">
              <w:rPr>
                <w:rFonts w:ascii="Times New Roman" w:hAnsi="Times New Roman"/>
                <w:sz w:val="20"/>
                <w:szCs w:val="20"/>
              </w:rPr>
              <w:t>orium Rzeczypospolitej Polskiej</w:t>
            </w:r>
            <w:r w:rsidR="00494F58" w:rsidRPr="007F011B">
              <w:rPr>
                <w:rFonts w:ascii="Times New Roman" w:hAnsi="Times New Roman"/>
                <w:sz w:val="20"/>
                <w:szCs w:val="20"/>
              </w:rPr>
              <w:t>,</w:t>
            </w:r>
            <w:r w:rsidR="00A57F18" w:rsidRPr="007F011B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r w:rsidRPr="007F011B">
              <w:rPr>
                <w:rFonts w:ascii="Times New Roman" w:hAnsi="Times New Roman"/>
                <w:sz w:val="20"/>
                <w:szCs w:val="20"/>
              </w:rPr>
              <w:t>okresie przejściowym, który kończy</w:t>
            </w:r>
            <w:r w:rsidR="004F518E" w:rsidRPr="007F011B">
              <w:rPr>
                <w:rFonts w:ascii="Times New Roman" w:hAnsi="Times New Roman"/>
                <w:sz w:val="20"/>
                <w:szCs w:val="20"/>
              </w:rPr>
              <w:t xml:space="preserve"> się</w:t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z dniem 31 grudnia 2020 r.</w:t>
            </w:r>
            <w:r w:rsidR="00AD2DF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DD5F44" w14:textId="33C0589A" w:rsidR="00A40249" w:rsidRPr="007F011B" w:rsidRDefault="000A52D7" w:rsidP="001068E6">
            <w:pPr>
              <w:numPr>
                <w:ilvl w:val="0"/>
                <w:numId w:val="39"/>
              </w:numPr>
              <w:spacing w:line="240" w:lineRule="auto"/>
              <w:ind w:left="346" w:hanging="346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0"/>
                <w:szCs w:val="20"/>
              </w:rPr>
              <w:t>wprowadzenie regulacji prawnych, które pozwalają na przyjęcie nowych formatów dokumentów dla obywateli Zjednoczonego Królestwa, członków ich rodzin i innych osób, o których mowa w Umowie wystąpienia zgodnie z Decyzją Wykonawczą Komisji z dnia 21 lutego 2020</w:t>
            </w:r>
            <w:r w:rsidR="00BC39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r. nr C(2020) 1114 w sprawie dokumentów wydawanych przez państwa członkowskie zgodnie z art. 18 ust. </w:t>
            </w:r>
            <w:r w:rsidRPr="007F011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i 4 </w:t>
            </w:r>
            <w:r w:rsidR="00AD2DFE">
              <w:rPr>
                <w:rFonts w:ascii="Times New Roman" w:hAnsi="Times New Roman"/>
                <w:sz w:val="20"/>
                <w:szCs w:val="20"/>
              </w:rPr>
              <w:t>oraz art. 26 Umowy o wystąpieniu</w:t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Zjednoczonego Królestwa Wielkiej Brytanii i Irlandii Północnej z Unii Europejskiej i Europejskiej Wspólnoty Energii Atomowej, zwanej dalej „Decyzją wykonawczą nr C(2020) 1114”. </w:t>
            </w:r>
          </w:p>
        </w:tc>
      </w:tr>
      <w:tr w:rsidR="007F011B" w:rsidRPr="007F011B" w14:paraId="7CB61513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99CCFF"/>
            <w:vAlign w:val="center"/>
          </w:tcPr>
          <w:p w14:paraId="3E206B03" w14:textId="77777777" w:rsidR="006A701A" w:rsidRPr="007F011B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  <w:spacing w:val="-2"/>
              </w:rPr>
              <w:lastRenderedPageBreak/>
              <w:t>Rekomendowane rozwiązanie, w tym planowane narzędzia interwencji, i oczekiwany efekt</w:t>
            </w:r>
          </w:p>
        </w:tc>
      </w:tr>
      <w:tr w:rsidR="007F011B" w:rsidRPr="007F011B" w14:paraId="559DC14D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auto"/>
          </w:tcPr>
          <w:p w14:paraId="70536293" w14:textId="77777777" w:rsidR="00531257" w:rsidRPr="007F011B" w:rsidRDefault="00531257" w:rsidP="00BE2CFD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 uwagi na</w:t>
            </w:r>
            <w:r w:rsidR="00603C3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1C098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konieczność dostosowania przepisów ustawy o wjeździe obywateli UE do orzeczeń</w:t>
            </w:r>
            <w:r w:rsidR="00603C3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Trybunału Sprawiedliwości</w:t>
            </w:r>
            <w:r w:rsidR="00A2505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UE</w:t>
            </w:r>
            <w:r w:rsidR="00603C3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1C098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niezbędna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0B4A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jest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zmiana definicji </w:t>
            </w:r>
            <w:r w:rsidR="000B4A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„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członka r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odziny obywatela UE</w:t>
            </w:r>
            <w:r w:rsidR="000B4A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”</w:t>
            </w:r>
            <w:r w:rsidR="001C098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AC657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dodanie kolejnej prz</w:t>
            </w:r>
            <w:r w:rsidR="001C098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esłanki zachowania prawa pobytu, zmiana przepisów</w:t>
            </w:r>
            <w:r w:rsidR="00AC657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rozdziału 4 „Prawo stałego pobytu” oraz rozdziału 5 „Wydalenie z terytorium Rzeczypospolitej Polskiej”.</w:t>
            </w:r>
          </w:p>
          <w:p w14:paraId="49F9982A" w14:textId="77777777" w:rsidR="00CF22F1" w:rsidRPr="007F011B" w:rsidRDefault="00A2505D" w:rsidP="00BE2CFD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Projekt przewiduje </w:t>
            </w:r>
            <w:r w:rsidR="00CF22F1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zmian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y</w:t>
            </w:r>
            <w:r w:rsidR="00CF22F1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 ustawie o wjeździe obywateli UE, które w pełniejszy sposób dostosują polskie prawo do uregulowań dyrektywy 2004/38/WE, w szczególności w kwestii ograniczenia prawa do swobody przepływu osób z uwagi na zagrożenie dla bezpie</w:t>
            </w:r>
            <w:r w:rsidR="003E1085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czeństwa oraz nadużycie prawa. Projekt wprowadza instytucję cofnięcia i unieważnienia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wizy</w:t>
            </w:r>
            <w:r w:rsidR="003E1085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oraz wprowadza nowe podstawy odnowy prawa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pobytu i prawa stałego pobytu.</w:t>
            </w:r>
          </w:p>
          <w:p w14:paraId="074F595B" w14:textId="15C81430" w:rsidR="005F28C3" w:rsidRPr="007F011B" w:rsidRDefault="00BE2CFD" w:rsidP="005F28C3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 celu </w:t>
            </w:r>
            <w:r w:rsidR="00C71B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dostosowania ustawy o</w:t>
            </w:r>
            <w:r w:rsidR="00C71B06" w:rsidRPr="007F011B">
              <w:t xml:space="preserve"> </w:t>
            </w:r>
            <w:r w:rsidR="00C71B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wjeździe obywateli UE do rozporządzania Rady (UE) 2019/1157</w:t>
            </w:r>
            <w:r w:rsidR="00A4024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konieczna jest zmiana</w:t>
            </w:r>
            <w:r w:rsidR="00A40249" w:rsidRPr="007F011B">
              <w:t xml:space="preserve"> </w:t>
            </w:r>
            <w:r w:rsidR="00A4024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nazw dokumentów wydawanych członkom rodziny obywateli UE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niebędących</w:t>
            </w:r>
            <w:r w:rsidR="00A4024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obywatelami UE. Dodatkowo niezbędne jest stworzenie uregulowań prawnych</w:t>
            </w:r>
            <w:r w:rsidR="00C71B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A4024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umożliwiających</w:t>
            </w:r>
            <w:r w:rsidR="00C71B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zamieszczani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e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obrazu li</w:t>
            </w:r>
            <w:r w:rsidR="00C71B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nii papilarnych w karcie pobytowej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i w karcie stałego pobytu</w:t>
            </w:r>
            <w:r w:rsidR="00A4024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A4024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K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onieczne </w:t>
            </w:r>
            <w:r w:rsidR="000B4A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jest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wprowadzenie rozwiązań pozwalających na pobieranie odcisków linii papilarnych od członków rodziny obywateli UE oraz zamieszczanie ich w </w:t>
            </w:r>
            <w:r w:rsidR="000B4A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ww. </w:t>
            </w:r>
            <w:r w:rsidR="00A4024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kartach pobytowych oraz kartach stałego pobytu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wydawanych członkom rodziny obywateli UE</w:t>
            </w:r>
            <w:r w:rsidR="001549B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  <w:p w14:paraId="0A23A039" w14:textId="77777777" w:rsidR="005F28C3" w:rsidRPr="007F011B" w:rsidRDefault="001C098D" w:rsidP="005F28C3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</w:t>
            </w:r>
            <w:r w:rsidR="00BE2C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ydawanie zaświadczeni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a</w:t>
            </w:r>
            <w:r w:rsidR="00BE2C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 zarejestrowaniu pobytu obywatela UE w formacie zbliżonym do karty pobyt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u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wymaga 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zmian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y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1549B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m.in.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przepisów określających </w:t>
            </w:r>
            <w:r w:rsidR="000F18B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zakres danych zamieszczanych w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zaświadczeni</w:t>
            </w:r>
            <w:r w:rsidR="000F18B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u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 zarej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estrowaniu pobytu obywatela UE 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oraz 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przepisu upoważniającego 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do 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wydania 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rozporządzenia, które określa wzór ww</w:t>
            </w:r>
            <w:r w:rsidR="000F18B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  <w:r w:rsidR="005F28C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zaświadczenia</w:t>
            </w:r>
            <w:r w:rsidR="001549B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  <w:p w14:paraId="13C66BF9" w14:textId="31D5B4BC" w:rsidR="00CF22F1" w:rsidRPr="007F011B" w:rsidRDefault="00CF22F1" w:rsidP="005F28C3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 uwagi na zmianę formatu dokumentów wydawanych obywatelom UE oraz członkom ich rodzin konieczne jest stworzenie regu</w:t>
            </w:r>
            <w:r w:rsidR="003E1085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lacji prawnych dotyczących zwrotu dokumentów,</w:t>
            </w:r>
            <w:r w:rsidR="006B6F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zgłaszania </w:t>
            </w:r>
            <w:r w:rsidR="00A27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ich </w:t>
            </w:r>
            <w:r w:rsidR="006B6F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utraty lub uszkodzenia oraz procedury ich anulowania. Projekt przewiduje również wprowadzenie regulacji prawnych pozwalających na zamieszczanie w kartach pobytowych oraz kartach stałego pobytu adnotacji: „członek rodziny obywatela UE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 art. 10 dyrektywy 2004/38/WE”</w:t>
            </w:r>
            <w:r w:rsidR="006B6F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lub „członek rodziny obywatela UE, art. 20 dyrektywy 2004/38/WE”, zgodnie z art. 7 ust. 2 rozporządzenia Rady (WE) nr 1030/2002.</w:t>
            </w:r>
          </w:p>
          <w:p w14:paraId="3E28EAF3" w14:textId="77777777" w:rsidR="00D735F6" w:rsidRPr="007F011B" w:rsidRDefault="005F28C3" w:rsidP="003146AC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celu poprawy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jakości prowadzonych post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ę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powań administracyjnych wprowadz</w:t>
            </w:r>
            <w:r w:rsidR="000B4A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a się </w:t>
            </w:r>
            <w:r w:rsidR="005746D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regulacje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, które pozwolą </w:t>
            </w:r>
            <w:r w:rsidR="00BE2C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Straży Granicznej na przeprowadzanie wywiadu środowiskowego oraz sprawdzenia w miejscu pobytu obywatela UE w przypadku podejrz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enia</w:t>
            </w:r>
            <w:r w:rsidR="005746D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zawarcia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fikcyjnego małżeństwa. </w:t>
            </w:r>
            <w:r w:rsidR="005746D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yłącza</w:t>
            </w:r>
            <w:r w:rsidR="005746D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się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stosowanie</w:t>
            </w:r>
            <w:r w:rsidR="00BE2C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przepisów 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Kodeksu post</w:t>
            </w:r>
            <w:r w:rsidR="000F18B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ę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powania administracyjnego </w:t>
            </w:r>
            <w:r w:rsidR="00BE2C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przypadku przeprowadz</w:t>
            </w:r>
            <w:r w:rsidR="005746D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a</w:t>
            </w:r>
            <w:r w:rsidR="00BE2C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nia tego typu</w:t>
            </w:r>
            <w:r w:rsidR="0098235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sprawdzeń</w:t>
            </w:r>
            <w:r w:rsidR="00D735F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  <w:p w14:paraId="42CA4EA9" w14:textId="40160C66" w:rsidR="008D1FCB" w:rsidRPr="007F011B" w:rsidRDefault="003146AC" w:rsidP="003146AC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Straż Graniczna uzyska kompetencje związane z wydawaniem decyzji w sprawie wydalenia obywateli UE oraz członków rodz</w:t>
            </w:r>
            <w:r w:rsidR="005746D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iny niebędących obywatelami UE.</w:t>
            </w:r>
            <w:r w:rsidR="006B6F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Stworzono również regulacje prawne dotyczące postępowani</w:t>
            </w:r>
            <w:r w:rsidR="00A27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a</w:t>
            </w:r>
            <w:r w:rsidR="006B6F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 sprawie zatrzymania obywatela UE albo członka rodziny niebędącego obywatelem UE, umieszczeni</w:t>
            </w:r>
            <w:r w:rsidR="00A27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a</w:t>
            </w:r>
            <w:r w:rsidR="006B6F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go w strzeżonym ośrodku lub zastosowani</w:t>
            </w:r>
            <w:r w:rsidR="00A27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a</w:t>
            </w:r>
            <w:r w:rsidR="006B6F0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wobec niego aresztu dla cudzoziemców.</w:t>
            </w:r>
          </w:p>
          <w:p w14:paraId="66386FD3" w14:textId="2422D367" w:rsidR="001C098D" w:rsidRPr="007F011B" w:rsidRDefault="0048151B" w:rsidP="005746D7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celu wdrożeni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a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art. 11 dyrektywy Parlamentu Europejskiego i Rady 2011/36/UE z dnia 5 kwietnia 2011 r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>. w sprawie  zapobiegania handlowi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ludźmi i zwalczania tego procederu oraz ochrony ofiar 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wprowadz</w:t>
            </w:r>
            <w:r w:rsidR="000B4A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a się,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analogiczne jak w ustawie 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 dnia 12 grudnia 2013 r.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 cudzoziemcach</w:t>
            </w:r>
            <w:r w:rsidR="000B4AF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przepisy dotyczące możliwości wydania obywatelowi UE zaświadczenia potwierdzającego, iż istnieje w stosunku </w:t>
            </w:r>
            <w:r w:rsidR="005746D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do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niego domniemanie, że jest ofiarą handlu ludźmi w rozumieniu art. 115 § 22 Kodeksu karnego.</w:t>
            </w:r>
            <w:r w:rsidR="005746D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1C098D" w:rsidRPr="007F011B">
              <w:rPr>
                <w:rFonts w:ascii="Times New Roman" w:hAnsi="Times New Roman"/>
                <w:sz w:val="21"/>
                <w:szCs w:val="21"/>
              </w:rPr>
              <w:t xml:space="preserve">Proponowane </w:t>
            </w:r>
            <w:r w:rsidR="005746D7" w:rsidRPr="007F011B">
              <w:rPr>
                <w:rFonts w:ascii="Times New Roman" w:hAnsi="Times New Roman"/>
                <w:sz w:val="21"/>
                <w:szCs w:val="21"/>
              </w:rPr>
              <w:t>w projekcie rozwiązania</w:t>
            </w:r>
            <w:r w:rsidR="001C098D" w:rsidRPr="007F011B">
              <w:rPr>
                <w:rFonts w:ascii="Times New Roman" w:hAnsi="Times New Roman"/>
                <w:sz w:val="21"/>
                <w:szCs w:val="21"/>
              </w:rPr>
              <w:t xml:space="preserve"> ma</w:t>
            </w:r>
            <w:r w:rsidR="005746D7" w:rsidRPr="007F011B">
              <w:rPr>
                <w:rFonts w:ascii="Times New Roman" w:hAnsi="Times New Roman"/>
                <w:sz w:val="21"/>
                <w:szCs w:val="21"/>
              </w:rPr>
              <w:t>ją</w:t>
            </w:r>
            <w:r w:rsidR="001C098D" w:rsidRPr="007F011B">
              <w:rPr>
                <w:rFonts w:ascii="Times New Roman" w:hAnsi="Times New Roman"/>
                <w:sz w:val="21"/>
                <w:szCs w:val="21"/>
              </w:rPr>
              <w:t xml:space="preserve"> umożliwić skorzystanie z prawa do świadczeń z pomocy społecznej w formie interwencji kryzysowej, schronienia, posiłku, niezbędnego ubrania oraz zasiłku celowego również obywatelom UE</w:t>
            </w:r>
            <w:r w:rsidR="005746D7" w:rsidRPr="007F011B">
              <w:rPr>
                <w:rFonts w:ascii="Times New Roman" w:hAnsi="Times New Roman"/>
                <w:sz w:val="21"/>
                <w:szCs w:val="21"/>
              </w:rPr>
              <w:t xml:space="preserve"> i członkom rodziny obywatela UE</w:t>
            </w:r>
            <w:r w:rsidR="001C098D" w:rsidRPr="007F011B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1E26E7F7" w14:textId="62A8E999" w:rsidR="00A40249" w:rsidRPr="007F011B" w:rsidRDefault="00CF22F1" w:rsidP="00443662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celu realizacji przepisów Umowy wystąpienia projekt przewiduje objęcie zakresem ustawy o wjeździe obywateli UE wszystkich obywateli Zjednoczonego Królestwa Wielkiej Brytanii i Irlandii Północnej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F2431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zwanych dalej „obywatelami Zjednoczonego Królestwa”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 którzy są wymienieni w art. 10 ust. 1 lit b i d Umowy wystąpienia oraz członków ich</w:t>
            </w:r>
            <w:r w:rsidR="00A27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rodzin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 o których mowa w art. 10 ust. 1</w:t>
            </w:r>
            <w:r w:rsidR="005D383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lit. e i f Umowy wystąpienia. </w:t>
            </w:r>
            <w:r w:rsidR="00443662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Dodano również osobny rozdział regulujący kwestie dokumentów wydawanych obywatelom Zjednoczonego Królestwa i członkom ich rodzin, z uwagi na fakt, iż będą one wydawane zgodnie z formatem określonym w Decyzji wykonawczej nr C(2020) 1114. Zgodnie z art. 1 akapit pierwszy wskazanej wyżej decyzji w stosunku do dokumentów wydawanych beneficjentom Umowy wystąpienia stosuje się format określony rozporządzeniem Rady (WE) nr 1030/2002. W zaświadczeniach o zarejestrowaniu pobytu i dokumentach potwierdzających prawo stałego pobytu dla obywateli Zjednoczonego Królestwa, w przeciwieństwie do tych samych dokumentów wydawanych obywatelom UE, będą zamiesz</w:t>
            </w:r>
            <w:r w:rsidR="00BC39C0">
              <w:rPr>
                <w:rFonts w:ascii="Times New Roman" w:hAnsi="Times New Roman"/>
                <w:spacing w:val="-2"/>
                <w:sz w:val="21"/>
                <w:szCs w:val="21"/>
              </w:rPr>
              <w:t>cz</w:t>
            </w:r>
            <w:r w:rsidR="00443662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ane odciski linii papilarnych. Dodatkowo </w:t>
            </w:r>
            <w:r w:rsidR="00BC39C0">
              <w:rPr>
                <w:rFonts w:ascii="Times New Roman" w:hAnsi="Times New Roman"/>
                <w:spacing w:val="-2"/>
                <w:sz w:val="21"/>
                <w:szCs w:val="21"/>
              </w:rPr>
              <w:t>w wyżej wymienionych dokumentach</w:t>
            </w:r>
            <w:r w:rsidR="00443662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 miejscu przeznaczonym na wskazanie „rodzaju zezwolenia” będzie </w:t>
            </w:r>
            <w:r w:rsidR="00BC39C0">
              <w:rPr>
                <w:rFonts w:ascii="Times New Roman" w:hAnsi="Times New Roman"/>
                <w:spacing w:val="-2"/>
                <w:sz w:val="21"/>
                <w:szCs w:val="21"/>
              </w:rPr>
              <w:t>wpisane „Art. 50 TUE”, a</w:t>
            </w:r>
            <w:r w:rsidR="00443662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na awersie będzie zamieszczana adnotacja „art. 18 ust. 1 Umowy” lub „art. 18 ust. 4 Umowy”. W art. 2 Decyzji wykonawczej nr C(2020) 1114 określono, iż dokumenty dla pracowników przygranicznych będących obywatelami Zjednoczonego Królestwa powinny być wydawane zgodnie z</w:t>
            </w:r>
            <w:r w:rsidR="00BC39C0">
              <w:rPr>
                <w:rFonts w:ascii="Times New Roman" w:hAnsi="Times New Roman"/>
                <w:spacing w:val="-2"/>
                <w:sz w:val="21"/>
                <w:szCs w:val="21"/>
              </w:rPr>
              <w:t>e</w:t>
            </w:r>
            <w:r w:rsidR="00443662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wzorem przewidzianym dla zezwoleń na przekraczanie granicy w ramach małego ruchu granicznego. W polu „Rodzaj zezwolenia” powinno być wpisane „Art. 50 TUE – pracownik przygraniczny”.</w:t>
            </w:r>
          </w:p>
        </w:tc>
      </w:tr>
      <w:tr w:rsidR="007F011B" w:rsidRPr="007F011B" w14:paraId="420AB21D" w14:textId="77777777" w:rsidTr="004F518E">
        <w:trPr>
          <w:trHeight w:val="307"/>
        </w:trPr>
        <w:tc>
          <w:tcPr>
            <w:tcW w:w="10944" w:type="dxa"/>
            <w:gridSpan w:val="27"/>
            <w:shd w:val="clear" w:color="auto" w:fill="99CCFF"/>
            <w:vAlign w:val="center"/>
          </w:tcPr>
          <w:p w14:paraId="200D8742" w14:textId="77777777" w:rsidR="006A701A" w:rsidRPr="007F011B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7F011B">
              <w:rPr>
                <w:rFonts w:ascii="Times New Roman" w:hAnsi="Times New Roman"/>
                <w:b/>
              </w:rPr>
              <w:t>?</w:t>
            </w:r>
            <w:r w:rsidR="006A701A" w:rsidRPr="007F011B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7F011B" w:rsidRPr="007F011B" w14:paraId="0A26311B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auto"/>
          </w:tcPr>
          <w:p w14:paraId="2F5FD2C9" w14:textId="67788640" w:rsidR="006A701A" w:rsidRPr="007F011B" w:rsidRDefault="0098235A" w:rsidP="001068E6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Kwestie wjazdu, pobytu oraz wyjazdu z terytorium państw członkowskich</w:t>
            </w:r>
            <w:r w:rsidR="005911B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obywateli UE oraz członków ich rodzin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5911B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są 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uregulowane </w:t>
            </w:r>
            <w:r w:rsidR="005911B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na poziomie unijnym w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dyrektyw</w:t>
            </w:r>
            <w:r w:rsidR="00EF2FB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ie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2004/38/WE.</w:t>
            </w:r>
            <w:r w:rsidR="005911B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Wszystkie państwa członkowskie Unii Europejskiej są obowiązane do wdrożeni</w:t>
            </w:r>
            <w:r w:rsidR="00DA478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a</w:t>
            </w:r>
            <w:r w:rsidR="005911B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do swoich przepisów krajowych uregulowań  dyrektyw</w:t>
            </w:r>
            <w:r w:rsidR="00EF2FB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y</w:t>
            </w:r>
            <w:r w:rsidR="005911B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2004/38/WE. Podobnie wszystkie państwa członkowskie powinny respektować wyroki Trybunału Sprawiedliwości UE. </w:t>
            </w:r>
            <w:r w:rsidR="009A3D2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Państwa członkowskie UE są również związane dyrektywą Parlamentu Europejskiego i Rady 2011/36/UE z dnia 5 kwietnia 2011 r. w sprawie  zapobiegania </w:t>
            </w:r>
            <w:r w:rsidR="00A27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handlowi </w:t>
            </w:r>
            <w:r w:rsidR="009A3D2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ludźmi i zwalczania tego procederu oraz ochrony ofiar.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Rozporządze</w:t>
            </w:r>
            <w:r w:rsidR="007B139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ni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e</w:t>
            </w:r>
            <w:r w:rsidR="007B139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Rady (UE) 2019/1157 również wiąże w jednakowy sposób wszystkie państwa członkowskie UE. </w:t>
            </w:r>
            <w:r w:rsidR="001068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Analogicznie </w:t>
            </w:r>
            <w:r w:rsidR="007B139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Umowa wystąpienia będzie musiała być respektowana jednakowo we wszystkich państwach UE. </w:t>
            </w:r>
          </w:p>
        </w:tc>
      </w:tr>
      <w:tr w:rsidR="007F011B" w:rsidRPr="007F011B" w14:paraId="242F6F86" w14:textId="77777777" w:rsidTr="004F518E">
        <w:trPr>
          <w:trHeight w:val="359"/>
        </w:trPr>
        <w:tc>
          <w:tcPr>
            <w:tcW w:w="10944" w:type="dxa"/>
            <w:gridSpan w:val="27"/>
            <w:shd w:val="clear" w:color="auto" w:fill="99CCFF"/>
            <w:vAlign w:val="center"/>
          </w:tcPr>
          <w:p w14:paraId="7636823E" w14:textId="77777777" w:rsidR="006A701A" w:rsidRPr="007F011B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>Podmioty, na które oddziałuje projekt</w:t>
            </w:r>
          </w:p>
        </w:tc>
      </w:tr>
      <w:tr w:rsidR="007F011B" w:rsidRPr="007F011B" w14:paraId="2A3276AE" w14:textId="77777777" w:rsidTr="004F518E">
        <w:trPr>
          <w:trHeight w:val="142"/>
        </w:trPr>
        <w:tc>
          <w:tcPr>
            <w:tcW w:w="2651" w:type="dxa"/>
            <w:gridSpan w:val="3"/>
            <w:shd w:val="clear" w:color="auto" w:fill="auto"/>
          </w:tcPr>
          <w:p w14:paraId="4AD629D7" w14:textId="77777777" w:rsidR="00260F33" w:rsidRPr="007F011B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>Grupa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151005DC" w14:textId="77777777" w:rsidR="00260F33" w:rsidRPr="007F011B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>Wielkość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22BD79DA" w14:textId="77777777" w:rsidR="00260F33" w:rsidRPr="007F011B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>Źródło danych</w:t>
            </w:r>
            <w:r w:rsidRPr="007F011B" w:rsidDel="00260F33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3000" w:type="dxa"/>
            <w:gridSpan w:val="6"/>
            <w:shd w:val="clear" w:color="auto" w:fill="auto"/>
          </w:tcPr>
          <w:p w14:paraId="59F86B1F" w14:textId="77777777" w:rsidR="00260F33" w:rsidRPr="007F011B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>Oddziaływanie</w:t>
            </w:r>
          </w:p>
        </w:tc>
      </w:tr>
      <w:tr w:rsidR="007F011B" w:rsidRPr="007F011B" w14:paraId="05E67377" w14:textId="77777777" w:rsidTr="004F518E">
        <w:trPr>
          <w:trHeight w:val="2145"/>
        </w:trPr>
        <w:tc>
          <w:tcPr>
            <w:tcW w:w="2651" w:type="dxa"/>
            <w:gridSpan w:val="3"/>
            <w:shd w:val="clear" w:color="auto" w:fill="auto"/>
          </w:tcPr>
          <w:p w14:paraId="6CFFB2B2" w14:textId="77777777" w:rsidR="00260F33" w:rsidRPr="007F011B" w:rsidRDefault="005911BA" w:rsidP="005746D7">
            <w:pPr>
              <w:pStyle w:val="Tekstpodstawowy2"/>
              <w:rPr>
                <w:spacing w:val="-2"/>
                <w:sz w:val="21"/>
                <w:szCs w:val="21"/>
                <w:lang w:val="pl-PL"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lastRenderedPageBreak/>
              <w:t>obywatele UE</w:t>
            </w:r>
            <w:r w:rsidR="00603C36"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 xml:space="preserve"> zamieszkujący na terytorium Rzeczypospolitej Polskiej 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28774D6D" w14:textId="77777777" w:rsidR="00260F33" w:rsidRPr="007F011B" w:rsidRDefault="00BD371F" w:rsidP="00E91EE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</w:t>
            </w:r>
            <w:r w:rsidR="005911BA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koło </w:t>
            </w:r>
            <w:r w:rsidR="005D383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9</w:t>
            </w:r>
            <w:r w:rsidR="001B1B3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700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osób rocznie 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03E224B2" w14:textId="103879B3" w:rsidR="00410945" w:rsidRPr="007F011B" w:rsidRDefault="00410945" w:rsidP="00410945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Dane statystyczne Urzędu do Spraw Cudzoziemców wskazują, iż rocznie z wnioskami o zarejestrowa</w:t>
            </w:r>
            <w:r w:rsidR="005D383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nie pobytu występuje około 9000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obywateli UE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L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iczba składanych wniosków o zarejestrowanie pobytu kształtowała się dotychczas następująco: 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2013 r. – 8892, w 2014 r. – 8617, w 2015 r. – 9041, w 2016 r. – 927</w:t>
            </w:r>
            <w:r w:rsidR="001C0FE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4, w 2017 r. – 9314, w 2018 r. – 7179</w:t>
            </w:r>
            <w:r w:rsidR="00D97D9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, 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 </w:t>
            </w:r>
            <w:r w:rsidR="00D97D9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2019 r. </w:t>
            </w:r>
            <w:r w:rsidR="00AD2DFE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–</w:t>
            </w:r>
            <w:r w:rsidR="00D97D9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8039</w:t>
            </w:r>
            <w:r w:rsidR="001C0FE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wniosków.</w:t>
            </w:r>
          </w:p>
          <w:p w14:paraId="15A668D4" w14:textId="61A19461" w:rsidR="00410945" w:rsidRPr="007F011B" w:rsidRDefault="00410945" w:rsidP="00410945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Zgodnie z danymi Urzędu do Spraw Cudzoziemców rocznie z wnioskiem o wydanie dokumentu potwierdzającego prawo stałego pobytu </w:t>
            </w:r>
            <w:r w:rsidR="001C0FE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obywatela UE występuje około 700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obywateli UE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L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iczba składanych wniosków o wydanie dokumentu potwierdzającego prawo stałego pobytu kształtowała się dotychczas następująco: 2013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FD045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r.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– 703, 2014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FD045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r.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– 680, 2015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FD045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r.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- 609, 2017</w:t>
            </w:r>
            <w:r w:rsidR="00FD045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– 670, </w:t>
            </w:r>
            <w:r w:rsidR="001C0FE3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2018 r. – 724</w:t>
            </w:r>
            <w:r w:rsidR="00D97D9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 2019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D97D9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r. -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FD045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851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wniosków. </w:t>
            </w:r>
          </w:p>
          <w:p w14:paraId="2C104E48" w14:textId="6C2753E1" w:rsidR="004643C6" w:rsidRPr="007F011B" w:rsidRDefault="000D1D8E" w:rsidP="00AD2D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2013 r. wydano 9 decyzji o wydaleniu obywatela UE lub członka rodziny niebędącego obywatelem UE, w 2014 r. – 14 decyzji, w 2015 r. –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15, w 2016 r. – 10, w 2017 r. – 9, a w 2018 r. 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="00AD2DFE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–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5 decyzji w sprawie wydalenia. </w:t>
            </w:r>
          </w:p>
        </w:tc>
        <w:tc>
          <w:tcPr>
            <w:tcW w:w="3000" w:type="dxa"/>
            <w:gridSpan w:val="6"/>
            <w:shd w:val="clear" w:color="auto" w:fill="auto"/>
          </w:tcPr>
          <w:p w14:paraId="0897DBA7" w14:textId="77777777" w:rsidR="00260F33" w:rsidRPr="007F011B" w:rsidRDefault="00CD2D09" w:rsidP="00886BE8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Zmiana uregulowań dotyczących zachowania prawa pobytu w </w:t>
            </w:r>
            <w:r w:rsidR="00F177E0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Rzeczypospolitej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Pols</w:t>
            </w:r>
            <w:r w:rsidR="00F177E0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kiej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 zasad wydawania dokumentów potwierdzających prawo stałego pobytu obywatela UE oraz wydaleń.</w:t>
            </w:r>
          </w:p>
          <w:p w14:paraId="44D251B0" w14:textId="77777777" w:rsidR="000D1D8E" w:rsidRPr="007F011B" w:rsidRDefault="00CD2D09" w:rsidP="00886BE8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Wydawanie zaświadczenia o zarejestrowaniu pobytu obywatela UE w zmienionej formie.</w:t>
            </w:r>
          </w:p>
          <w:p w14:paraId="5394935F" w14:textId="77777777" w:rsidR="00CD2D09" w:rsidRPr="007F011B" w:rsidRDefault="00CD2D09" w:rsidP="00886BE8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</w:p>
        </w:tc>
      </w:tr>
      <w:tr w:rsidR="007F011B" w:rsidRPr="007F011B" w14:paraId="2CC66854" w14:textId="77777777" w:rsidTr="004F518E">
        <w:trPr>
          <w:trHeight w:val="1718"/>
        </w:trPr>
        <w:tc>
          <w:tcPr>
            <w:tcW w:w="2651" w:type="dxa"/>
            <w:gridSpan w:val="3"/>
            <w:shd w:val="clear" w:color="auto" w:fill="auto"/>
          </w:tcPr>
          <w:p w14:paraId="74E8486F" w14:textId="77777777" w:rsidR="00BD371F" w:rsidRPr="007F011B" w:rsidRDefault="00BD371F" w:rsidP="00D52AE4">
            <w:pPr>
              <w:pStyle w:val="Tekstpodstawowy2"/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>członkowie rodziny obywateli UE</w:t>
            </w:r>
            <w:r w:rsidR="00603C36" w:rsidRPr="007F011B">
              <w:t xml:space="preserve"> </w:t>
            </w:r>
            <w:r w:rsidR="00603C36"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>zamieszkujący na terytorium Rzeczypospolitej Polskiej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0E2FD0F9" w14:textId="77777777" w:rsidR="00BD371F" w:rsidRPr="007F011B" w:rsidRDefault="00A51071" w:rsidP="00E91EE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około 350</w:t>
            </w:r>
            <w:r w:rsidR="00BD371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osób rocznie 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5B70A3AB" w14:textId="77777777" w:rsidR="009A3D28" w:rsidRPr="007F011B" w:rsidRDefault="00BD371F" w:rsidP="00CD2D09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Dane statystyczne Urzędu do </w:t>
            </w:r>
            <w:r w:rsidR="009A3D2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Spraw Cudzoziemców za rok 2014:</w:t>
            </w:r>
          </w:p>
          <w:p w14:paraId="0B43AE57" w14:textId="77777777" w:rsidR="009A3D28" w:rsidRPr="007F011B" w:rsidRDefault="009A3D28" w:rsidP="00CD2D09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- </w:t>
            </w:r>
            <w:r w:rsidR="00BD371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wniosek o </w:t>
            </w:r>
            <w:r w:rsidR="00CD2D0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wydanie karty pobytu członka rodziny obywatela UE złożyło 162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osób,</w:t>
            </w:r>
          </w:p>
          <w:p w14:paraId="3E840391" w14:textId="77777777" w:rsidR="00BD371F" w:rsidRPr="007F011B" w:rsidRDefault="009A3D28" w:rsidP="00CD2D09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- </w:t>
            </w:r>
            <w:r w:rsidR="00BD371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wniosek o wydanie </w:t>
            </w:r>
            <w:r w:rsidR="00CD2D0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karty </w:t>
            </w:r>
            <w:r w:rsidR="00BD371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stałego pobytu</w:t>
            </w:r>
            <w:r w:rsidR="00CD2D0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członka rodziny</w:t>
            </w:r>
            <w:r w:rsidR="00BD371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obywatela UE </w:t>
            </w:r>
            <w:r w:rsidR="00CD2D0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złożyło 15</w:t>
            </w:r>
            <w:r w:rsidR="00BD371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osób.</w:t>
            </w:r>
          </w:p>
          <w:p w14:paraId="6989A1D9" w14:textId="0EC62A9A" w:rsidR="004643C6" w:rsidRPr="007F011B" w:rsidRDefault="004643C6" w:rsidP="004643C6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Dane za rok 2015:</w:t>
            </w:r>
          </w:p>
          <w:p w14:paraId="6012E94E" w14:textId="77777777" w:rsidR="004643C6" w:rsidRPr="007F011B" w:rsidRDefault="004643C6" w:rsidP="004643C6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- wniosek o wydanie karty pobytu członka </w:t>
            </w:r>
            <w:r w:rsidR="001E413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rodziny obywatela UE złożyło 190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osób,</w:t>
            </w:r>
          </w:p>
          <w:p w14:paraId="508D4F9E" w14:textId="77777777" w:rsidR="004643C6" w:rsidRPr="007F011B" w:rsidRDefault="004643C6" w:rsidP="004643C6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wniosek o wydanie karty stałego pobytu członka</w:t>
            </w:r>
            <w:r w:rsidR="001E413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rodziny obywatela UE złożyło 8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osób.</w:t>
            </w:r>
          </w:p>
          <w:p w14:paraId="58344B05" w14:textId="77777777" w:rsidR="001B1B34" w:rsidRPr="007F011B" w:rsidRDefault="001B1B34" w:rsidP="001B1B3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rok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u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2016:</w:t>
            </w:r>
          </w:p>
          <w:p w14:paraId="692EEADC" w14:textId="77777777" w:rsidR="001B1B34" w:rsidRPr="007F011B" w:rsidRDefault="001B1B34" w:rsidP="001B1B3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wniosek o wydanie karty pobytu członka rodziny obywatela UE złożyło 235 osób,</w:t>
            </w:r>
          </w:p>
          <w:p w14:paraId="47F4F747" w14:textId="77777777" w:rsidR="001B1B34" w:rsidRPr="007F011B" w:rsidRDefault="001B1B34" w:rsidP="001B1B3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- wniosek o wydanie karty stałego pobytu członka rodziny obywatela UE złożyło 10 osób. </w:t>
            </w:r>
          </w:p>
          <w:p w14:paraId="1BBF3437" w14:textId="77777777" w:rsidR="001B1B34" w:rsidRPr="007F011B" w:rsidRDefault="001B1B34" w:rsidP="001B1B3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rok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u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2017:</w:t>
            </w:r>
          </w:p>
          <w:p w14:paraId="1142D828" w14:textId="77777777" w:rsidR="001B1B34" w:rsidRPr="007F011B" w:rsidRDefault="001B1B34" w:rsidP="001B1B3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wniosek o wydanie karty pobytu członka rodziny obywatela UE złożyło 232 osób,</w:t>
            </w:r>
          </w:p>
          <w:p w14:paraId="4C6B3685" w14:textId="77777777" w:rsidR="001B1B34" w:rsidRPr="007F011B" w:rsidRDefault="001B1B34" w:rsidP="001B1B3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 xml:space="preserve">- wniosek o wydanie karty stałego pobytu członka rodziny obywatela UE złożyło 9 osób. </w:t>
            </w:r>
          </w:p>
          <w:p w14:paraId="48176ACD" w14:textId="77777777" w:rsidR="001B1B34" w:rsidRPr="007F011B" w:rsidRDefault="001B1B34" w:rsidP="001B1B3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 rok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u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2018:</w:t>
            </w:r>
          </w:p>
          <w:p w14:paraId="4569162F" w14:textId="77777777" w:rsidR="001B1B34" w:rsidRPr="007F011B" w:rsidRDefault="001B1B34" w:rsidP="001B1B3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wniosek o wydanie karty pobytu członka rodziny obywatela UE złożyło 334 osób,</w:t>
            </w:r>
          </w:p>
          <w:p w14:paraId="6B84EF80" w14:textId="7E211B55" w:rsidR="001B1B34" w:rsidRPr="007F011B" w:rsidRDefault="001B1B34" w:rsidP="001B1B3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- wniosek o wydanie karty stałego pobytu członka rodziny obywatela UE złożyło 19 osób. </w:t>
            </w:r>
          </w:p>
          <w:p w14:paraId="6A425029" w14:textId="76390C23" w:rsidR="00FD0456" w:rsidRPr="007F011B" w:rsidRDefault="00FD0456" w:rsidP="00FD0456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roku 2019:</w:t>
            </w:r>
          </w:p>
          <w:p w14:paraId="0D0A2597" w14:textId="483BA0E1" w:rsidR="00FD0456" w:rsidRPr="007F011B" w:rsidRDefault="00FD0456" w:rsidP="00FD0456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wniosek o wydanie karty pobytu członka rodziny obywatela UE złożyło 331 osób,</w:t>
            </w:r>
          </w:p>
          <w:p w14:paraId="57228E67" w14:textId="57A475AC" w:rsidR="00FD0456" w:rsidRPr="007F011B" w:rsidRDefault="00FD0456" w:rsidP="00FD0456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wniosek o wydanie karty stałego pobytu członka rodziny obywatela UE złożyło 17 osób</w:t>
            </w:r>
          </w:p>
          <w:p w14:paraId="65E4E6F3" w14:textId="3C242D61" w:rsidR="001B1B34" w:rsidRPr="007F011B" w:rsidRDefault="001B1B34" w:rsidP="004643C6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2013 r. wydano 9 decyzji o wydaleniu obywatela UE lub członka rodziny niebędącego obywatelem UE, w 2014 r. – 14 decyzji, w 2015 r. –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15, w 2016 r. – 10, w 2017 r. – 9, a w 2018 r. </w:t>
            </w:r>
            <w:r w:rsidR="00AD2DFE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–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5 decyzji w sprawie wydalenia.</w:t>
            </w:r>
          </w:p>
          <w:p w14:paraId="197CF662" w14:textId="2F125886" w:rsidR="00B226CD" w:rsidRPr="007F011B" w:rsidRDefault="00B226CD" w:rsidP="00AD2D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Trudno 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>obecnie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oszacować jak wielu członków rodziny obywateli polskich powracających po skorzystaniu ze swobody przepływu osób w innym państwie członkowskim będzie chciało skorzystać z przewidzianych w ustawie rozwiązań. </w:t>
            </w:r>
          </w:p>
        </w:tc>
        <w:tc>
          <w:tcPr>
            <w:tcW w:w="3000" w:type="dxa"/>
            <w:gridSpan w:val="6"/>
            <w:shd w:val="clear" w:color="auto" w:fill="auto"/>
          </w:tcPr>
          <w:p w14:paraId="6A04DBF9" w14:textId="6A32D905" w:rsidR="00CD2D09" w:rsidRPr="007F011B" w:rsidRDefault="005D3838" w:rsidP="00CD2D09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 xml:space="preserve">Rozszerzenie katalogu członków rodziny obywateli UE. </w:t>
            </w:r>
            <w:r w:rsidR="00CD2D0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Zmiana uregulowań dotyczących sposobu sprawdzania</w:t>
            </w:r>
            <w:r w:rsidR="00F177E0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</w:t>
            </w:r>
            <w:r w:rsidR="00CD2D0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czy związek małżeński obywatela UE nie został </w:t>
            </w:r>
            <w:r w:rsidR="00B226C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zawarty</w:t>
            </w:r>
            <w:r w:rsidR="00CD2D0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tylko w celu legalizacji pobytu</w:t>
            </w:r>
            <w:r w:rsidR="00B320A0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członka rodziny niebędącego obywatelem UE</w:t>
            </w:r>
            <w:r w:rsidR="00CD2D0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 Ponadto zmiana zasad wydawania</w:t>
            </w:r>
            <w:r w:rsidR="007922FC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karty pobytowej,</w:t>
            </w:r>
            <w:r w:rsidR="00CD2D0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karty stałego pobytu oraz wydalania z terytorium państw członkowskich.</w:t>
            </w:r>
          </w:p>
          <w:p w14:paraId="5777DF82" w14:textId="77777777" w:rsidR="00BD371F" w:rsidRPr="007F011B" w:rsidRDefault="00CD2D09" w:rsidP="00616A69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Wydawanie</w:t>
            </w:r>
            <w:r w:rsidR="006F071B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kart pobytow</w:t>
            </w:r>
            <w:r w:rsidR="00616A6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ych</w:t>
            </w:r>
            <w:r w:rsidR="00B226CD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oraz kart stałego pobytu zawierających obraz linii papilarnych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</w:tc>
      </w:tr>
      <w:tr w:rsidR="007F011B" w:rsidRPr="007F011B" w14:paraId="674DD8AA" w14:textId="77777777" w:rsidTr="004F518E">
        <w:trPr>
          <w:trHeight w:val="142"/>
        </w:trPr>
        <w:tc>
          <w:tcPr>
            <w:tcW w:w="2651" w:type="dxa"/>
            <w:gridSpan w:val="3"/>
            <w:shd w:val="clear" w:color="auto" w:fill="auto"/>
          </w:tcPr>
          <w:p w14:paraId="529D19C8" w14:textId="77777777" w:rsidR="00A51071" w:rsidRPr="007F011B" w:rsidRDefault="00A51071" w:rsidP="005D3838">
            <w:pPr>
              <w:pStyle w:val="Tekstpodstawowy2"/>
              <w:tabs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eastAsia="pl-PL"/>
              </w:rPr>
              <w:t>obywatele Zjednoc</w:t>
            </w:r>
            <w:r w:rsidR="005D3838" w:rsidRPr="007F011B">
              <w:rPr>
                <w:rFonts w:eastAsia="MS Mincho"/>
                <w:b w:val="0"/>
                <w:sz w:val="21"/>
                <w:szCs w:val="21"/>
                <w:lang w:eastAsia="pl-PL"/>
              </w:rPr>
              <w:t xml:space="preserve">zonego Królestwa zamieszkujący </w:t>
            </w:r>
            <w:r w:rsidR="00C122C5"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 xml:space="preserve">na terytorium </w:t>
            </w:r>
            <w:r w:rsidR="00616A69"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>Rzeczypospolitej Polskiej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6FF3017E" w14:textId="2D8236CB" w:rsidR="00AD2DFE" w:rsidRPr="007F011B" w:rsidRDefault="00A51071" w:rsidP="00AD2D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ok. </w:t>
            </w:r>
            <w:r w:rsidR="00BF43CC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6 900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osób </w:t>
            </w:r>
          </w:p>
          <w:p w14:paraId="588D37EE" w14:textId="52EDB256" w:rsidR="00A51071" w:rsidRPr="007F011B" w:rsidRDefault="00A51071" w:rsidP="00A5107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  <w:tc>
          <w:tcPr>
            <w:tcW w:w="2996" w:type="dxa"/>
            <w:gridSpan w:val="10"/>
            <w:shd w:val="clear" w:color="auto" w:fill="auto"/>
          </w:tcPr>
          <w:p w14:paraId="3CA79AB9" w14:textId="77777777" w:rsidR="00A51071" w:rsidRPr="007F011B" w:rsidRDefault="00A51071" w:rsidP="00A5107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Dane statystyczne Urzędu </w:t>
            </w:r>
          </w:p>
          <w:p w14:paraId="7F28F161" w14:textId="4E968B69" w:rsidR="00C61B27" w:rsidRPr="007F011B" w:rsidRDefault="00A51071" w:rsidP="00C61B27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do Spraw Cudzoziemców wskazują, iż na dzień 1 </w:t>
            </w:r>
            <w:r w:rsidR="00C61B2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stycznia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20</w:t>
            </w:r>
            <w:r w:rsidR="009A237E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20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  </w:t>
            </w:r>
            <w:r w:rsidR="00C61B2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6271 obywateli Zjednoczonego Królestwa posiadało ważne dokumenty  wydane na terytorium Rzeczypospolitej Polskiej </w:t>
            </w:r>
          </w:p>
          <w:p w14:paraId="57EF0BF7" w14:textId="77777777" w:rsidR="00C61B27" w:rsidRPr="007F011B" w:rsidRDefault="00C61B27" w:rsidP="00C61B27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na podstawie przepisów ustawy  o wjeździe obywateli UE, tj. zaświadczenia   o zarejestrowaniu pobytu obywatela UE lub dokumenty potwierdzające prawo pobytu. </w:t>
            </w:r>
          </w:p>
          <w:p w14:paraId="2C0764D3" w14:textId="77777777" w:rsidR="00BC63B7" w:rsidRDefault="00310F19" w:rsidP="00A5107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Ponadto</w:t>
            </w:r>
            <w:r w:rsidR="009A237E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2019 r. </w:t>
            </w:r>
            <w:r w:rsidR="0047691C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1030 obywateli Zjednoczonego Królestwa wystąpiło z wnioskiem o zarejestrowanie pobytu oraz 247 z wnioskiem o wydanie dokumentu potwierdzającego stały pobyt</w:t>
            </w:r>
            <w:r w:rsidR="00BF43CC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u</w:t>
            </w:r>
            <w:r w:rsidR="001068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  <w:p w14:paraId="16F6798A" w14:textId="47B80160" w:rsidR="00BC63B7" w:rsidRDefault="00BC63B7" w:rsidP="00A5107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 informacji uzyskanych z Głównego Inspektoratu Pracy po dniu 31 stycznia 2020 r. na terytorium Polski przebywało 11 pracowników delegowanych będących obywatelami Zjednoczonego Królestwa. </w:t>
            </w:r>
            <w:r w:rsidR="0047691C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</w:p>
          <w:p w14:paraId="4FDF9B94" w14:textId="703406D1" w:rsidR="00A51071" w:rsidRPr="007F011B" w:rsidRDefault="00A51071" w:rsidP="00A5107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Można zatem zakładać, </w:t>
            </w:r>
          </w:p>
          <w:p w14:paraId="506055DB" w14:textId="028E83DD" w:rsidR="00A51071" w:rsidRPr="007F011B" w:rsidRDefault="00A51071" w:rsidP="00A5107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iż z projektowanych rozwiązań może skorzystać około</w:t>
            </w:r>
            <w:r w:rsidR="00BF43CC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6900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>obywateli Zjednoczonego Królestwa.</w:t>
            </w:r>
          </w:p>
        </w:tc>
        <w:tc>
          <w:tcPr>
            <w:tcW w:w="3000" w:type="dxa"/>
            <w:gridSpan w:val="6"/>
            <w:shd w:val="clear" w:color="auto" w:fill="auto"/>
          </w:tcPr>
          <w:p w14:paraId="3A3A97F4" w14:textId="77777777" w:rsidR="00A51071" w:rsidRDefault="00084D83" w:rsidP="004F518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>Objęcie zakresem ustawy o wjeździe obywateli UE wszystkich obywateli Zjednoczonego Królestwa, którzy są wymienieni w art. 10 ust. 1 lit b i d Umowy wystąpienia oraz członków ich</w:t>
            </w:r>
            <w:r w:rsidR="0009315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rodzin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 o których mowa w art. 10 ust. 1 lit. e i f Umowy wystąpienia.</w:t>
            </w:r>
            <w:r w:rsidR="00310F1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FD045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Wprowadzenie</w:t>
            </w:r>
            <w:r w:rsidR="00310F1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FD045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odrębnych</w:t>
            </w:r>
            <w:r w:rsidR="00310F19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formatów dokumentów dla obywateli Zjednoczonego Królestwa i członków ich rodzin. </w:t>
            </w:r>
            <w:r w:rsidR="00FD045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</w:p>
          <w:p w14:paraId="1ACA8B47" w14:textId="103DFD75" w:rsidR="00BC63B7" w:rsidRPr="007F011B" w:rsidRDefault="00BC63B7" w:rsidP="00BC63B7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Uregulowanie zasad </w:t>
            </w:r>
            <w:r w:rsidRPr="00BC63B7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kontynuacji pobytu na terytorium Polski </w:t>
            </w:r>
            <w:r w:rsidR="00B639E9">
              <w:rPr>
                <w:rFonts w:ascii="Times New Roman" w:hAnsi="Times New Roman"/>
                <w:spacing w:val="-2"/>
                <w:sz w:val="21"/>
                <w:szCs w:val="21"/>
              </w:rPr>
              <w:t>obywateli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Zjednoczonego Królestwa</w:t>
            </w:r>
            <w:r w:rsidRPr="00BC63B7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wykonujący</w:t>
            </w:r>
            <w:r w:rsidR="00B639E9">
              <w:rPr>
                <w:rFonts w:ascii="Times New Roman" w:hAnsi="Times New Roman"/>
                <w:spacing w:val="-2"/>
                <w:sz w:val="21"/>
                <w:szCs w:val="21"/>
              </w:rPr>
              <w:t>ch</w:t>
            </w:r>
            <w:r w:rsidRPr="00BC63B7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na terytorium Polski pracę jako pracownicy delegowani przez pracodawcę mającego siedzibę w Wielkiej Brytanii, w innym państwie członkowskim UE, czy też w państwie trzecim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. </w:t>
            </w:r>
            <w:r w:rsidRPr="00BC63B7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</w:p>
        </w:tc>
      </w:tr>
      <w:tr w:rsidR="007F011B" w:rsidRPr="007F011B" w14:paraId="53EF4B21" w14:textId="77777777" w:rsidTr="004F518E">
        <w:trPr>
          <w:trHeight w:val="142"/>
        </w:trPr>
        <w:tc>
          <w:tcPr>
            <w:tcW w:w="2651" w:type="dxa"/>
            <w:gridSpan w:val="3"/>
            <w:shd w:val="clear" w:color="auto" w:fill="auto"/>
          </w:tcPr>
          <w:p w14:paraId="307DE29A" w14:textId="77777777" w:rsidR="00A51071" w:rsidRPr="007F011B" w:rsidRDefault="00A51071" w:rsidP="00A51071">
            <w:pPr>
              <w:pStyle w:val="Tekstpodstawowy2"/>
              <w:tabs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eastAsia="pl-PL"/>
              </w:rPr>
              <w:t>członkowie rodziny obywateli Zjednoczonego Królestwa zamieszkujący na terytorium Rzeczypospolitej Polskiej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686AF68C" w14:textId="30656251" w:rsidR="00A51071" w:rsidRPr="007F011B" w:rsidRDefault="008A6717" w:rsidP="007F002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78</w:t>
            </w:r>
            <w:r w:rsidR="00C122C5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osób 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6A81596F" w14:textId="3C799DA3" w:rsidR="00103F9D" w:rsidRPr="007F011B" w:rsidRDefault="00103F9D" w:rsidP="00103F9D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Dane statystyczne Urzędu do Spraw Cudzoziemców za rok 201</w:t>
            </w:r>
            <w:r w:rsidR="00BF43CC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9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wskazują, iż:</w:t>
            </w:r>
          </w:p>
          <w:p w14:paraId="7F50EBD6" w14:textId="66892644" w:rsidR="00103F9D" w:rsidRPr="007F011B" w:rsidRDefault="00103F9D" w:rsidP="00103F9D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- wniosek o wydanie karty pobytu członka rodziny obywatela UE złożyło </w:t>
            </w:r>
            <w:r w:rsidR="00BF43CC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 331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osób,</w:t>
            </w:r>
          </w:p>
          <w:p w14:paraId="5E745BE3" w14:textId="368DED99" w:rsidR="00103F9D" w:rsidRPr="007F011B" w:rsidRDefault="00103F9D" w:rsidP="00103F9D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- wniosek o wydanie karty stałego pobytu członka rodziny obywatela UE złożyło </w:t>
            </w:r>
            <w:r w:rsidR="00BF43CC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17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osób.</w:t>
            </w:r>
          </w:p>
          <w:p w14:paraId="65BA2F02" w14:textId="0DDA31DD" w:rsidR="008A6717" w:rsidRPr="007F011B" w:rsidRDefault="008A6717" w:rsidP="00103F9D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Na dzień 1 stycznia 2020 r. 1128 osób posiadało kartę pobytu członka rodziny obywatela UE lub kartę stałego pobytu członka rodziny obywatela UE.</w:t>
            </w:r>
          </w:p>
          <w:p w14:paraId="0D030114" w14:textId="09E9890F" w:rsidR="009A237E" w:rsidRPr="007F011B" w:rsidRDefault="00AD2DFE" w:rsidP="00AD2D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Odsetek obywateli </w:t>
            </w:r>
            <w:r w:rsidR="009A237E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Zjednoczonego Królestwa wśród wszystkich obywateli UE zamieszkujących w Polsce to około 7,18%. Zakładając, iż około 7% ogółu członków rodziny obywateli UE to członkowie rodziny obywateli Zjednoczonego Królestwa można</w:t>
            </w:r>
          </w:p>
          <w:p w14:paraId="3E388C1F" w14:textId="49C5081A" w:rsidR="009A237E" w:rsidRPr="007F011B" w:rsidRDefault="009A237E" w:rsidP="00AD2D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przypuszczać, iż z proponowanych w projekcie rozwiązań skorzysta około </w:t>
            </w:r>
            <w:r w:rsidR="008A671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78</w:t>
            </w:r>
          </w:p>
          <w:p w14:paraId="1BD44624" w14:textId="46940DF7" w:rsidR="009A237E" w:rsidRPr="007F011B" w:rsidRDefault="009A237E" w:rsidP="00AD2D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osób</w:t>
            </w:r>
            <w:r w:rsidR="008A671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  <w:p w14:paraId="30F60A14" w14:textId="56322CDF" w:rsidR="00A51071" w:rsidRPr="007F011B" w:rsidRDefault="00A51071" w:rsidP="00103F9D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  <w:tc>
          <w:tcPr>
            <w:tcW w:w="3000" w:type="dxa"/>
            <w:gridSpan w:val="6"/>
            <w:shd w:val="clear" w:color="auto" w:fill="auto"/>
          </w:tcPr>
          <w:p w14:paraId="70AED532" w14:textId="77777777" w:rsidR="00BF43CC" w:rsidRPr="007F011B" w:rsidRDefault="005E5D87" w:rsidP="004F518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Objęcie zakresem ustawy o wjeździe obywateli UE wszystkich obywateli Zjednoczonego Królestwa, którzy są wymienieni w art. 10 ust. 1 lit b i d Umowy wystąpienia oraz członków ich</w:t>
            </w:r>
            <w:r w:rsidR="0009315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rodzin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, o których mowa w art. 10 ust. 1 lit. e i f Umowy wystąpienia.</w:t>
            </w:r>
          </w:p>
          <w:p w14:paraId="69ED6958" w14:textId="41315569" w:rsidR="00A51071" w:rsidRPr="007F011B" w:rsidRDefault="00BF43CC" w:rsidP="004F518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Wprowadzenie odrębnych formatów dokumentów dla obywateli Zjednoczonego Królestwa i członków ich rodzin.</w:t>
            </w:r>
            <w:r w:rsidR="005E5D8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</w:p>
        </w:tc>
      </w:tr>
      <w:tr w:rsidR="007F011B" w:rsidRPr="007F011B" w14:paraId="5C04DAD3" w14:textId="77777777" w:rsidTr="004F518E">
        <w:trPr>
          <w:trHeight w:val="142"/>
        </w:trPr>
        <w:tc>
          <w:tcPr>
            <w:tcW w:w="2651" w:type="dxa"/>
            <w:gridSpan w:val="3"/>
            <w:shd w:val="clear" w:color="auto" w:fill="auto"/>
          </w:tcPr>
          <w:p w14:paraId="1E221BFD" w14:textId="77777777" w:rsidR="006B3C72" w:rsidRPr="007F011B" w:rsidRDefault="006B3C72" w:rsidP="00A51071">
            <w:pPr>
              <w:pStyle w:val="Tekstpodstawowy2"/>
              <w:tabs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eastAsia="pl-PL"/>
              </w:rPr>
              <w:t>wojewodowie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1D987B13" w14:textId="77777777" w:rsidR="006B3C72" w:rsidRPr="007F011B" w:rsidRDefault="006B3C72" w:rsidP="007F002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16 wojewodów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7DB64A49" w14:textId="77777777" w:rsidR="006B3C72" w:rsidRPr="007F011B" w:rsidRDefault="006B3C72" w:rsidP="00D31AE6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Ustawa z dnia 24 lipca 1998 r. o wprowadzeniu zasadniczego trójstopniowego podziału terytorialnego państwa (Dz. U. poz. 603, z </w:t>
            </w:r>
            <w:proofErr w:type="spellStart"/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późn</w:t>
            </w:r>
            <w:proofErr w:type="spellEnd"/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 zm.)</w:t>
            </w:r>
          </w:p>
        </w:tc>
        <w:tc>
          <w:tcPr>
            <w:tcW w:w="3000" w:type="dxa"/>
            <w:gridSpan w:val="6"/>
            <w:shd w:val="clear" w:color="auto" w:fill="auto"/>
          </w:tcPr>
          <w:p w14:paraId="554CD02C" w14:textId="77777777" w:rsidR="006B3C72" w:rsidRPr="007F011B" w:rsidRDefault="005E5D87" w:rsidP="006B3C72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Rozszerzenie katalogu członków rodziny obywateli UE. </w:t>
            </w:r>
            <w:r w:rsidR="006B3C72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Zmiana uregulowań dotyczących zachowania prawa pobytu w Rzeczypospolitej Polskiej przez obywatela UE, zasad wydawania dokumentów potwierdzających prawo stałego pobytu obywatela UE oraz wydaleń.</w:t>
            </w:r>
          </w:p>
          <w:p w14:paraId="7EDB1959" w14:textId="77777777" w:rsidR="006B3C72" w:rsidRPr="007F011B" w:rsidRDefault="006B3C72" w:rsidP="006B3C72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Wydawanie zaświadczenia o zarejestrowaniu pobytu obywatela UE w zmienionej formie.</w:t>
            </w:r>
          </w:p>
          <w:p w14:paraId="366864B7" w14:textId="77777777" w:rsidR="006B3C72" w:rsidRPr="007F011B" w:rsidRDefault="006B3C72" w:rsidP="006B3C72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Zmiana uregulowań dotyczących sposobu sprawdzania, czy związek małżeński z obywatelem UE nie został zawarty tylko w celu legalizacji pobytu obywatela państwa trzeciego. Ponadto zmiana zasad wydawania karty stałego pobytu.</w:t>
            </w:r>
          </w:p>
          <w:p w14:paraId="5DECA435" w14:textId="161521DD" w:rsidR="006B3C72" w:rsidRPr="007F011B" w:rsidRDefault="006B3C72" w:rsidP="006B3C72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Wydawanie kart pobytowych oraz kart stałego pobytu zawierających obraz linii papilarnych.</w:t>
            </w:r>
          </w:p>
          <w:p w14:paraId="43C0DA86" w14:textId="1FD68A88" w:rsidR="008A6717" w:rsidRPr="007F011B" w:rsidRDefault="008A6717" w:rsidP="006B3C72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Wprowadzenie odrębnych regulacji prawnych dotyczących prawa pobytu i prawa stałego pobytu dla obywateli Zjednoczonego Królestwa i członków ich rodzin. </w:t>
            </w:r>
          </w:p>
          <w:p w14:paraId="5A647C63" w14:textId="77777777" w:rsidR="006B3C72" w:rsidRPr="007F011B" w:rsidRDefault="006B3C72" w:rsidP="006B3C72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Przejęcie przez Straż Graniczną kompetencji związanych z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>wydawaniem decyzji w sprawie  wydalania obywateli UE i członków rodzin niebędących obywatelami UE.</w:t>
            </w:r>
          </w:p>
        </w:tc>
      </w:tr>
      <w:tr w:rsidR="007F011B" w:rsidRPr="007F011B" w14:paraId="110D4DFC" w14:textId="77777777" w:rsidTr="004F518E">
        <w:trPr>
          <w:trHeight w:val="142"/>
        </w:trPr>
        <w:tc>
          <w:tcPr>
            <w:tcW w:w="2651" w:type="dxa"/>
            <w:gridSpan w:val="3"/>
            <w:shd w:val="clear" w:color="auto" w:fill="auto"/>
          </w:tcPr>
          <w:p w14:paraId="414BA9F8" w14:textId="77777777" w:rsidR="00260F33" w:rsidRPr="007F011B" w:rsidRDefault="000143FC" w:rsidP="00AE629F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lastRenderedPageBreak/>
              <w:t>Szef Urzędu do Spraw Cudzoziemców</w:t>
            </w:r>
            <w:r w:rsidRPr="007F011B">
              <w:rPr>
                <w:spacing w:val="-2"/>
                <w:sz w:val="21"/>
                <w:szCs w:val="21"/>
                <w:lang w:val="pl-PL" w:eastAsia="pl-PL"/>
              </w:rPr>
              <w:t xml:space="preserve"> 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0EC4565B" w14:textId="77777777" w:rsidR="00260F33" w:rsidRPr="007F011B" w:rsidRDefault="00603C36" w:rsidP="00A17CB2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1 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organ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1D318A92" w14:textId="121BAA44" w:rsidR="00260F33" w:rsidRPr="007F011B" w:rsidRDefault="00F93CCC" w:rsidP="00747EE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Ustawa z dnia 12 grudnia 2013</w:t>
            </w:r>
            <w:r w:rsidR="00F177E0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r. o cudzoziemcach (Dz. U. 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 </w:t>
            </w:r>
            <w:r w:rsidR="00887AA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2020 r. poz. 35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)</w:t>
            </w:r>
          </w:p>
        </w:tc>
        <w:tc>
          <w:tcPr>
            <w:tcW w:w="3000" w:type="dxa"/>
            <w:gridSpan w:val="6"/>
            <w:shd w:val="clear" w:color="auto" w:fill="auto"/>
          </w:tcPr>
          <w:p w14:paraId="109DCEA5" w14:textId="273A39BE" w:rsidR="00260F33" w:rsidRPr="007F011B" w:rsidRDefault="00161BE4" w:rsidP="00161BE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Ewentualne prowadzenie postępowań odwoławczych w sprawach z zakresu wjazdu na terytorium Rzeczypospolitej Polskiej, pobytu oraz wyjazdu z tego terytorium obywateli UE i członków ich rodzin</w:t>
            </w:r>
            <w:r w:rsidR="008A671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oraz obywateli Zjednoczonego Królestwa oraz członków ich rodzin</w:t>
            </w:r>
            <w:r w:rsidR="003F3A89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</w:tc>
      </w:tr>
      <w:tr w:rsidR="007F011B" w:rsidRPr="007F011B" w14:paraId="577FE2F1" w14:textId="77777777" w:rsidTr="004F518E">
        <w:trPr>
          <w:trHeight w:val="142"/>
        </w:trPr>
        <w:tc>
          <w:tcPr>
            <w:tcW w:w="26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757F4F" w14:textId="77777777" w:rsidR="000143FC" w:rsidRPr="007F011B" w:rsidRDefault="000143FC" w:rsidP="00D52AE4">
            <w:pPr>
              <w:pStyle w:val="Tekstpodstawowy2"/>
              <w:tabs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>organy Straży Granicznej</w:t>
            </w:r>
          </w:p>
          <w:p w14:paraId="24A1CD79" w14:textId="77777777" w:rsidR="00260F33" w:rsidRPr="007F011B" w:rsidRDefault="00260F33" w:rsidP="0072636A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97" w:type="dxa"/>
            <w:gridSpan w:val="8"/>
            <w:shd w:val="clear" w:color="auto" w:fill="auto"/>
          </w:tcPr>
          <w:p w14:paraId="6E545147" w14:textId="77777777" w:rsidR="006B3C72" w:rsidRPr="007F011B" w:rsidRDefault="006B3C72" w:rsidP="006B3C72">
            <w:pPr>
              <w:spacing w:after="120" w:line="240" w:lineRule="auto"/>
              <w:ind w:left="60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- 1 Komendant Główny Straży Granicznej</w:t>
            </w:r>
          </w:p>
          <w:p w14:paraId="33BF0515" w14:textId="77777777" w:rsidR="006B3C72" w:rsidRPr="007F011B" w:rsidRDefault="006B3C72" w:rsidP="006B3C72">
            <w:pPr>
              <w:spacing w:after="120" w:line="240" w:lineRule="auto"/>
              <w:ind w:left="60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- 9 Komendantów oddziałów Straży Granicznej;</w:t>
            </w:r>
          </w:p>
          <w:p w14:paraId="4232CCDF" w14:textId="08435C09" w:rsidR="00260F33" w:rsidRPr="007F011B" w:rsidRDefault="006B3C72" w:rsidP="00887AA8">
            <w:pPr>
              <w:spacing w:after="120" w:line="240" w:lineRule="auto"/>
              <w:ind w:left="60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- </w:t>
            </w:r>
            <w:r w:rsidR="00887AA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95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Komendantów placówek Straży Granicznej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31EA6379" w14:textId="77777777" w:rsidR="00703325" w:rsidRPr="007F011B" w:rsidRDefault="00703325" w:rsidP="00703325">
            <w:pPr>
              <w:spacing w:line="240" w:lineRule="auto"/>
              <w:rPr>
                <w:rFonts w:ascii="Times New Roman" w:hAnsi="Times New Roman"/>
                <w:bCs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Ustawa z dnia 12 października 1990 r. o Straży Granicznej</w:t>
            </w:r>
          </w:p>
          <w:p w14:paraId="07F6F858" w14:textId="694AF53E" w:rsidR="00703325" w:rsidRPr="007F011B" w:rsidRDefault="00703325" w:rsidP="00703325">
            <w:pPr>
              <w:spacing w:line="240" w:lineRule="auto"/>
              <w:rPr>
                <w:rFonts w:ascii="Times New Roman" w:hAnsi="Times New Roman"/>
                <w:bCs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(Dz. U. </w:t>
            </w:r>
            <w:r w:rsidR="00887AA8"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z 2020 r. poz. 305</w:t>
            </w:r>
            <w:r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)</w:t>
            </w:r>
          </w:p>
          <w:p w14:paraId="28A20436" w14:textId="77777777" w:rsidR="00260F33" w:rsidRPr="007F011B" w:rsidRDefault="00260F33" w:rsidP="00A17CB2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  <w:tc>
          <w:tcPr>
            <w:tcW w:w="3000" w:type="dxa"/>
            <w:gridSpan w:val="6"/>
            <w:shd w:val="clear" w:color="auto" w:fill="auto"/>
          </w:tcPr>
          <w:p w14:paraId="6A8866F4" w14:textId="3E1A12E8" w:rsidR="00B320A0" w:rsidRPr="007F011B" w:rsidRDefault="00161BE4" w:rsidP="00161BE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Przeprowadzanie wywiadu środowiskowego oraz sprawdzenia w miejscu pobytu obywatela UE w przypadku podejrzenia fikcyjnego małżeństwa.</w:t>
            </w:r>
            <w:r w:rsidR="00B320A0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Trudno jest oszacować jak wiele tego typu wywiadów St</w:t>
            </w:r>
            <w:r w:rsidR="0009315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r</w:t>
            </w:r>
            <w:r w:rsidR="00B320A0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aż Graniczna będzie przeprowadzać. </w:t>
            </w:r>
          </w:p>
          <w:p w14:paraId="0DE28898" w14:textId="008C0C5D" w:rsidR="00260F33" w:rsidRPr="007F011B" w:rsidRDefault="00B320A0" w:rsidP="00161BE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Przejęcie od wojewodów kompetencji związanych z </w:t>
            </w:r>
            <w:r w:rsidR="00D5392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wydawaniem decyzji w sprawie wydalenia obywateli UE i członków rodziny niebędących obywatelami UE</w:t>
            </w:r>
            <w:r w:rsidR="008A6717" w:rsidRPr="007F011B">
              <w:t xml:space="preserve"> </w:t>
            </w:r>
            <w:r w:rsidR="008A671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oraz obywateli Zjednoczonego Królestwa oraz członków ich rodzin</w:t>
            </w:r>
            <w:r w:rsidR="00D5392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. </w:t>
            </w:r>
            <w:r w:rsidR="002F56B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2013 r. wydano 9 decyzji w sprawie wydalenia obywateli UE i członków rodziny niebędących obywatelami UE, w 2014 r. – 14 decyzji, w 2015 r. –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2F56B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15, w 2016 r. – 10, w 2017 r. – 9, a w 2018 r. </w:t>
            </w:r>
            <w:r w:rsidR="00AD2DFE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–</w:t>
            </w:r>
            <w:r w:rsidR="002F56B4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5 decyzji w sprawie wydalenia</w:t>
            </w:r>
            <w:r w:rsidR="0013208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  <w:p w14:paraId="469EDC8D" w14:textId="48B7AB35" w:rsidR="00697F5F" w:rsidRPr="007F011B" w:rsidRDefault="000E7802" w:rsidP="00AD2D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Dodatkowo przed zarejestrowaniem pobytu obywatela UE oraz przed wydaniem karty pobytowej, dokumentu potwierdzającego prawo stałego pobytu, karty stałego pobytu  organ prowadzący postępowanie w ww. sprawach 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występuje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do komendanta oddziału Straży Granicznej, komendanta wojewódzkiego Policji i Szefa Agencji Bezpieczeństwa Wewnętrznego z wnioskiem o przekazanie informacji, czy wjazd cudzoziemca na terytorium Rzeczypospolitej Polskiej i jego pobyt na tym terytorium mogą stanowić zagrożenie dla obronności lub bezpieczeństwa państwa 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>lub ochrony bezpieczeństwa i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porządku publicznego.</w:t>
            </w:r>
          </w:p>
        </w:tc>
      </w:tr>
      <w:tr w:rsidR="007F011B" w:rsidRPr="007F011B" w14:paraId="68F0BC0B" w14:textId="77777777" w:rsidTr="004F518E">
        <w:trPr>
          <w:trHeight w:val="142"/>
        </w:trPr>
        <w:tc>
          <w:tcPr>
            <w:tcW w:w="26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0320998" w14:textId="421751AD" w:rsidR="006B3C72" w:rsidRPr="007F011B" w:rsidRDefault="00093154" w:rsidP="00D52AE4">
            <w:pPr>
              <w:pStyle w:val="Tekstpodstawowy2"/>
              <w:tabs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>o</w:t>
            </w:r>
            <w:r w:rsidR="006B3C72"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>rgany Policji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7AA70872" w14:textId="77777777" w:rsidR="006B3C72" w:rsidRPr="007F011B" w:rsidRDefault="006B3C72" w:rsidP="006B3C72">
            <w:pPr>
              <w:spacing w:after="120" w:line="240" w:lineRule="auto"/>
              <w:ind w:left="60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- 1 Komendant Główny Policji, </w:t>
            </w:r>
          </w:p>
          <w:p w14:paraId="74FC03C2" w14:textId="77777777" w:rsidR="006B3C72" w:rsidRPr="007F011B" w:rsidRDefault="006B3C72" w:rsidP="006B3C72">
            <w:pPr>
              <w:spacing w:after="120" w:line="240" w:lineRule="auto"/>
              <w:ind w:left="60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 xml:space="preserve">- 16 Komendantów Wojewódzkich Policji, </w:t>
            </w:r>
          </w:p>
          <w:p w14:paraId="03291D8B" w14:textId="77777777" w:rsidR="006B3C72" w:rsidRPr="007F011B" w:rsidRDefault="006B3C72" w:rsidP="006B3C72">
            <w:pPr>
              <w:spacing w:after="120" w:line="240" w:lineRule="auto"/>
              <w:ind w:left="60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- 1 Komendant Stołeczny Policji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5B5F1EE8" w14:textId="3CBE0C02" w:rsidR="006B3C72" w:rsidRPr="007F011B" w:rsidRDefault="00697F5F" w:rsidP="00887AA8">
            <w:pPr>
              <w:spacing w:line="240" w:lineRule="auto"/>
              <w:rPr>
                <w:rFonts w:ascii="Times New Roman" w:hAnsi="Times New Roman"/>
                <w:bCs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lastRenderedPageBreak/>
              <w:t xml:space="preserve">Ustawa z dnia 6 kwietnia 1990 r. o Policji (Dz. U. </w:t>
            </w:r>
            <w:r w:rsidR="00AD2DFE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z </w:t>
            </w:r>
            <w:r w:rsidR="00887AA8"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2020 poz. 360</w:t>
            </w:r>
            <w:r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)</w:t>
            </w:r>
          </w:p>
        </w:tc>
        <w:tc>
          <w:tcPr>
            <w:tcW w:w="3000" w:type="dxa"/>
            <w:gridSpan w:val="6"/>
            <w:shd w:val="clear" w:color="auto" w:fill="auto"/>
          </w:tcPr>
          <w:p w14:paraId="6B319A13" w14:textId="093A0F91" w:rsidR="006B3C72" w:rsidRPr="007F011B" w:rsidRDefault="00AF49D5" w:rsidP="00AD2D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Przed zarejestrowaniem pobytu</w:t>
            </w:r>
            <w:r w:rsidR="005A2F8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obywatela UE oraz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przed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>wydaniem karty pobytowej, dokumentu potwierdzającego</w:t>
            </w:r>
            <w:r w:rsidR="00876B10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5A2F8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prawo stałego pobytu, karty stałego pobytu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organ prowadzący postępowanie w</w:t>
            </w:r>
            <w:r w:rsidR="005A2F8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ww. sprawach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występuje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do komendanta oddziału Straży Granicznej, komendanta wojewódzkiego Policji i Szefa Agencji Bezpieczeństwa Wewnętrznego z wnioskiem o przekazanie informacji, czy wjazd cudzoziemca na terytorium Rzeczypospolitej Polskiej i jego pobyt na tym terytorium mogą stanowić zagrożenie dla obronności lub bezpieczeństwa państwa lub ochrony bezpieczeństwa </w:t>
            </w:r>
            <w:r w:rsidR="000E7802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i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porządku publicznego.</w:t>
            </w:r>
            <w:r w:rsidR="00876B10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697F5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Wnioskowanie o wydanie decyzji o wydalenia obywateli UE i członków rodziny niebędących obywatelami UE</w:t>
            </w:r>
            <w:r w:rsidR="008A6717" w:rsidRPr="007F011B">
              <w:t xml:space="preserve"> </w:t>
            </w:r>
            <w:r w:rsidR="008A671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oraz obywateli Zjednoczonego Królestwa oraz członków ich rodzin</w:t>
            </w:r>
            <w:r w:rsidR="00697F5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.  </w:t>
            </w:r>
          </w:p>
        </w:tc>
      </w:tr>
      <w:tr w:rsidR="007F011B" w:rsidRPr="007F011B" w14:paraId="7BC75EE3" w14:textId="77777777" w:rsidTr="004F518E">
        <w:trPr>
          <w:trHeight w:val="142"/>
        </w:trPr>
        <w:tc>
          <w:tcPr>
            <w:tcW w:w="26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66AD69F" w14:textId="77777777" w:rsidR="00697F5F" w:rsidRPr="007F011B" w:rsidRDefault="00697F5F" w:rsidP="00D52AE4">
            <w:pPr>
              <w:pStyle w:val="Tekstpodstawowy2"/>
              <w:tabs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lastRenderedPageBreak/>
              <w:t>Szef Agencji Bezpieczeństwa Wewnętrznego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7BB88FCA" w14:textId="77777777" w:rsidR="00697F5F" w:rsidRPr="007F011B" w:rsidRDefault="00697F5F" w:rsidP="006B3C72">
            <w:pPr>
              <w:spacing w:after="120" w:line="240" w:lineRule="auto"/>
              <w:ind w:left="60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1 Agencja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7271264D" w14:textId="77777777" w:rsidR="00697F5F" w:rsidRPr="007F011B" w:rsidRDefault="00697F5F" w:rsidP="00697F5F">
            <w:pPr>
              <w:spacing w:line="240" w:lineRule="auto"/>
              <w:rPr>
                <w:rFonts w:ascii="Times New Roman" w:hAnsi="Times New Roman"/>
                <w:bCs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Ustawa z dnia 24 maja 2002 r.</w:t>
            </w:r>
          </w:p>
          <w:p w14:paraId="69BF19E5" w14:textId="77777777" w:rsidR="00887AA8" w:rsidRPr="007F011B" w:rsidRDefault="00697F5F" w:rsidP="00887AA8">
            <w:pPr>
              <w:spacing w:line="240" w:lineRule="auto"/>
              <w:rPr>
                <w:rFonts w:ascii="Times New Roman" w:hAnsi="Times New Roman"/>
                <w:bCs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o Agencji Bezpieczeństwa Wewnętrznego oraz Agencji Wywiadu (Dz. U. z </w:t>
            </w:r>
            <w:r w:rsidR="00887AA8"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2020 r.</w:t>
            </w:r>
          </w:p>
          <w:p w14:paraId="79D743CB" w14:textId="0514E806" w:rsidR="00697F5F" w:rsidRPr="007F011B" w:rsidRDefault="00887AA8" w:rsidP="00887AA8">
            <w:pPr>
              <w:spacing w:line="240" w:lineRule="auto"/>
              <w:rPr>
                <w:rFonts w:ascii="Times New Roman" w:hAnsi="Times New Roman"/>
                <w:bCs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poz. 27</w:t>
            </w:r>
            <w:r w:rsidR="00697F5F" w:rsidRPr="007F011B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)</w:t>
            </w:r>
          </w:p>
        </w:tc>
        <w:tc>
          <w:tcPr>
            <w:tcW w:w="3000" w:type="dxa"/>
            <w:gridSpan w:val="6"/>
            <w:shd w:val="clear" w:color="auto" w:fill="auto"/>
          </w:tcPr>
          <w:p w14:paraId="5250AB45" w14:textId="1578C2A6" w:rsidR="00697F5F" w:rsidRPr="007F011B" w:rsidRDefault="005A2F87" w:rsidP="00161BE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Przed zarejestrowaniem pobytu obywatela UE oraz przed wydaniem karty pobytowej, dokumentu potwierdzającego prawo stałego pobytu, karty stałego pobytu  organ prowadzący postępowanie w ww. sprawach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występuje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do komendanta oddziału Straży Granicznej, komendanta wojewódzkiego Policji i Szefa Agencji Bezpieczeństwa Wewnętrznego z wnioskiem o przekazanie informacji, czy wjazd cudzoziemca na terytorium Rzeczypospolitej Polskiej i jego pobyt na tym terytorium mogą stanowić zagrożenie dla obronności lub bezpieczeństwa państwa lub ochrony bezpieczeństwa </w:t>
            </w:r>
            <w:r w:rsidR="000E7802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i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porządku publicznego. </w:t>
            </w:r>
            <w:r w:rsidR="00697F5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Wnioskowanie o wydanie decyzji o wydalenia obywateli UE i członków rodziny niebędących obywatelami UE</w:t>
            </w:r>
            <w:r w:rsidR="008A6717" w:rsidRPr="007F011B">
              <w:t xml:space="preserve"> </w:t>
            </w:r>
            <w:r w:rsidR="008A6717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oraz obywateli Zjednoczonego Królestwa oraz członków ich rodzin</w:t>
            </w:r>
            <w:r w:rsidR="00697F5F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.  </w:t>
            </w:r>
          </w:p>
        </w:tc>
      </w:tr>
      <w:tr w:rsidR="009D5D20" w:rsidRPr="007F011B" w14:paraId="711DF999" w14:textId="77777777" w:rsidTr="004F518E">
        <w:trPr>
          <w:trHeight w:val="142"/>
        </w:trPr>
        <w:tc>
          <w:tcPr>
            <w:tcW w:w="26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2D4457" w14:textId="3B1EDCB4" w:rsidR="009D5D20" w:rsidRPr="007F011B" w:rsidRDefault="009D5D20" w:rsidP="009D5D20">
            <w:pPr>
              <w:pStyle w:val="Tekstpodstawowy2"/>
              <w:tabs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 w:rsidRPr="00D52F81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>gminy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67A3AC6C" w14:textId="2A05C680" w:rsidR="009D5D20" w:rsidRPr="007F011B" w:rsidRDefault="009D5D20" w:rsidP="009D5D20">
            <w:pPr>
              <w:spacing w:after="120" w:line="240" w:lineRule="auto"/>
              <w:ind w:left="60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2477 gmin (179 przejść granicznych) 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0D1A9DE1" w14:textId="3A9CDF90" w:rsidR="009D5D20" w:rsidRPr="007F011B" w:rsidRDefault="009D5D20" w:rsidP="009D5D20">
            <w:pPr>
              <w:spacing w:line="240" w:lineRule="auto"/>
              <w:rPr>
                <w:rFonts w:ascii="Times New Roman" w:hAnsi="Times New Roman"/>
                <w:bCs/>
                <w:spacing w:val="-2"/>
                <w:sz w:val="21"/>
                <w:szCs w:val="21"/>
              </w:rPr>
            </w:pPr>
            <w:r w:rsidRPr="00D52F81"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 xml:space="preserve">Dane statystyczne Głównego Urzędu Statystycznego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 xml:space="preserve">na dzień 1 stycznia 2020 r. </w:t>
            </w:r>
            <w:r w:rsidRPr="00A3774C"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>http://eteryt.stat.gov.pl/eteryt/raporty/WebRaportZestawienie.aspx</w:t>
            </w:r>
          </w:p>
        </w:tc>
        <w:tc>
          <w:tcPr>
            <w:tcW w:w="3000" w:type="dxa"/>
            <w:gridSpan w:val="6"/>
            <w:shd w:val="clear" w:color="auto" w:fill="auto"/>
          </w:tcPr>
          <w:p w14:paraId="734B5E1A" w14:textId="56EBA782" w:rsidR="00486751" w:rsidRDefault="003F3A89" w:rsidP="00747EE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</w:t>
            </w:r>
            <w:r w:rsidR="009D5D20" w:rsidRPr="009D5D2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wolnienie z opłaty skarbowej za wydanie zaświadczenia potwierdzającego, iż w stosunku do obywatela UE lub członka rodziny obywatela UE istnieje domniemanie, że są oni ofiarami handlu ludźmi. </w:t>
            </w:r>
          </w:p>
          <w:p w14:paraId="35B1B1E5" w14:textId="03A39E49" w:rsidR="009D5D20" w:rsidRDefault="00486751" w:rsidP="00747EE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9D5D2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Zwolnieni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e</w:t>
            </w:r>
            <w:r w:rsidRPr="009D5D2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3F3A8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obywateli Zjednoczonego Królestwa</w:t>
            </w:r>
            <w:r w:rsidR="003F3A89">
              <w:t xml:space="preserve"> </w:t>
            </w:r>
            <w:r w:rsidR="003F3A89" w:rsidRPr="003F3A8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oraz </w:t>
            </w:r>
            <w:r w:rsidR="003F3A89" w:rsidRPr="003F3A8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lastRenderedPageBreak/>
              <w:t>członków ich rodzin, o których mowa w art. 10 ust. 1 lit. e i f Umowy</w:t>
            </w:r>
            <w:r w:rsidR="003F3A8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wystąpienia </w:t>
            </w:r>
            <w:r w:rsidR="00D4590E" w:rsidRPr="009D5D2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 opłaty skarbowej</w:t>
            </w:r>
            <w:r w:rsidR="00D4590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za </w:t>
            </w:r>
            <w:r w:rsidR="009D5D20" w:rsidRPr="009D5D2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zezwolenia na pobyt czasowy udzielane osobom przebywającym w Polsce z obywatelami Zjednoczonego Królestwa, </w:t>
            </w:r>
            <w:r w:rsidR="00D4590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(</w:t>
            </w:r>
            <w:r w:rsidR="009D5D20" w:rsidRPr="009D5D2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art. 160 pkt 4-6 ustawy o cudzoziemcach</w:t>
            </w:r>
            <w:r w:rsidR="00D4590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)</w:t>
            </w:r>
            <w:r w:rsidR="009D5D20" w:rsidRPr="009D5D2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  <w:p w14:paraId="512770C4" w14:textId="2CDBE7EA" w:rsidR="003F3A89" w:rsidRPr="007F011B" w:rsidRDefault="003F3A89" w:rsidP="00747EEE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Zwolnienie z opłat skarbowych członków rodziny obywateli polskich powracających po skorzystaniu ze swobody przepływu osób. </w:t>
            </w:r>
          </w:p>
        </w:tc>
      </w:tr>
      <w:tr w:rsidR="003F3A89" w:rsidRPr="007F011B" w14:paraId="31C91D4E" w14:textId="77777777" w:rsidTr="004F518E">
        <w:trPr>
          <w:trHeight w:val="142"/>
        </w:trPr>
        <w:tc>
          <w:tcPr>
            <w:tcW w:w="26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B9C653" w14:textId="4EB728F9" w:rsidR="003F3A89" w:rsidRPr="00D52F81" w:rsidRDefault="003F3A89" w:rsidP="00747EEE">
            <w:pPr>
              <w:pStyle w:val="Tekstpodstawowy2"/>
              <w:tabs>
                <w:tab w:val="num" w:pos="1080"/>
              </w:tabs>
              <w:jc w:val="both"/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 w:rsidRPr="003F3A89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lastRenderedPageBreak/>
              <w:t>podmioty powierzające cudzoziemcom wykonywanie pracy</w:t>
            </w:r>
          </w:p>
        </w:tc>
        <w:tc>
          <w:tcPr>
            <w:tcW w:w="2297" w:type="dxa"/>
            <w:gridSpan w:val="8"/>
            <w:shd w:val="clear" w:color="auto" w:fill="auto"/>
          </w:tcPr>
          <w:p w14:paraId="44FA49AD" w14:textId="64249715" w:rsidR="003F3A89" w:rsidRDefault="003F3A89" w:rsidP="00747EEE">
            <w:pPr>
              <w:spacing w:after="120" w:line="240" w:lineRule="auto"/>
              <w:ind w:left="60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3F3A8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Trudno jest oszacować liczbę podmiotów powierzających cudzoziemcom wykonywanie pracy</w:t>
            </w:r>
          </w:p>
        </w:tc>
        <w:tc>
          <w:tcPr>
            <w:tcW w:w="2996" w:type="dxa"/>
            <w:gridSpan w:val="10"/>
            <w:shd w:val="clear" w:color="auto" w:fill="auto"/>
          </w:tcPr>
          <w:p w14:paraId="50E93E80" w14:textId="77777777" w:rsidR="003F3A89" w:rsidRPr="00D52F81" w:rsidRDefault="003F3A89" w:rsidP="009D5D20">
            <w:pPr>
              <w:spacing w:line="240" w:lineRule="auto"/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</w:pPr>
          </w:p>
        </w:tc>
        <w:tc>
          <w:tcPr>
            <w:tcW w:w="3000" w:type="dxa"/>
            <w:gridSpan w:val="6"/>
            <w:shd w:val="clear" w:color="auto" w:fill="auto"/>
          </w:tcPr>
          <w:p w14:paraId="1F0F875F" w14:textId="3EE217A5" w:rsidR="003F3A89" w:rsidDel="003F3A89" w:rsidRDefault="003F3A89" w:rsidP="00EE57F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3F3A8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Zwolnienie z </w:t>
            </w:r>
            <w:r w:rsidR="00EE57F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obowiązku posiadania zezwoleń na pracę </w:t>
            </w:r>
            <w:r w:rsidRPr="003F3A8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członków rodziny obywateli polskich powracających po skorzystaniu ze swobody przepływu osób.</w:t>
            </w:r>
            <w:r w:rsidR="00EE57FF">
              <w:t xml:space="preserve"> </w:t>
            </w:r>
            <w:r w:rsidR="00EE57F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Zwolnienie</w:t>
            </w:r>
            <w:r w:rsidR="00EE57FF" w:rsidRPr="00EE57F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z wymogu posiadania zezwolenia na pracę cudzoziemców posiadających zezwolenie na pobyt czasowy udzielone w związku z okolicznościami, o których mowa w art. 186 ust. 1 pkt 8 ustawy z dnia 12 grudnia 2013 r. o cudzoziemcach</w:t>
            </w:r>
            <w:r w:rsidR="00EE57F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</w:tc>
      </w:tr>
      <w:tr w:rsidR="007F011B" w:rsidRPr="007F011B" w14:paraId="786B4C4F" w14:textId="77777777" w:rsidTr="004F518E">
        <w:trPr>
          <w:trHeight w:val="302"/>
        </w:trPr>
        <w:tc>
          <w:tcPr>
            <w:tcW w:w="10944" w:type="dxa"/>
            <w:gridSpan w:val="27"/>
            <w:shd w:val="clear" w:color="auto" w:fill="99CCFF"/>
            <w:vAlign w:val="center"/>
          </w:tcPr>
          <w:p w14:paraId="2A902F17" w14:textId="77777777" w:rsidR="006A701A" w:rsidRPr="007F011B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>Informacje na temat zakresu</w:t>
            </w:r>
            <w:r w:rsidR="0076658F" w:rsidRPr="007F011B">
              <w:rPr>
                <w:rFonts w:ascii="Times New Roman" w:hAnsi="Times New Roman"/>
                <w:b/>
              </w:rPr>
              <w:t>,</w:t>
            </w:r>
            <w:r w:rsidRPr="007F011B">
              <w:rPr>
                <w:rFonts w:ascii="Times New Roman" w:hAnsi="Times New Roman"/>
                <w:b/>
              </w:rPr>
              <w:t xml:space="preserve"> czasu trwania </w:t>
            </w:r>
            <w:r w:rsidR="0076658F" w:rsidRPr="007F011B">
              <w:rPr>
                <w:rFonts w:ascii="Times New Roman" w:hAnsi="Times New Roman"/>
                <w:b/>
              </w:rPr>
              <w:t xml:space="preserve">i podsumowanie wyników </w:t>
            </w:r>
            <w:r w:rsidRPr="007F011B">
              <w:rPr>
                <w:rFonts w:ascii="Times New Roman" w:hAnsi="Times New Roman"/>
                <w:b/>
              </w:rPr>
              <w:t>konsultacji</w:t>
            </w:r>
          </w:p>
        </w:tc>
      </w:tr>
      <w:tr w:rsidR="007F011B" w:rsidRPr="007F011B" w14:paraId="12FAC26B" w14:textId="77777777" w:rsidTr="004F518E">
        <w:trPr>
          <w:trHeight w:val="342"/>
        </w:trPr>
        <w:tc>
          <w:tcPr>
            <w:tcW w:w="10944" w:type="dxa"/>
            <w:gridSpan w:val="27"/>
            <w:shd w:val="clear" w:color="auto" w:fill="FFFFFF"/>
          </w:tcPr>
          <w:p w14:paraId="475B736D" w14:textId="77777777" w:rsidR="00D31AE6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Projekt ustawy zosta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ł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opracowany w resorcie spraw wewnętrznych.</w:t>
            </w:r>
          </w:p>
          <w:p w14:paraId="1A67F8D6" w14:textId="4F624429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W celu wykonania wynikającego z przepisów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obowiązującego prawa obowiązku zasięgnię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cia opinii projekt ustawy zosta</w:t>
            </w:r>
            <w:r w:rsidR="00AD2DFE">
              <w:rPr>
                <w:rFonts w:ascii="Times New Roman" w:hAnsi="Times New Roman"/>
                <w:spacing w:val="-2"/>
                <w:sz w:val="21"/>
                <w:szCs w:val="21"/>
              </w:rPr>
              <w:t>ł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przekazany do zaopiniowania następują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cym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podmiotom:</w:t>
            </w:r>
          </w:p>
          <w:p w14:paraId="21C1F439" w14:textId="49771B70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1) Prokuratorowi Krajowemu – art. 3 § 1 pkt 12 ustawy z dnia 28 stycznia 2016 r. – Prawo o prokuraturze (Dz. U. z 201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9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</w:t>
            </w:r>
            <w:r w:rsidR="00C14CF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poz. 7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40</w:t>
            </w:r>
            <w:r w:rsidR="00887AA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, </w:t>
            </w:r>
            <w:r w:rsidR="00887AA8" w:rsidRPr="007F011B">
              <w:rPr>
                <w:rFonts w:ascii="Times New Roman" w:hAnsi="Times New Roman"/>
                <w:spacing w:val="-2"/>
              </w:rPr>
              <w:t xml:space="preserve">z </w:t>
            </w:r>
            <w:proofErr w:type="spellStart"/>
            <w:r w:rsidR="00887AA8" w:rsidRPr="007F011B">
              <w:rPr>
                <w:rFonts w:ascii="Times New Roman" w:hAnsi="Times New Roman"/>
                <w:spacing w:val="-2"/>
              </w:rPr>
              <w:t>późn</w:t>
            </w:r>
            <w:proofErr w:type="spellEnd"/>
            <w:r w:rsidR="00887AA8" w:rsidRPr="007F011B">
              <w:rPr>
                <w:rFonts w:ascii="Times New Roman" w:hAnsi="Times New Roman"/>
                <w:spacing w:val="-2"/>
              </w:rPr>
              <w:t>. zm.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);</w:t>
            </w:r>
          </w:p>
          <w:p w14:paraId="28C2F750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2) Prezesowi Naczelnej Rady Adwokackiej – art. 58 pkt 9 ustawy z dnia 26 maja 1982 r. – Prawo o adwokaturze (Dz. U. z</w:t>
            </w:r>
            <w:r w:rsidR="00C14CF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201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9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 poz. 1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5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1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3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, z </w:t>
            </w:r>
            <w:proofErr w:type="spellStart"/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późn</w:t>
            </w:r>
            <w:proofErr w:type="spellEnd"/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 zm.);</w:t>
            </w:r>
          </w:p>
          <w:p w14:paraId="5A969246" w14:textId="2E25C6E9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3) Prezesowi Krajowej Rady Radców Prawnych – art. 60 pkt 2 ustawy z dnia 6 lipca 1982 r. o radcach prawnych (Dz. U. </w:t>
            </w:r>
            <w:r w:rsidR="00DD5FB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 </w:t>
            </w:r>
            <w:r w:rsidR="00887AA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2020 r. poz. 75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);</w:t>
            </w:r>
          </w:p>
          <w:p w14:paraId="5D767BF1" w14:textId="10E142AF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4) Pierwszemu Prezesowi Sądu Najwyższego – art. 1 pkt 4 ustawy z dnia 8 grudnia 2017 r. o Sądzie Najwyższym (Dz. U.</w:t>
            </w:r>
            <w:r w:rsidR="00C14CF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z 201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9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 poz. 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825</w:t>
            </w:r>
            <w:r w:rsidR="00887AA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, </w:t>
            </w:r>
            <w:r w:rsidR="00887AA8" w:rsidRPr="007F011B">
              <w:rPr>
                <w:rFonts w:ascii="Times New Roman" w:hAnsi="Times New Roman"/>
                <w:spacing w:val="-2"/>
              </w:rPr>
              <w:t xml:space="preserve">z </w:t>
            </w:r>
            <w:proofErr w:type="spellStart"/>
            <w:r w:rsidR="00887AA8" w:rsidRPr="007F011B">
              <w:rPr>
                <w:rFonts w:ascii="Times New Roman" w:hAnsi="Times New Roman"/>
                <w:spacing w:val="-2"/>
              </w:rPr>
              <w:t>późn</w:t>
            </w:r>
            <w:proofErr w:type="spellEnd"/>
            <w:r w:rsidR="00887AA8" w:rsidRPr="007F011B">
              <w:rPr>
                <w:rFonts w:ascii="Times New Roman" w:hAnsi="Times New Roman"/>
                <w:spacing w:val="-2"/>
              </w:rPr>
              <w:t>. zm.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);</w:t>
            </w:r>
          </w:p>
          <w:p w14:paraId="257DB7B3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5) Prezesowi Urzędu Ochrony Danych Osobowych – art. 51 ustawy z dnia 10 maja 2018 r. o ochronie danych osobowych</w:t>
            </w:r>
            <w:r w:rsidR="00C14CF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(Dz. U. 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 2019 r.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poz. 1</w:t>
            </w:r>
            <w:r w:rsidR="00D31AE6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781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);</w:t>
            </w:r>
          </w:p>
          <w:p w14:paraId="62FD1E20" w14:textId="77777777" w:rsidR="000F18BF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6) Radzie Dialogu Społecznego – art. 2 pkt 2 ustawy z dnia 24 lipca 2015 r. o Radzie Dialogu Społecznego i innych</w:t>
            </w:r>
            <w:r w:rsidR="00C14CF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instytucjach dialogu społecznego (Dz. U. </w:t>
            </w:r>
            <w:r w:rsidR="00C14CF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 2018 r.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poz. 2</w:t>
            </w:r>
            <w:r w:rsidR="00C14CF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232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, z </w:t>
            </w:r>
            <w:proofErr w:type="spellStart"/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późn</w:t>
            </w:r>
            <w:proofErr w:type="spellEnd"/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 zm.).</w:t>
            </w:r>
          </w:p>
          <w:p w14:paraId="23799222" w14:textId="66C7C600" w:rsidR="00417828" w:rsidRPr="007F011B" w:rsidRDefault="00D31AE6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Ponadto projekt zosta</w:t>
            </w:r>
            <w:r w:rsidR="00DD5FB0">
              <w:rPr>
                <w:rFonts w:ascii="Times New Roman" w:hAnsi="Times New Roman"/>
                <w:spacing w:val="-2"/>
                <w:sz w:val="21"/>
                <w:szCs w:val="21"/>
              </w:rPr>
              <w:t>ł</w:t>
            </w:r>
            <w:r w:rsidR="00417828"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 xml:space="preserve"> przekazany do konsultacji:</w:t>
            </w:r>
          </w:p>
          <w:p w14:paraId="09E7FA65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1) wojewodom;</w:t>
            </w:r>
          </w:p>
          <w:p w14:paraId="237DB894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2) Komisji Wspólnej Rządu i Samorządu Terytorialnego;</w:t>
            </w:r>
          </w:p>
          <w:p w14:paraId="291ECEF9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3) Rzecznikowi Praw Obywatelskich;</w:t>
            </w:r>
          </w:p>
          <w:p w14:paraId="1DF6EBB1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4) Rzecznikowi Praw Dziecka;</w:t>
            </w:r>
          </w:p>
          <w:p w14:paraId="24BCB8D9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5) Rzecznikowi Małych i Średnich Przedsiębiorców;</w:t>
            </w:r>
          </w:p>
          <w:p w14:paraId="770C249C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6) Helsińskiej Fundacji Praw Człowieka;</w:t>
            </w:r>
          </w:p>
          <w:p w14:paraId="27E57553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7) Konfederacji „Lewiatan”;</w:t>
            </w:r>
          </w:p>
          <w:p w14:paraId="28D2C659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8) Business Centre Club – Związkowi Pracodawców;</w:t>
            </w:r>
          </w:p>
          <w:p w14:paraId="39100BF7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9) Pracodawcom Rzeczypospolitej Polskiej</w:t>
            </w:r>
          </w:p>
          <w:p w14:paraId="37A7CF15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10) Europejskiej Unii Małych i Średnich Przedsiębiorstw oraz Klasy Średniej UNICORN;</w:t>
            </w:r>
          </w:p>
          <w:p w14:paraId="3BC035FD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11) Międzynarodowej Organizacji do Spraw Migracji (IOM);</w:t>
            </w:r>
          </w:p>
          <w:p w14:paraId="57E41130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12) Wysokiemu Komisarzowi Narodów Zjednoczonych ds. Uchodźców (UNHCR);</w:t>
            </w:r>
          </w:p>
          <w:p w14:paraId="637435F4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13) Sekcji Praw Człowieka Uniwersyteckiej Poradni Prawnej UJ;</w:t>
            </w:r>
          </w:p>
          <w:p w14:paraId="7C46B178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 xml:space="preserve">14) Stowarzyszeniu </w:t>
            </w:r>
            <w:proofErr w:type="spellStart"/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Amnesty</w:t>
            </w:r>
            <w:proofErr w:type="spellEnd"/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 xml:space="preserve"> International;</w:t>
            </w:r>
          </w:p>
          <w:p w14:paraId="3F135502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15) Fundacji Refugee.pl;</w:t>
            </w:r>
          </w:p>
          <w:p w14:paraId="63B116D9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16) Instytutowi na Rzecz Państwa Prawa;</w:t>
            </w:r>
          </w:p>
          <w:p w14:paraId="1BC67CF8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17) Stowarzyszeniu Interwencji Prawnej;</w:t>
            </w:r>
          </w:p>
          <w:p w14:paraId="28B4EC6B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18) Centrum Pomocy Prawnej im. Haliny Nieć;</w:t>
            </w:r>
          </w:p>
          <w:p w14:paraId="3FDE92CC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lastRenderedPageBreak/>
              <w:t>19) Stowarzyszeniu „Emigrant”;</w:t>
            </w:r>
          </w:p>
          <w:p w14:paraId="58B2725A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20) Caritas Polska;</w:t>
            </w:r>
          </w:p>
          <w:p w14:paraId="50D9C328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21) Fundacji Panoptykon;</w:t>
            </w:r>
          </w:p>
          <w:p w14:paraId="4D20B4EA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22) Fundacji Ocalenie;</w:t>
            </w:r>
          </w:p>
          <w:p w14:paraId="7AC9579C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 xml:space="preserve">23) Fundacji </w:t>
            </w:r>
            <w:proofErr w:type="spellStart"/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Multiocalenie</w:t>
            </w:r>
            <w:proofErr w:type="spellEnd"/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;</w:t>
            </w:r>
          </w:p>
          <w:p w14:paraId="1932FD60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24) Fundacji Rozwoju Oprócz Granic;</w:t>
            </w:r>
          </w:p>
          <w:p w14:paraId="542F0F89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25) Fundacji Rozwoju Systemu Edukacji;</w:t>
            </w:r>
          </w:p>
          <w:p w14:paraId="2C73D56F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26) Komisji Dialogu Społecznego ds. Cudzoziemców działającej przy Centrum Komunikacji Społecznej Urzędu m.st.</w:t>
            </w:r>
          </w:p>
          <w:p w14:paraId="72CFD4EB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Warszawy;</w:t>
            </w:r>
          </w:p>
          <w:p w14:paraId="2A283428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27) Polskiej Organizacji Turystycznej;</w:t>
            </w:r>
          </w:p>
          <w:p w14:paraId="6365B4E0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28) Polskiej Izbie Turystyki;</w:t>
            </w:r>
          </w:p>
          <w:p w14:paraId="4FD8E71E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29) Polsko Brytyjskiej Izbie Handlowej;</w:t>
            </w:r>
          </w:p>
          <w:p w14:paraId="4F273966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30) Federacji Związków Pracodawców Ochrony Zdrowia „Porozumienie Zielonogórskie”;</w:t>
            </w:r>
          </w:p>
          <w:p w14:paraId="2ED1CD2E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31) Ogólnopolskiemu Porozumieniu Związków Zawodowych;</w:t>
            </w:r>
          </w:p>
          <w:p w14:paraId="41B9305B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32) Niezależnemu Samorządnemu Związkowi Zawodowemu „Solidarność”;</w:t>
            </w:r>
          </w:p>
          <w:p w14:paraId="7880FA4F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33) Forum Związków Zawodowych;</w:t>
            </w:r>
          </w:p>
          <w:p w14:paraId="070F8E15" w14:textId="77777777" w:rsidR="00417828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34) Związkowi Rzemiosła Polskiego;</w:t>
            </w:r>
          </w:p>
          <w:p w14:paraId="7ACA65F6" w14:textId="77777777" w:rsidR="002247B7" w:rsidRPr="007F011B" w:rsidRDefault="00417828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35) Związkow</w:t>
            </w:r>
            <w:r w:rsidR="00B53811"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i Przedsiębiorców i Pracodawców;</w:t>
            </w:r>
          </w:p>
          <w:p w14:paraId="41B68042" w14:textId="77777777" w:rsidR="00B53811" w:rsidRPr="007F011B" w:rsidRDefault="00B53811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37) Fundacj</w:t>
            </w:r>
            <w:r w:rsidR="00136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i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Republikańsk</w:t>
            </w:r>
            <w:r w:rsidR="00136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iej;</w:t>
            </w:r>
          </w:p>
          <w:p w14:paraId="1163416A" w14:textId="77777777" w:rsidR="00B53811" w:rsidRPr="007F011B" w:rsidRDefault="00B53811" w:rsidP="00417828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38) Federacj</w:t>
            </w:r>
            <w:r w:rsidR="00136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i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Przedsiębiorców Polskich</w:t>
            </w:r>
            <w:r w:rsidR="00136D18" w:rsidRPr="007F011B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</w:p>
          <w:p w14:paraId="6BD416DF" w14:textId="6F7D4FC6" w:rsidR="006A701A" w:rsidRDefault="00417828" w:rsidP="00DD5FB0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W celu wykonania obowiązku wynikającego z art. 5 ustawy z dnia 7 lipca 2005 r. o działalności lobbingowej w procesie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stanowienia prawa (Dz. U. z 2017 r. poz. 248) projekt ustawy zosta</w:t>
            </w:r>
            <w:r w:rsidR="00DD5FB0">
              <w:rPr>
                <w:rFonts w:ascii="Times New Roman" w:hAnsi="Times New Roman"/>
                <w:spacing w:val="-2"/>
                <w:sz w:val="21"/>
                <w:szCs w:val="21"/>
              </w:rPr>
              <w:t>ł</w:t>
            </w:r>
            <w:r w:rsidR="00BC39C0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 xml:space="preserve"> za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mieszczony na stronie Rządowego Centrum Legislacji w zakładce „Rządowy Proces</w:t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C14CF8" w:rsidRPr="007F011B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Legislacyjny”.</w:t>
            </w:r>
          </w:p>
          <w:p w14:paraId="66120436" w14:textId="77777777" w:rsidR="00B905E1" w:rsidRPr="00B905E1" w:rsidRDefault="00B905E1" w:rsidP="00B905E1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  <w:r w:rsidRPr="00B905E1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W ramach procedury lobbingowej nie zgłosił się żaden podmiot zainteresowany pracami nad projektem.</w:t>
            </w:r>
          </w:p>
          <w:p w14:paraId="356A64AE" w14:textId="05FD532F" w:rsidR="00B905E1" w:rsidRPr="00747EEE" w:rsidRDefault="00B905E1" w:rsidP="00B905E1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B905E1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Konsultacje publiczne zostały przeprowadzone w trakcie trwania uzgodnień międzyresortowych przedmiotowego projektu ustawy. Omówienie wyników konsultacji publicznych i op</w:t>
            </w:r>
            <w:r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 xml:space="preserve">iniowania </w:t>
            </w:r>
            <w:r w:rsidRPr="00B905E1"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  <w:t>zostało przedstawione w Raporcie z konsultacji i opiniowania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  <w:p w14:paraId="22863DBA" w14:textId="43CB5DA3" w:rsidR="00A5107A" w:rsidRPr="007F011B" w:rsidRDefault="00A5107A" w:rsidP="00DD5FB0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  <w:lang w:val="x-none"/>
              </w:rPr>
            </w:pPr>
          </w:p>
        </w:tc>
      </w:tr>
      <w:tr w:rsidR="007F011B" w:rsidRPr="007F011B" w14:paraId="7FDC3700" w14:textId="77777777" w:rsidTr="004F518E">
        <w:trPr>
          <w:trHeight w:val="363"/>
        </w:trPr>
        <w:tc>
          <w:tcPr>
            <w:tcW w:w="10944" w:type="dxa"/>
            <w:gridSpan w:val="27"/>
            <w:shd w:val="clear" w:color="auto" w:fill="99CCFF"/>
            <w:vAlign w:val="center"/>
          </w:tcPr>
          <w:p w14:paraId="39013F0A" w14:textId="77777777" w:rsidR="006A701A" w:rsidRPr="007F011B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lastRenderedPageBreak/>
              <w:t xml:space="preserve"> Wpływ na sektor finansów publicznych</w:t>
            </w:r>
          </w:p>
        </w:tc>
      </w:tr>
      <w:tr w:rsidR="007F011B" w:rsidRPr="007F011B" w14:paraId="77B3F307" w14:textId="77777777" w:rsidTr="004F518E">
        <w:trPr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3E36E912" w14:textId="77777777" w:rsidR="00260F33" w:rsidRPr="007F011B" w:rsidRDefault="00821717" w:rsidP="00821717">
            <w:pPr>
              <w:spacing w:before="40" w:after="40"/>
              <w:rPr>
                <w:rFonts w:ascii="Times New Roman" w:hAnsi="Times New Roman"/>
                <w:i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(ceny </w:t>
            </w:r>
            <w:r w:rsidR="00CF5F4F" w:rsidRPr="007F011B">
              <w:rPr>
                <w:rFonts w:ascii="Times New Roman" w:hAnsi="Times New Roman"/>
                <w:sz w:val="21"/>
                <w:szCs w:val="21"/>
              </w:rPr>
              <w:t>stałe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z …… r.)</w:t>
            </w:r>
          </w:p>
        </w:tc>
        <w:tc>
          <w:tcPr>
            <w:tcW w:w="8250" w:type="dxa"/>
            <w:gridSpan w:val="23"/>
            <w:shd w:val="clear" w:color="auto" w:fill="FFFFFF"/>
          </w:tcPr>
          <w:p w14:paraId="5B982AEF" w14:textId="77777777" w:rsidR="00260F33" w:rsidRPr="007F011B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Skutki w okresie 10 lat od wejścia w życie zmian [</w:t>
            </w:r>
            <w:r w:rsidR="00A056CB" w:rsidRPr="007F011B">
              <w:rPr>
                <w:rFonts w:ascii="Times New Roman" w:hAnsi="Times New Roman"/>
                <w:sz w:val="21"/>
                <w:szCs w:val="21"/>
              </w:rPr>
              <w:t xml:space="preserve">mln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zł]</w:t>
            </w:r>
          </w:p>
        </w:tc>
      </w:tr>
      <w:tr w:rsidR="007F011B" w:rsidRPr="007F011B" w14:paraId="672CE66F" w14:textId="77777777" w:rsidTr="004F518E">
        <w:trPr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4D7F5C70" w14:textId="77777777" w:rsidR="004F114A" w:rsidRPr="007F011B" w:rsidRDefault="004F114A" w:rsidP="00A52ADB">
            <w:pPr>
              <w:spacing w:before="40" w:after="40"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FFFFFF"/>
          </w:tcPr>
          <w:p w14:paraId="2A0A0922" w14:textId="36290792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E0D2C06" w14:textId="7350FDF3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A5ED7BE" w14:textId="734229E9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3876DA3" w14:textId="473F6C58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D85E958" w14:textId="71D3A9DA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555BAB8" w14:textId="4FAA82F5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74E9184E" w14:textId="2BF4ADE6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D566518" w14:textId="7DFAAD46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6710DD4" w14:textId="4C0B5E6E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A2C5C21" w14:textId="186E4F54" w:rsidR="004F114A" w:rsidRPr="007F011B" w:rsidRDefault="004F114A" w:rsidP="001D6A3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62" w:type="dxa"/>
            <w:shd w:val="clear" w:color="auto" w:fill="FFFFFF"/>
          </w:tcPr>
          <w:p w14:paraId="0094CA98" w14:textId="77777777" w:rsidR="004F114A" w:rsidRPr="007F011B" w:rsidRDefault="004F114A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Łącznie (0-10)</w:t>
            </w:r>
          </w:p>
        </w:tc>
      </w:tr>
      <w:tr w:rsidR="007F011B" w:rsidRPr="007F011B" w14:paraId="75D6F023" w14:textId="77777777" w:rsidTr="004F518E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0911986" w14:textId="77777777" w:rsidR="004F114A" w:rsidRPr="007F011B" w:rsidRDefault="004F114A" w:rsidP="00C53F2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b/>
                <w:sz w:val="18"/>
                <w:szCs w:val="18"/>
              </w:rPr>
              <w:t>Dochody ogółem</w:t>
            </w:r>
          </w:p>
        </w:tc>
        <w:tc>
          <w:tcPr>
            <w:tcW w:w="709" w:type="dxa"/>
            <w:shd w:val="clear" w:color="auto" w:fill="FFFFFF"/>
          </w:tcPr>
          <w:p w14:paraId="198D0FE2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3A721A6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DC2C142" w14:textId="77777777" w:rsidR="004F114A" w:rsidRPr="007F011B" w:rsidRDefault="004F114A" w:rsidP="006228C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37CE6A8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9A9812A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6CD02B2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61ED49B8" w14:textId="77777777" w:rsidR="004F114A" w:rsidRPr="007F011B" w:rsidRDefault="004F114A" w:rsidP="006228C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731F6A0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2CF4FB7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631CF0F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232FA4ED" w14:textId="77777777" w:rsidR="004F114A" w:rsidRPr="007F011B" w:rsidRDefault="004F114A" w:rsidP="006228CD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-</w:t>
            </w:r>
          </w:p>
        </w:tc>
      </w:tr>
      <w:tr w:rsidR="007F011B" w:rsidRPr="007F011B" w14:paraId="779A3095" w14:textId="77777777" w:rsidTr="004F518E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1C758F6" w14:textId="77777777" w:rsidR="004F114A" w:rsidRPr="007F011B" w:rsidRDefault="004F114A" w:rsidP="00C53F2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budżet państwa</w:t>
            </w:r>
          </w:p>
        </w:tc>
        <w:tc>
          <w:tcPr>
            <w:tcW w:w="709" w:type="dxa"/>
            <w:shd w:val="clear" w:color="auto" w:fill="FFFFFF"/>
          </w:tcPr>
          <w:p w14:paraId="67ACC515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A11B029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3A00690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D288AD7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76353B7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88F65D4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40424165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8D38F31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72919EC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ED46BBD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5A2925C1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pacing w:val="-2"/>
                <w:sz w:val="16"/>
                <w:szCs w:val="16"/>
              </w:rPr>
              <w:t>-</w:t>
            </w:r>
          </w:p>
        </w:tc>
      </w:tr>
      <w:tr w:rsidR="007F011B" w:rsidRPr="007F011B" w14:paraId="74D8345E" w14:textId="77777777" w:rsidTr="004F518E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146AB4D" w14:textId="77777777" w:rsidR="004F114A" w:rsidRPr="00747EEE" w:rsidRDefault="004F114A" w:rsidP="00C53F2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47EEE">
              <w:rPr>
                <w:rFonts w:ascii="Times New Roman" w:hAnsi="Times New Roman"/>
                <w:sz w:val="18"/>
                <w:szCs w:val="18"/>
              </w:rPr>
              <w:t>JST</w:t>
            </w:r>
          </w:p>
        </w:tc>
        <w:tc>
          <w:tcPr>
            <w:tcW w:w="709" w:type="dxa"/>
            <w:shd w:val="clear" w:color="auto" w:fill="FFFFFF"/>
          </w:tcPr>
          <w:p w14:paraId="3F26ADD2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9E72D13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4B91F4C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CF287F2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F560084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15EAB3C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17DBEA20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AB1927B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94D761D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BB912EB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48335888" w14:textId="77777777" w:rsidR="004F114A" w:rsidRPr="00747EEE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EE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F011B" w:rsidRPr="007F011B" w14:paraId="66FF58F2" w14:textId="77777777" w:rsidTr="004F518E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55DE79F" w14:textId="77777777" w:rsidR="004F114A" w:rsidRPr="007F011B" w:rsidRDefault="004F114A" w:rsidP="00C53F2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pozostałe jednostki (oddzielnie)</w:t>
            </w:r>
          </w:p>
        </w:tc>
        <w:tc>
          <w:tcPr>
            <w:tcW w:w="709" w:type="dxa"/>
            <w:shd w:val="clear" w:color="auto" w:fill="FFFFFF"/>
          </w:tcPr>
          <w:p w14:paraId="1E8B80C7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8D806BE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287868F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441E620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F265315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C4E3755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2FAD5E2B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9026A7E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CBC3991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BF948B1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284B2CB8" w14:textId="77777777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F011B" w:rsidRPr="007F011B" w14:paraId="01411FF3" w14:textId="77777777" w:rsidTr="004F518E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D042E67" w14:textId="77777777" w:rsidR="004F114A" w:rsidRPr="007F011B" w:rsidRDefault="004F114A" w:rsidP="00C53F2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b/>
                <w:sz w:val="18"/>
                <w:szCs w:val="18"/>
              </w:rPr>
              <w:t>Wydatki ogółem</w:t>
            </w:r>
          </w:p>
        </w:tc>
        <w:tc>
          <w:tcPr>
            <w:tcW w:w="709" w:type="dxa"/>
            <w:shd w:val="clear" w:color="auto" w:fill="FFFFFF"/>
          </w:tcPr>
          <w:p w14:paraId="5475143C" w14:textId="766AC8FE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4,61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2A963484" w14:textId="6329A7FA" w:rsidR="004F114A" w:rsidRPr="007F011B" w:rsidRDefault="004F114A" w:rsidP="0079387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 0, 56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F6962F3" w14:textId="0E3DD5BD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0,57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905EA8D" w14:textId="506FDA7B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0,59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304211B" w14:textId="015E5DE5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076C247" w14:textId="27422006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0,62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170803D9" w14:textId="44C20C50" w:rsidR="004F114A" w:rsidRPr="007F011B" w:rsidRDefault="004F114A" w:rsidP="00E8372F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9885E98" w14:textId="3175B7FC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FA1C0FC" w14:textId="7EDB2B45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0,67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B758699" w14:textId="07A84E68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0,68</w:t>
            </w:r>
          </w:p>
        </w:tc>
        <w:tc>
          <w:tcPr>
            <w:tcW w:w="1162" w:type="dxa"/>
            <w:shd w:val="clear" w:color="auto" w:fill="FFFFFF"/>
          </w:tcPr>
          <w:p w14:paraId="71D6A778" w14:textId="3315E35A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10,18</w:t>
            </w:r>
          </w:p>
          <w:p w14:paraId="22145658" w14:textId="2D32693F" w:rsidR="004F114A" w:rsidRPr="007F011B" w:rsidRDefault="004F114A" w:rsidP="004D2A3D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011B" w:rsidRPr="007F011B" w14:paraId="2E63116D" w14:textId="77777777" w:rsidTr="004F518E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A7366AC" w14:textId="77777777" w:rsidR="004F114A" w:rsidRPr="007F011B" w:rsidRDefault="004F114A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budżet państwa</w:t>
            </w:r>
          </w:p>
          <w:p w14:paraId="7836B391" w14:textId="77777777" w:rsidR="004F114A" w:rsidRPr="007F011B" w:rsidRDefault="004F114A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modyfikacja Systemu Pobyt</w:t>
            </w:r>
          </w:p>
        </w:tc>
        <w:tc>
          <w:tcPr>
            <w:tcW w:w="709" w:type="dxa"/>
            <w:shd w:val="clear" w:color="auto" w:fill="FFFFFF"/>
          </w:tcPr>
          <w:p w14:paraId="6593BA3C" w14:textId="618B54FA" w:rsidR="004F114A" w:rsidRPr="007F011B" w:rsidRDefault="004F114A" w:rsidP="00B161B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F5C73AC" w14:textId="77777777" w:rsidR="004F114A" w:rsidRPr="007F011B" w:rsidRDefault="004F114A" w:rsidP="00B702A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8CE928F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37D94234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4CD9EF5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F57DD37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68CE7A5E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4395DDC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7D2A879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79604D9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0478EE85" w14:textId="01F8F18D" w:rsidR="004F114A" w:rsidRPr="007F011B" w:rsidRDefault="004F114A" w:rsidP="00B161B9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1,00 </w:t>
            </w:r>
          </w:p>
        </w:tc>
      </w:tr>
      <w:tr w:rsidR="007F011B" w:rsidRPr="007F011B" w14:paraId="1A7CECE2" w14:textId="77777777" w:rsidTr="004F518E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9A0436A" w14:textId="77777777" w:rsidR="004F114A" w:rsidRPr="007F011B" w:rsidRDefault="004F114A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budżet państwa</w:t>
            </w:r>
          </w:p>
          <w:p w14:paraId="0446F18F" w14:textId="588A27B1" w:rsidR="004F114A" w:rsidRPr="007F011B" w:rsidRDefault="004F114A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koszty dostosowania systemu</w:t>
            </w:r>
            <w:r w:rsidRPr="007F011B">
              <w:rPr>
                <w:sz w:val="18"/>
                <w:szCs w:val="18"/>
              </w:rPr>
              <w:t xml:space="preserve"> </w:t>
            </w:r>
            <w:r w:rsidRPr="007F011B">
              <w:rPr>
                <w:rFonts w:ascii="Times New Roman" w:hAnsi="Times New Roman"/>
                <w:sz w:val="18"/>
                <w:szCs w:val="18"/>
              </w:rPr>
              <w:t>Centrum Personalizacji Dokumentów MSWiA</w:t>
            </w:r>
          </w:p>
        </w:tc>
        <w:tc>
          <w:tcPr>
            <w:tcW w:w="709" w:type="dxa"/>
            <w:shd w:val="clear" w:color="auto" w:fill="FFFFFF"/>
          </w:tcPr>
          <w:p w14:paraId="30ADA955" w14:textId="6C63EB22" w:rsidR="004F114A" w:rsidRPr="007F011B" w:rsidRDefault="004F114A" w:rsidP="00B161B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3,1 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145E611" w14:textId="794E4386" w:rsidR="004F114A" w:rsidRPr="007F011B" w:rsidRDefault="004F114A" w:rsidP="00C23A2F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197D8E4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9687DF0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8B45B98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A2AB659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53A27642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A9F9A9F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7FB74AA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4B792BA" w14:textId="77777777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24E9054C" w14:textId="72661820" w:rsidR="004F114A" w:rsidRPr="007F011B" w:rsidRDefault="004F114A" w:rsidP="00B161B9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3,1 </w:t>
            </w:r>
          </w:p>
        </w:tc>
      </w:tr>
      <w:tr w:rsidR="007F011B" w:rsidRPr="007F011B" w14:paraId="050E6215" w14:textId="77777777" w:rsidTr="004F518E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5985D63" w14:textId="77777777" w:rsidR="004F114A" w:rsidRPr="007F011B" w:rsidRDefault="004F114A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budżet państwa</w:t>
            </w:r>
          </w:p>
          <w:p w14:paraId="01437D27" w14:textId="1AF7D8E4" w:rsidR="004F114A" w:rsidRPr="007F011B" w:rsidRDefault="004F114A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koszty wyprodukowania 100 000 sztuk blankietów zaświadczenia o zarejestrowaniu pobytu obywatela UE, dokumentu potwierdzającego prawo stałego pobytu, karty pobytowej oraz karty stałego pobytu</w:t>
            </w:r>
          </w:p>
        </w:tc>
        <w:tc>
          <w:tcPr>
            <w:tcW w:w="709" w:type="dxa"/>
            <w:shd w:val="clear" w:color="auto" w:fill="FFFFFF"/>
          </w:tcPr>
          <w:p w14:paraId="15250103" w14:textId="6D3F3AA2" w:rsidR="004F114A" w:rsidRPr="007F011B" w:rsidRDefault="004F114A" w:rsidP="004F518E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0,20 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7A47A47" w14:textId="2E66C57D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0,56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0BF3BEE4" w14:textId="6501715B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0,57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20EED864" w14:textId="0D1A6511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0,59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5F04A93" w14:textId="36A94CA1" w:rsidR="004F114A" w:rsidRPr="007F011B" w:rsidRDefault="004F114A" w:rsidP="00B161B9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E699F80" w14:textId="118A35D1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0,62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6518D0E2" w14:textId="2081B451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41250C9" w14:textId="1949C911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DB1EAF6" w14:textId="38790378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0,67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D8FC532" w14:textId="7D640F55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0,68</w:t>
            </w:r>
          </w:p>
        </w:tc>
        <w:tc>
          <w:tcPr>
            <w:tcW w:w="1162" w:type="dxa"/>
            <w:shd w:val="clear" w:color="auto" w:fill="FFFFFF"/>
          </w:tcPr>
          <w:p w14:paraId="6AF646FE" w14:textId="28C5A85F" w:rsidR="004F114A" w:rsidRPr="007F011B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5,77 </w:t>
            </w:r>
          </w:p>
        </w:tc>
      </w:tr>
      <w:tr w:rsidR="007F011B" w:rsidRPr="007F011B" w14:paraId="0EDEB42F" w14:textId="77777777" w:rsidTr="004F518E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207C1E1" w14:textId="77777777" w:rsidR="004F114A" w:rsidRPr="007F011B" w:rsidRDefault="004F114A" w:rsidP="008A671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budżet państwa – koszt</w:t>
            </w:r>
          </w:p>
          <w:p w14:paraId="04C92925" w14:textId="41D685F7" w:rsidR="004F114A" w:rsidRPr="007F011B" w:rsidRDefault="004F114A" w:rsidP="000B2DA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zakupu zaświadczeń wydawanych obywatelom Zjednoczonego Królestwa i członkom ich rodzin potwierdzających</w:t>
            </w:r>
            <w:r w:rsidRPr="007F011B">
              <w:t xml:space="preserve"> </w:t>
            </w:r>
            <w:r w:rsidRPr="007F011B">
              <w:rPr>
                <w:rFonts w:ascii="Times New Roman" w:hAnsi="Times New Roman"/>
                <w:sz w:val="18"/>
                <w:szCs w:val="18"/>
              </w:rPr>
              <w:t>złożenie wniosku o wydanie nowego zaświadczenia o zarejestrowaniu pobytu</w:t>
            </w:r>
            <w:r w:rsidRPr="007F011B">
              <w:t xml:space="preserve">, </w:t>
            </w:r>
            <w:r w:rsidRPr="007F011B">
              <w:rPr>
                <w:rFonts w:ascii="Times New Roman" w:hAnsi="Times New Roman"/>
                <w:sz w:val="18"/>
                <w:szCs w:val="18"/>
              </w:rPr>
              <w:t xml:space="preserve">karty pobytowej, dokumentu potwierdzającego prawo stałego pobytu lub karty stałego pobytu, lub złożenia wniosku o zarejestrowanie pobytu lub wydanie karty pobytowej, dokumentu potwierdzającego </w:t>
            </w:r>
            <w:r w:rsidRPr="007F011B">
              <w:rPr>
                <w:rFonts w:ascii="Times New Roman" w:hAnsi="Times New Roman"/>
                <w:sz w:val="18"/>
                <w:szCs w:val="18"/>
              </w:rPr>
              <w:lastRenderedPageBreak/>
              <w:t>prawo stałego pobytu lub karty stałego pobytu</w:t>
            </w:r>
          </w:p>
        </w:tc>
        <w:tc>
          <w:tcPr>
            <w:tcW w:w="709" w:type="dxa"/>
            <w:shd w:val="clear" w:color="auto" w:fill="FFFFFF"/>
          </w:tcPr>
          <w:p w14:paraId="343C31C8" w14:textId="700DC333" w:rsidR="004F114A" w:rsidRPr="007F011B" w:rsidRDefault="004F114A" w:rsidP="00B161B9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lastRenderedPageBreak/>
              <w:t>0,08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44E881F" w14:textId="395A5E3B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3C8C528" w14:textId="57BEF392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8407CB3" w14:textId="4721D857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CFCD1D1" w14:textId="27EBBCDE" w:rsidR="004F114A" w:rsidRPr="007F011B" w:rsidRDefault="004F114A" w:rsidP="00B161B9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A0A2341" w14:textId="0D7467A9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01F756C6" w14:textId="3F552147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8C89B76" w14:textId="61DC57F6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300B3D2" w14:textId="5FDD5B22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CFF415E" w14:textId="6E36AF99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28C45431" w14:textId="1EE8879C" w:rsidR="004F114A" w:rsidRPr="007F011B" w:rsidDel="008237DE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0,08</w:t>
            </w:r>
          </w:p>
        </w:tc>
      </w:tr>
      <w:tr w:rsidR="007F011B" w:rsidRPr="007F011B" w14:paraId="49E1BFE9" w14:textId="77777777" w:rsidTr="004F518E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F164C70" w14:textId="77777777" w:rsidR="004F114A" w:rsidRPr="007F011B" w:rsidRDefault="004F114A" w:rsidP="008A671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budżet państwa – niezbędne</w:t>
            </w:r>
          </w:p>
          <w:p w14:paraId="657F2593" w14:textId="77777777" w:rsidR="004F114A" w:rsidRPr="007F011B" w:rsidRDefault="004F114A" w:rsidP="008A671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zmiany w systemie</w:t>
            </w:r>
          </w:p>
          <w:p w14:paraId="59D15DC7" w14:textId="77777777" w:rsidR="004F114A" w:rsidRPr="007F011B" w:rsidRDefault="004F114A" w:rsidP="008A671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teleinformatycznym</w:t>
            </w:r>
          </w:p>
          <w:p w14:paraId="50079247" w14:textId="77777777" w:rsidR="004F114A" w:rsidRPr="007F011B" w:rsidRDefault="004F114A" w:rsidP="008A671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obsługującym krajowy zbiór</w:t>
            </w:r>
          </w:p>
          <w:p w14:paraId="4D8398B7" w14:textId="77777777" w:rsidR="004F114A" w:rsidRPr="007F011B" w:rsidRDefault="004F114A" w:rsidP="008A671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rejestrów, ewidencji i wykazu</w:t>
            </w:r>
          </w:p>
          <w:p w14:paraId="7BA1FC97" w14:textId="08AE475D" w:rsidR="004F114A" w:rsidRPr="007F011B" w:rsidRDefault="004F114A" w:rsidP="008A671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 xml:space="preserve">w sprawach cudzoziemców w celu wydawania ww. zaświadczeń </w:t>
            </w:r>
          </w:p>
        </w:tc>
        <w:tc>
          <w:tcPr>
            <w:tcW w:w="709" w:type="dxa"/>
            <w:shd w:val="clear" w:color="auto" w:fill="FFFFFF"/>
          </w:tcPr>
          <w:p w14:paraId="10642C29" w14:textId="272A7F0F" w:rsidR="004F114A" w:rsidRPr="007F011B" w:rsidRDefault="004F114A" w:rsidP="00B161B9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0,23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DFEEBBF" w14:textId="531DA462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7A6E9D5" w14:textId="4858188B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9657C81" w14:textId="4E33576F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5661877" w14:textId="7F620B5A" w:rsidR="004F114A" w:rsidRPr="007F011B" w:rsidRDefault="004F114A" w:rsidP="00B161B9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8C5382B" w14:textId="4B0B1C2E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1108802C" w14:textId="4E39886A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E29D474" w14:textId="459B8BCD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5C83004" w14:textId="01794889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BE70D68" w14:textId="59A7DAB2" w:rsidR="004F114A" w:rsidRPr="007F011B" w:rsidRDefault="004F114A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5677B82F" w14:textId="1C2692DC" w:rsidR="004F114A" w:rsidRPr="007F011B" w:rsidDel="008237DE" w:rsidRDefault="004F114A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0,23</w:t>
            </w:r>
          </w:p>
        </w:tc>
      </w:tr>
      <w:tr w:rsidR="007F011B" w:rsidRPr="007F011B" w14:paraId="5BB7B399" w14:textId="77777777" w:rsidTr="004F518E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E5D2819" w14:textId="7DDF4CA9" w:rsidR="00C2191B" w:rsidRPr="007F011B" w:rsidRDefault="00C2191B" w:rsidP="00B702A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</w:tcPr>
          <w:p w14:paraId="56D84722" w14:textId="1DBEA88A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422DCD86" w14:textId="6986695F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72327647" w14:textId="329D812D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14F07184" w14:textId="64C958B3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673F81D5" w14:textId="685FD1DA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0A64C104" w14:textId="4C9872FB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14:paraId="564D7ADD" w14:textId="0D3495BA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56F43E7" w14:textId="60986AC5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88CEA08" w14:textId="48102C71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60FB0B26" w14:textId="4ACF78AF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62" w:type="dxa"/>
            <w:shd w:val="clear" w:color="auto" w:fill="FFFFFF"/>
          </w:tcPr>
          <w:p w14:paraId="63234916" w14:textId="61B49300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011B" w:rsidRPr="007F011B" w14:paraId="5C8BA83A" w14:textId="77777777" w:rsidTr="004F518E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171CFEC" w14:textId="77777777" w:rsidR="00C2191B" w:rsidRPr="007F011B" w:rsidRDefault="00C2191B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b/>
                <w:sz w:val="18"/>
                <w:szCs w:val="18"/>
              </w:rPr>
              <w:t>Saldo ogółem</w:t>
            </w:r>
          </w:p>
        </w:tc>
        <w:tc>
          <w:tcPr>
            <w:tcW w:w="709" w:type="dxa"/>
            <w:shd w:val="clear" w:color="auto" w:fill="FFFFFF"/>
          </w:tcPr>
          <w:p w14:paraId="76425451" w14:textId="75C67B31" w:rsidR="00C2191B" w:rsidRPr="007F011B" w:rsidRDefault="00C2191B" w:rsidP="000B2DAE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-4,61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9A9A17B" w14:textId="1B0BE6BA" w:rsidR="00C2191B" w:rsidRPr="007F011B" w:rsidRDefault="00C2191B" w:rsidP="006A407B">
            <w:pPr>
              <w:spacing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- 0,56 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BA4E7D7" w14:textId="549201EF" w:rsidR="00C2191B" w:rsidRPr="007F011B" w:rsidRDefault="00C2191B" w:rsidP="00CA2B56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- 0,57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05EFC1E" w14:textId="30C8D074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- 0,59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6FB0303" w14:textId="107A2277" w:rsidR="00C2191B" w:rsidRPr="007F011B" w:rsidRDefault="00C2191B" w:rsidP="00CA2B56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- 0,60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6AF4428" w14:textId="6660C395" w:rsidR="00C2191B" w:rsidRPr="007F011B" w:rsidRDefault="00C2191B" w:rsidP="00CA2B56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- 0,62 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6CD6A9F7" w14:textId="45AF391F" w:rsidR="00C2191B" w:rsidRPr="007F011B" w:rsidRDefault="00C2191B" w:rsidP="00CA2B56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- 0,63 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243571B" w14:textId="73306459" w:rsidR="00C2191B" w:rsidRPr="007F011B" w:rsidRDefault="00C2191B" w:rsidP="00CA2B56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- 0,65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C714959" w14:textId="5421B4F2" w:rsidR="00C2191B" w:rsidRPr="007F011B" w:rsidRDefault="00C2191B" w:rsidP="00CA2B56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 - 0,67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117D16C" w14:textId="12837D49" w:rsidR="00C2191B" w:rsidRPr="007F011B" w:rsidRDefault="00C2191B" w:rsidP="006A407B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>- 0,68</w:t>
            </w:r>
          </w:p>
        </w:tc>
        <w:tc>
          <w:tcPr>
            <w:tcW w:w="1162" w:type="dxa"/>
            <w:shd w:val="clear" w:color="auto" w:fill="FFFFFF"/>
          </w:tcPr>
          <w:p w14:paraId="732E915E" w14:textId="389DCD31" w:rsidR="00C2191B" w:rsidRPr="007F011B" w:rsidRDefault="00C2191B" w:rsidP="004F114A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F011B">
              <w:rPr>
                <w:rFonts w:ascii="Times New Roman" w:hAnsi="Times New Roman"/>
                <w:sz w:val="14"/>
                <w:szCs w:val="14"/>
              </w:rPr>
              <w:t xml:space="preserve">- 10, 18  </w:t>
            </w:r>
          </w:p>
        </w:tc>
      </w:tr>
      <w:tr w:rsidR="007F011B" w:rsidRPr="007F011B" w14:paraId="36E9CD71" w14:textId="77777777" w:rsidTr="004F518E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4C19441" w14:textId="77777777" w:rsidR="00C2191B" w:rsidRPr="007F011B" w:rsidRDefault="00C2191B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budżet państwa</w:t>
            </w:r>
          </w:p>
        </w:tc>
        <w:tc>
          <w:tcPr>
            <w:tcW w:w="709" w:type="dxa"/>
            <w:shd w:val="clear" w:color="auto" w:fill="FFFFFF"/>
          </w:tcPr>
          <w:p w14:paraId="416183FD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5115CD9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1623C5CE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568228F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702C707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09A33C9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36C14A23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045E953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514D478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B27C5BB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1E1F6EC9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F011B" w:rsidRPr="007F011B" w14:paraId="2CED3DCA" w14:textId="77777777" w:rsidTr="004F518E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27B3946" w14:textId="77777777" w:rsidR="00C2191B" w:rsidRPr="007F011B" w:rsidRDefault="00C2191B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JST</w:t>
            </w:r>
          </w:p>
        </w:tc>
        <w:tc>
          <w:tcPr>
            <w:tcW w:w="709" w:type="dxa"/>
            <w:shd w:val="clear" w:color="auto" w:fill="FFFFFF"/>
          </w:tcPr>
          <w:p w14:paraId="0C510860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BBB0B77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1B39DBB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2B71668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4E356D8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08765BF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155742F4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FB05A24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B7EE634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E522B8A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69EFBB31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F011B" w:rsidRPr="007F011B" w14:paraId="47EE66EE" w14:textId="77777777" w:rsidTr="004F518E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4683E69" w14:textId="77777777" w:rsidR="00C2191B" w:rsidRPr="007F011B" w:rsidRDefault="00C2191B" w:rsidP="0050012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pozostałe jednostki (oddzielnie)</w:t>
            </w:r>
          </w:p>
        </w:tc>
        <w:tc>
          <w:tcPr>
            <w:tcW w:w="709" w:type="dxa"/>
            <w:shd w:val="clear" w:color="auto" w:fill="FFFFFF"/>
          </w:tcPr>
          <w:p w14:paraId="4E2EF552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A8626F3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07912228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5D7FEF8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A5D50E7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8F57B78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5C8E845B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2788820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50B1123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49D3990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shd w:val="clear" w:color="auto" w:fill="FFFFFF"/>
          </w:tcPr>
          <w:p w14:paraId="2099D0DD" w14:textId="77777777" w:rsidR="00C2191B" w:rsidRPr="007F011B" w:rsidRDefault="00C2191B" w:rsidP="0050012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F011B" w:rsidRPr="007F011B" w14:paraId="7DF1B313" w14:textId="77777777" w:rsidTr="004F518E">
        <w:trPr>
          <w:trHeight w:val="348"/>
        </w:trPr>
        <w:tc>
          <w:tcPr>
            <w:tcW w:w="2229" w:type="dxa"/>
            <w:gridSpan w:val="2"/>
            <w:shd w:val="clear" w:color="auto" w:fill="FFFFFF"/>
            <w:vAlign w:val="center"/>
          </w:tcPr>
          <w:p w14:paraId="1FEF9E97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715" w:type="dxa"/>
            <w:gridSpan w:val="25"/>
            <w:shd w:val="clear" w:color="auto" w:fill="FFFFFF"/>
            <w:vAlign w:val="center"/>
          </w:tcPr>
          <w:p w14:paraId="46A3D06F" w14:textId="77777777" w:rsidR="00500121" w:rsidRPr="007F011B" w:rsidRDefault="00500121" w:rsidP="0050012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Budżet państwa</w:t>
            </w:r>
          </w:p>
          <w:p w14:paraId="15801A67" w14:textId="77777777" w:rsidR="00500121" w:rsidRPr="007F011B" w:rsidRDefault="00500121" w:rsidP="00500121">
            <w:pPr>
              <w:spacing w:line="240" w:lineRule="auto"/>
              <w:jc w:val="both"/>
              <w:rPr>
                <w:rFonts w:ascii="Times New Roman" w:eastAsia="MS Mincho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Budżet państwa</w:t>
            </w:r>
            <w:r w:rsidRPr="007F011B">
              <w:rPr>
                <w:rFonts w:ascii="Times New Roman" w:eastAsia="MS Mincho" w:hAnsi="Times New Roman"/>
                <w:sz w:val="21"/>
                <w:szCs w:val="21"/>
              </w:rPr>
              <w:t xml:space="preserve"> w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części 42 – Sprawy wewnętrzne, której dysponentem jest minister właściwy do spraw wewnętrznych</w:t>
            </w:r>
            <w:r w:rsidRPr="007F011B">
              <w:rPr>
                <w:rFonts w:ascii="Times New Roman" w:eastAsia="MS Mincho" w:hAnsi="Times New Roman"/>
                <w:sz w:val="21"/>
                <w:szCs w:val="21"/>
              </w:rPr>
              <w:t>, ze środków będących w dyspozycji Szefa Urzędu do Spraw Cudzoziemców</w:t>
            </w:r>
          </w:p>
          <w:p w14:paraId="11600155" w14:textId="77777777" w:rsidR="00500121" w:rsidRPr="007F011B" w:rsidRDefault="00500121" w:rsidP="0050012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Budżet państwa</w:t>
            </w:r>
            <w:r w:rsidRPr="007F011B">
              <w:rPr>
                <w:rFonts w:ascii="Times New Roman" w:eastAsia="MS Mincho" w:hAnsi="Times New Roman"/>
                <w:sz w:val="21"/>
                <w:szCs w:val="21"/>
              </w:rPr>
              <w:t xml:space="preserve"> w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części 42 – Sprawy wewnętrzne, której dysponentem jest minister właściwy do spraw wewnętrznych</w:t>
            </w:r>
            <w:r w:rsidRPr="007F011B">
              <w:rPr>
                <w:rFonts w:ascii="Times New Roman" w:eastAsia="MS Mincho" w:hAnsi="Times New Roman"/>
                <w:sz w:val="21"/>
                <w:szCs w:val="21"/>
              </w:rPr>
              <w:t>, ze środków będących w dyspozycji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Centrum Personalizacji Dokumentów MSW</w:t>
            </w:r>
            <w:r w:rsidR="00093154" w:rsidRPr="007F011B">
              <w:rPr>
                <w:rFonts w:ascii="Times New Roman" w:hAnsi="Times New Roman"/>
                <w:sz w:val="21"/>
                <w:szCs w:val="21"/>
              </w:rPr>
              <w:t>iA</w:t>
            </w:r>
            <w:r w:rsidR="0041119D" w:rsidRPr="007F011B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6E81A05B" w14:textId="0456CD5E" w:rsidR="00673117" w:rsidRPr="007F011B" w:rsidRDefault="00673117" w:rsidP="00BC39C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t xml:space="preserve">Powyższe koszty nie będą wymagały zwiększenia limitów </w:t>
            </w:r>
            <w:r w:rsidR="00EF1563" w:rsidRPr="007F011B">
              <w:rPr>
                <w:rFonts w:ascii="Times New Roman" w:hAnsi="Times New Roman"/>
              </w:rPr>
              <w:t xml:space="preserve">wydatków </w:t>
            </w:r>
            <w:r w:rsidRPr="007F011B">
              <w:rPr>
                <w:rFonts w:ascii="Times New Roman" w:hAnsi="Times New Roman"/>
              </w:rPr>
              <w:t>w ww. części budżetu państwa</w:t>
            </w:r>
            <w:r w:rsidR="00BC39C0">
              <w:rPr>
                <w:rFonts w:ascii="Times New Roman" w:hAnsi="Times New Roman"/>
              </w:rPr>
              <w:t>.</w:t>
            </w:r>
          </w:p>
        </w:tc>
      </w:tr>
      <w:tr w:rsidR="007F011B" w:rsidRPr="007F011B" w14:paraId="275B257B" w14:textId="77777777" w:rsidTr="004F518E">
        <w:trPr>
          <w:trHeight w:val="279"/>
        </w:trPr>
        <w:tc>
          <w:tcPr>
            <w:tcW w:w="2229" w:type="dxa"/>
            <w:gridSpan w:val="2"/>
            <w:shd w:val="clear" w:color="auto" w:fill="FFFFFF"/>
          </w:tcPr>
          <w:p w14:paraId="3C6FCF06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715" w:type="dxa"/>
            <w:gridSpan w:val="25"/>
            <w:shd w:val="clear" w:color="auto" w:fill="FFFFFF"/>
          </w:tcPr>
          <w:p w14:paraId="2865DB0B" w14:textId="77777777" w:rsidR="00500121" w:rsidRPr="007F011B" w:rsidRDefault="00500121" w:rsidP="0050012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Wskazanie źródeł danych i przyjętych do obliczeń założeń</w:t>
            </w:r>
          </w:p>
          <w:p w14:paraId="669101DF" w14:textId="20E6B7BA" w:rsidR="00500121" w:rsidRPr="007F011B" w:rsidRDefault="00500121" w:rsidP="0050012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Skutki </w:t>
            </w:r>
            <w:r w:rsidR="00B81722" w:rsidRPr="007F011B">
              <w:rPr>
                <w:rFonts w:ascii="Times New Roman" w:hAnsi="Times New Roman"/>
                <w:sz w:val="21"/>
                <w:szCs w:val="21"/>
              </w:rPr>
              <w:t xml:space="preserve">finansowe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oszacowano na podstawie „Wytycznych dotyczących stosowania jednolitych wskaźników makroekonomicznych będących podstawą oszacowania skutków finansowych projektowanych ustaw. Aktualizacja – </w:t>
            </w:r>
            <w:r w:rsidR="00CA2B56" w:rsidRPr="007F011B">
              <w:rPr>
                <w:rFonts w:ascii="Times New Roman" w:hAnsi="Times New Roman"/>
                <w:sz w:val="21"/>
                <w:szCs w:val="21"/>
              </w:rPr>
              <w:t>maj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201</w:t>
            </w:r>
            <w:r w:rsidR="00CA2B56" w:rsidRPr="007F011B">
              <w:rPr>
                <w:rFonts w:ascii="Times New Roman" w:hAnsi="Times New Roman"/>
                <w:sz w:val="21"/>
                <w:szCs w:val="21"/>
              </w:rPr>
              <w:t>9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r.”. Podstawą szacunku były informacje przedstawione przez komórki organizacyjne Urzędu do Spraw Cudzoziemców oraz Centrum</w:t>
            </w:r>
            <w:r w:rsidR="00273D5D" w:rsidRPr="007F011B">
              <w:rPr>
                <w:rFonts w:ascii="Times New Roman" w:hAnsi="Times New Roman"/>
                <w:sz w:val="21"/>
                <w:szCs w:val="21"/>
              </w:rPr>
              <w:t xml:space="preserve"> Personalizacji Dokumentów MSW</w:t>
            </w:r>
            <w:r w:rsidR="00037FE9" w:rsidRPr="007F011B">
              <w:rPr>
                <w:rFonts w:ascii="Times New Roman" w:hAnsi="Times New Roman"/>
                <w:sz w:val="21"/>
                <w:szCs w:val="21"/>
              </w:rPr>
              <w:t>iA</w:t>
            </w:r>
            <w:r w:rsidR="00273D5D" w:rsidRPr="007F011B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6401AFC9" w14:textId="77777777" w:rsidR="00500121" w:rsidRPr="007F011B" w:rsidRDefault="00500121" w:rsidP="0050012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Kwotę wydatków dla budżetu państwa w kolejnych latach obliczono w oparciu o wskaźni</w:t>
            </w:r>
            <w:r w:rsidR="00273D5D" w:rsidRPr="007F011B">
              <w:rPr>
                <w:rFonts w:ascii="Times New Roman" w:hAnsi="Times New Roman"/>
                <w:sz w:val="21"/>
                <w:szCs w:val="21"/>
              </w:rPr>
              <w:t>k CPI – dynamika średnioroczna.</w:t>
            </w:r>
          </w:p>
          <w:p w14:paraId="2FC1A1D0" w14:textId="77777777" w:rsidR="00500121" w:rsidRPr="007F011B" w:rsidRDefault="00500121" w:rsidP="0050012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Skutki finansowe związane z wejściem w życie projektowanej regulacji </w:t>
            </w:r>
            <w:r w:rsidR="004766AE" w:rsidRPr="007F011B">
              <w:rPr>
                <w:rFonts w:ascii="Times New Roman" w:hAnsi="Times New Roman"/>
                <w:sz w:val="21"/>
                <w:szCs w:val="21"/>
              </w:rPr>
              <w:t>dotyczą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326982B4" w14:textId="77777777" w:rsidR="001F2FC6" w:rsidRPr="007F011B" w:rsidRDefault="004766AE" w:rsidP="004766AE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 wprowadzenia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7D7811" w:rsidRPr="007F011B">
              <w:rPr>
                <w:rFonts w:ascii="Times New Roman" w:hAnsi="Times New Roman"/>
                <w:sz w:val="21"/>
                <w:szCs w:val="21"/>
              </w:rPr>
              <w:t xml:space="preserve">w karcie pobytowej </w:t>
            </w:r>
            <w:r w:rsidR="00B81722" w:rsidRPr="007F011B">
              <w:rPr>
                <w:rFonts w:ascii="Times New Roman" w:hAnsi="Times New Roman"/>
                <w:sz w:val="21"/>
                <w:szCs w:val="21"/>
              </w:rPr>
              <w:t xml:space="preserve">i karcie stałego pobytu 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>drugiej cechy biometrycznej, tj. odcisków linii papilarnych,</w:t>
            </w:r>
          </w:p>
          <w:p w14:paraId="0F163AEB" w14:textId="77777777" w:rsidR="00A6153F" w:rsidRPr="007F011B" w:rsidRDefault="001F2FC6" w:rsidP="004766AE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 zmiany sposobu personalizacji zaświadczenia o zarejestrowaniu pobytu obywatela UE w związku ze zmianą formy tego dokumentu, który będzie wydawany jako zabezpieczony dokument ze zdjęciem</w:t>
            </w:r>
            <w:r w:rsidR="00A6153F" w:rsidRPr="007F011B">
              <w:rPr>
                <w:rFonts w:ascii="Times New Roman" w:hAnsi="Times New Roman"/>
                <w:sz w:val="21"/>
                <w:szCs w:val="21"/>
              </w:rPr>
              <w:t>,</w:t>
            </w:r>
          </w:p>
          <w:p w14:paraId="197F73C8" w14:textId="79E5F1EB" w:rsidR="00A6153F" w:rsidRPr="007F011B" w:rsidRDefault="00A6153F" w:rsidP="004766AE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 wprowadzenia odrębnego formatu dokumentów dla obywateli Zjednoczonego Królestwa i członków ich rodzin,</w:t>
            </w:r>
          </w:p>
          <w:p w14:paraId="14C7FA93" w14:textId="356B5756" w:rsidR="004766AE" w:rsidRPr="007F011B" w:rsidRDefault="00A6153F" w:rsidP="004766AE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- wydawania obywatelom Zjednoczonego Królestwa i członkom ich rodzin zaświadczeń potwierdzających złożenie wniosku o wydanie nowego zaświadczenia o zarejestrowaniu pobytu, karty pobytowej, dokumentu potwierdzającego prawo stałego pobytu lub karty stałego pobytu, lub złożenia wniosku o zarejestrowanie pobytu lub wydanie karty pobytowej, dokumentu potwierdzającego prawo stałego pobytu lub karty stałego pobytu </w:t>
            </w:r>
            <w:r w:rsidR="00157B09" w:rsidRPr="007F011B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2067FC3E" w14:textId="716B397E" w:rsidR="00DE3E1D" w:rsidRPr="007F011B" w:rsidRDefault="00A6153F" w:rsidP="007D781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Wprowadzenie opisanych wyżej zmian w ustawie o wjeździe obywateli UE</w:t>
            </w:r>
            <w:r w:rsidR="001F2FC6" w:rsidRPr="007F011B">
              <w:rPr>
                <w:rFonts w:ascii="Times New Roman" w:hAnsi="Times New Roman"/>
                <w:sz w:val="21"/>
                <w:szCs w:val="21"/>
              </w:rPr>
              <w:t>, będzie</w:t>
            </w:r>
            <w:r w:rsidR="00B81722"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>wymaga</w:t>
            </w:r>
            <w:r w:rsidR="001F2FC6" w:rsidRPr="007F011B">
              <w:rPr>
                <w:rFonts w:ascii="Times New Roman" w:hAnsi="Times New Roman"/>
                <w:sz w:val="21"/>
                <w:szCs w:val="21"/>
              </w:rPr>
              <w:t>ło</w:t>
            </w:r>
            <w:r w:rsidR="009D49AD" w:rsidRPr="007F011B">
              <w:rPr>
                <w:rFonts w:ascii="Times New Roman" w:hAnsi="Times New Roman"/>
                <w:sz w:val="21"/>
                <w:szCs w:val="21"/>
              </w:rPr>
              <w:t xml:space="preserve"> dokonania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zmian systemów teleinformatycznych zarówno </w:t>
            </w:r>
            <w:r w:rsidR="00093154" w:rsidRPr="007F011B">
              <w:rPr>
                <w:rFonts w:ascii="Times New Roman" w:hAnsi="Times New Roman"/>
                <w:sz w:val="21"/>
                <w:szCs w:val="21"/>
              </w:rPr>
              <w:t>po stronie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Urzędu do Spraw Cudzoziemców, jak i Centrum Personalizacji Dokumentów MSW</w:t>
            </w:r>
            <w:r w:rsidR="007D7811" w:rsidRPr="007F011B">
              <w:rPr>
                <w:rFonts w:ascii="Times New Roman" w:hAnsi="Times New Roman"/>
                <w:sz w:val="21"/>
                <w:szCs w:val="21"/>
              </w:rPr>
              <w:t xml:space="preserve">iA. </w:t>
            </w:r>
          </w:p>
          <w:p w14:paraId="2A6D3A41" w14:textId="77777777" w:rsidR="00DE3E1D" w:rsidRPr="007F011B" w:rsidRDefault="00DE3E1D" w:rsidP="007D781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5B1462CB" w14:textId="60A35029" w:rsidR="00CA2B56" w:rsidRPr="007F011B" w:rsidRDefault="007D7811" w:rsidP="007D781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Koszty niezbędnej modyfikacji systemu teleinformatycznego ze strony Urzędu do Spraw Cudzoziemców wynios</w:t>
            </w:r>
            <w:r w:rsidR="00DD5FB0">
              <w:rPr>
                <w:rFonts w:ascii="Times New Roman" w:hAnsi="Times New Roman"/>
                <w:sz w:val="21"/>
                <w:szCs w:val="21"/>
              </w:rPr>
              <w:t>ą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ok</w:t>
            </w:r>
            <w:r w:rsidR="00341645" w:rsidRPr="007F011B">
              <w:rPr>
                <w:rFonts w:ascii="Times New Roman" w:hAnsi="Times New Roman"/>
                <w:sz w:val="21"/>
                <w:szCs w:val="21"/>
              </w:rPr>
              <w:t>. 1 000</w:t>
            </w:r>
            <w:r w:rsidR="00DD5FB0">
              <w:rPr>
                <w:rFonts w:ascii="Times New Roman" w:hAnsi="Times New Roman"/>
                <w:sz w:val="21"/>
                <w:szCs w:val="21"/>
              </w:rPr>
              <w:t> </w:t>
            </w:r>
            <w:r w:rsidR="00341645" w:rsidRPr="007F011B">
              <w:rPr>
                <w:rFonts w:ascii="Times New Roman" w:hAnsi="Times New Roman"/>
                <w:sz w:val="21"/>
                <w:szCs w:val="21"/>
              </w:rPr>
              <w:t>000</w:t>
            </w:r>
            <w:r w:rsidR="00DD5FB0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zł brutto. </w:t>
            </w:r>
          </w:p>
          <w:p w14:paraId="1D2370E9" w14:textId="77777777" w:rsidR="00DE3E1D" w:rsidRPr="007F011B" w:rsidRDefault="00DE3E1D" w:rsidP="007D781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56E4A24E" w14:textId="035F883D" w:rsidR="00157B09" w:rsidRPr="007F011B" w:rsidRDefault="007D7811" w:rsidP="007D781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Centrum Personalizacji Dokumentów MSWiA oszacowało koszty dostosowania</w:t>
            </w:r>
            <w:r w:rsidR="007C4844" w:rsidRPr="007F011B">
              <w:rPr>
                <w:rFonts w:ascii="Times New Roman" w:hAnsi="Times New Roman"/>
                <w:sz w:val="21"/>
                <w:szCs w:val="21"/>
              </w:rPr>
              <w:t xml:space="preserve"> swojego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7C4844" w:rsidRPr="007F011B">
              <w:rPr>
                <w:rFonts w:ascii="Times New Roman" w:hAnsi="Times New Roman"/>
                <w:sz w:val="21"/>
                <w:szCs w:val="21"/>
              </w:rPr>
              <w:t xml:space="preserve">systemu teleinformatycznego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do nowego sposobu personalizacji na ok. </w:t>
            </w:r>
            <w:r w:rsidR="00341645" w:rsidRPr="007F011B">
              <w:rPr>
                <w:rFonts w:ascii="Times New Roman" w:hAnsi="Times New Roman"/>
                <w:sz w:val="21"/>
                <w:szCs w:val="21"/>
              </w:rPr>
              <w:t>3 100</w:t>
            </w:r>
            <w:r w:rsidR="00C61B27" w:rsidRPr="007F011B">
              <w:rPr>
                <w:rFonts w:ascii="Times New Roman" w:hAnsi="Times New Roman"/>
                <w:sz w:val="21"/>
                <w:szCs w:val="21"/>
              </w:rPr>
              <w:t> </w:t>
            </w:r>
            <w:r w:rsidR="00341645" w:rsidRPr="007F011B">
              <w:rPr>
                <w:rFonts w:ascii="Times New Roman" w:hAnsi="Times New Roman"/>
                <w:sz w:val="21"/>
                <w:szCs w:val="21"/>
              </w:rPr>
              <w:t>000</w:t>
            </w:r>
            <w:r w:rsidR="00C61B27"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zł brutto. </w:t>
            </w:r>
          </w:p>
          <w:p w14:paraId="51F7C915" w14:textId="6A73C884" w:rsidR="00A6153F" w:rsidRPr="007F011B" w:rsidRDefault="00A6153F" w:rsidP="007D781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7D432685" w14:textId="378E54F6" w:rsidR="00A6153F" w:rsidRPr="007F011B" w:rsidRDefault="00A6153F" w:rsidP="00A6153F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Koszt zakupu blankietów zaświadczeń wydawanych obywatelom Zjednoczonego Królestwa oraz członkom ich rodzin</w:t>
            </w:r>
            <w:r w:rsidRPr="007F011B">
              <w:t xml:space="preserve">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potwierdzających złożenie wniosku o wydanie nowego zaświadczenia o zarejestrowaniu pobytu, karty pobytowej, dokumentu potwierdzającego prawo stałego pobytu lub karty stałego pobytu, lub złożenia wniosku o zarejestrowanie pobytu lub wydanie karty pobytowej, dokumentu potwierdzającego prawo stałego pobytu lub karty stałego pobytu, oraz koniecznoś</w:t>
            </w:r>
            <w:r w:rsidR="000E7802" w:rsidRPr="007F011B">
              <w:rPr>
                <w:rFonts w:ascii="Times New Roman" w:hAnsi="Times New Roman"/>
                <w:sz w:val="21"/>
                <w:szCs w:val="21"/>
              </w:rPr>
              <w:t>ć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wprowadzenia zmian w systemie teleinformatycznym obsługującym krajowy zbiór rejestrów, ewidencji i wykazu w sprawach </w:t>
            </w:r>
            <w:r w:rsidR="00DA7328" w:rsidRPr="007F011B">
              <w:rPr>
                <w:rFonts w:ascii="Times New Roman" w:hAnsi="Times New Roman"/>
                <w:sz w:val="21"/>
                <w:szCs w:val="21"/>
              </w:rPr>
              <w:t>cudzoziemców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w związku z wprowadzeniem instytucji ww. zaświadczenia </w:t>
            </w:r>
            <w:r w:rsidR="00DA7328" w:rsidRPr="007F011B">
              <w:rPr>
                <w:rFonts w:ascii="Times New Roman" w:hAnsi="Times New Roman"/>
                <w:sz w:val="21"/>
                <w:szCs w:val="21"/>
              </w:rPr>
              <w:t>wyniosą</w:t>
            </w:r>
            <w:r w:rsidR="00E06FC6" w:rsidRPr="007F011B">
              <w:rPr>
                <w:rFonts w:ascii="Times New Roman" w:hAnsi="Times New Roman"/>
                <w:sz w:val="21"/>
                <w:szCs w:val="21"/>
              </w:rPr>
              <w:t xml:space="preserve"> 310 000 zł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.</w:t>
            </w:r>
            <w:r w:rsidR="00E06FC6" w:rsidRPr="007F011B">
              <w:rPr>
                <w:rFonts w:ascii="Times New Roman" w:hAnsi="Times New Roman"/>
                <w:sz w:val="21"/>
                <w:szCs w:val="21"/>
              </w:rPr>
              <w:t xml:space="preserve"> Należy podkreślić, iż na potrzeby niniejszego projektu ustawy zostaną wykorzystane blankiety, które zostały zakupione i niewykorzystane w związku z przyjęciem analogicznych rozwiązań prawnych</w:t>
            </w:r>
            <w:r w:rsidR="00E06FC6" w:rsidRPr="007F011B">
              <w:t xml:space="preserve"> </w:t>
            </w:r>
            <w:r w:rsidR="00E06FC6" w:rsidRPr="007F011B">
              <w:rPr>
                <w:rFonts w:ascii="Times New Roman" w:hAnsi="Times New Roman"/>
                <w:sz w:val="21"/>
                <w:szCs w:val="21"/>
              </w:rPr>
              <w:t xml:space="preserve">ustawą z dnia 15 marca 2019 r. o uregulowaniu niektórych spraw </w:t>
            </w:r>
            <w:r w:rsidR="00E06FC6" w:rsidRPr="007F011B">
              <w:rPr>
                <w:rFonts w:ascii="Times New Roman" w:hAnsi="Times New Roman"/>
                <w:sz w:val="21"/>
                <w:szCs w:val="21"/>
              </w:rPr>
              <w:lastRenderedPageBreak/>
              <w:t>w związku z wystąpieniem Zjednoczonego Królestwa Wielkiej Brytanii i Irlandii Północnej z Unii Europejskiej i Europejskiej Wspólnoty Energii Atomowej bez zawarcia umowy, o której mowa w art. 50 ust. 2 Traktatu o Unii Europejskiej (Dz.</w:t>
            </w:r>
            <w:r w:rsidR="007C4844"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E06FC6" w:rsidRPr="007F011B">
              <w:rPr>
                <w:rFonts w:ascii="Times New Roman" w:hAnsi="Times New Roman"/>
                <w:sz w:val="21"/>
                <w:szCs w:val="21"/>
              </w:rPr>
              <w:t xml:space="preserve">U. poz. 622).  </w:t>
            </w:r>
          </w:p>
          <w:p w14:paraId="1C33806D" w14:textId="09711323" w:rsidR="007D7811" w:rsidRPr="007F011B" w:rsidRDefault="007D7811" w:rsidP="007D781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Wskazane zadanie będzie finansowane z budżetu państwa z części, której dysponentem jest minister właściwy do spraw wewnętrznych, ze środków znajdujących się w dyspozycji Szefa Urzędu do Spraw Cudzoziemców oraz ze środków będących w dyspozycji Centrum Personalizacji Dokumentów MSWiA.</w:t>
            </w:r>
          </w:p>
          <w:p w14:paraId="480D5EF8" w14:textId="77777777" w:rsidR="00DE3E1D" w:rsidRPr="007F011B" w:rsidRDefault="00DE3E1D" w:rsidP="007D781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5B154089" w14:textId="115B7145" w:rsidR="006779C3" w:rsidRPr="007F011B" w:rsidRDefault="007D7811" w:rsidP="007D7811">
            <w:pPr>
              <w:spacing w:line="240" w:lineRule="auto"/>
              <w:jc w:val="both"/>
            </w:pPr>
            <w:r w:rsidRPr="007F011B">
              <w:rPr>
                <w:rFonts w:ascii="Times New Roman" w:hAnsi="Times New Roman"/>
                <w:sz w:val="21"/>
                <w:szCs w:val="21"/>
              </w:rPr>
              <w:t>Zakładając, że zaświadczenie o zarejestrowaniu pobytu obywatela UE</w:t>
            </w:r>
            <w:r w:rsidR="007C4844" w:rsidRPr="007F011B">
              <w:rPr>
                <w:rFonts w:ascii="Times New Roman" w:hAnsi="Times New Roman"/>
                <w:sz w:val="21"/>
                <w:szCs w:val="21"/>
              </w:rPr>
              <w:t>, zaświadczenie</w:t>
            </w:r>
            <w:r w:rsidR="006F0A45" w:rsidRPr="007F011B">
              <w:rPr>
                <w:rFonts w:ascii="Times New Roman" w:hAnsi="Times New Roman"/>
                <w:sz w:val="21"/>
                <w:szCs w:val="21"/>
              </w:rPr>
              <w:t xml:space="preserve"> o zarejestrowaniu pobytu</w:t>
            </w:r>
            <w:r w:rsidR="008237DE" w:rsidRPr="007F011B">
              <w:rPr>
                <w:rFonts w:ascii="Times New Roman" w:hAnsi="Times New Roman"/>
                <w:sz w:val="21"/>
                <w:szCs w:val="21"/>
              </w:rPr>
              <w:t>, dokumenty potwierdzające prawo stałego pobytu, karty pobytowe oraz karty stałego pobytu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będ</w:t>
            </w:r>
            <w:r w:rsidR="008237DE" w:rsidRPr="007F011B">
              <w:rPr>
                <w:rFonts w:ascii="Times New Roman" w:hAnsi="Times New Roman"/>
                <w:sz w:val="21"/>
                <w:szCs w:val="21"/>
              </w:rPr>
              <w:t>ą</w:t>
            </w:r>
            <w:r w:rsidR="000E7802"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wydawane na blankiecie ujednoliconym, w nakładzie do 10.000 sztuk rocznie</w:t>
            </w:r>
            <w:r w:rsidR="00E251CA" w:rsidRPr="007F011B">
              <w:rPr>
                <w:rFonts w:ascii="Times New Roman" w:hAnsi="Times New Roman"/>
                <w:sz w:val="21"/>
                <w:szCs w:val="21"/>
              </w:rPr>
              <w:t>,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to szacunkowy koszt jednostkowy blankietu</w:t>
            </w:r>
            <w:r w:rsidR="00341645" w:rsidRPr="007F011B">
              <w:rPr>
                <w:rFonts w:ascii="Times New Roman" w:hAnsi="Times New Roman"/>
                <w:sz w:val="21"/>
                <w:szCs w:val="21"/>
              </w:rPr>
              <w:t xml:space="preserve"> wynosi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341645" w:rsidRPr="007F011B">
              <w:rPr>
                <w:rFonts w:ascii="Times New Roman" w:hAnsi="Times New Roman"/>
                <w:sz w:val="21"/>
                <w:szCs w:val="21"/>
              </w:rPr>
              <w:t>35,43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zł brutto za sztukę, </w:t>
            </w:r>
            <w:r w:rsidR="00341645" w:rsidRPr="007F011B">
              <w:rPr>
                <w:rFonts w:ascii="Times New Roman" w:hAnsi="Times New Roman"/>
                <w:sz w:val="21"/>
                <w:szCs w:val="21"/>
              </w:rPr>
              <w:t xml:space="preserve">do kosztów blankietu należy doliczyć koszty jego personalizacji w wysokości 20,90 zł brutto </w:t>
            </w:r>
            <w:r w:rsidR="00E251CA" w:rsidRPr="007F011B">
              <w:rPr>
                <w:rFonts w:ascii="Times New Roman" w:hAnsi="Times New Roman"/>
                <w:sz w:val="21"/>
                <w:szCs w:val="21"/>
              </w:rPr>
              <w:t>za sztukę</w:t>
            </w:r>
            <w:r w:rsidR="00341645" w:rsidRPr="007F011B">
              <w:rPr>
                <w:rFonts w:ascii="Times New Roman" w:hAnsi="Times New Roman"/>
                <w:sz w:val="21"/>
                <w:szCs w:val="21"/>
              </w:rPr>
              <w:t xml:space="preserve">. </w:t>
            </w:r>
            <w:r w:rsidR="008237DE" w:rsidRPr="007F011B">
              <w:rPr>
                <w:rFonts w:ascii="Times New Roman" w:hAnsi="Times New Roman"/>
                <w:sz w:val="21"/>
                <w:szCs w:val="21"/>
              </w:rPr>
              <w:t xml:space="preserve">Całkowity koszt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wydania </w:t>
            </w:r>
            <w:r w:rsidR="008237DE" w:rsidRPr="007F011B">
              <w:rPr>
                <w:rFonts w:ascii="Times New Roman" w:hAnsi="Times New Roman"/>
                <w:sz w:val="21"/>
                <w:szCs w:val="21"/>
              </w:rPr>
              <w:t xml:space="preserve">ww. dokumentów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8237DE" w:rsidRPr="007F011B">
              <w:rPr>
                <w:rFonts w:ascii="Times New Roman" w:hAnsi="Times New Roman"/>
                <w:sz w:val="21"/>
                <w:szCs w:val="21"/>
              </w:rPr>
              <w:t xml:space="preserve">na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nowym blankiecie </w:t>
            </w:r>
            <w:r w:rsidR="00341645" w:rsidRPr="007F011B">
              <w:rPr>
                <w:rFonts w:ascii="Times New Roman" w:hAnsi="Times New Roman"/>
                <w:sz w:val="21"/>
                <w:szCs w:val="21"/>
              </w:rPr>
              <w:t xml:space="preserve">wynosi </w:t>
            </w:r>
            <w:r w:rsidR="008237DE" w:rsidRPr="007F011B">
              <w:rPr>
                <w:rFonts w:ascii="Times New Roman" w:hAnsi="Times New Roman"/>
                <w:sz w:val="21"/>
                <w:szCs w:val="21"/>
              </w:rPr>
              <w:t>56,33 zł brutto. P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rzy założeniu, że nakład będzie wynosić 10 000 sztuk rocznie</w:t>
            </w:r>
            <w:r w:rsidR="008237DE" w:rsidRPr="007F011B">
              <w:rPr>
                <w:rFonts w:ascii="Times New Roman" w:hAnsi="Times New Roman"/>
                <w:sz w:val="21"/>
                <w:szCs w:val="21"/>
              </w:rPr>
              <w:t xml:space="preserve"> koszt wydania ww. dokumentów wyniesie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5</w:t>
            </w:r>
            <w:r w:rsidR="008237DE" w:rsidRPr="007F011B">
              <w:rPr>
                <w:rFonts w:ascii="Times New Roman" w:hAnsi="Times New Roman"/>
                <w:sz w:val="21"/>
                <w:szCs w:val="21"/>
              </w:rPr>
              <w:t>63 300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zł brutto</w:t>
            </w:r>
            <w:r w:rsidR="008237DE" w:rsidRPr="007F011B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46ACA514" w14:textId="74FBC996" w:rsidR="00E06FC6" w:rsidRPr="007F011B" w:rsidRDefault="00E06FC6" w:rsidP="007D781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6C34EF0C" w14:textId="79CF0EA0" w:rsidR="00500121" w:rsidRPr="007F011B" w:rsidRDefault="001F2FC6" w:rsidP="004766AE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P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>rzejęci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e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przez Straż Graniczną kompetencji związanych</w:t>
            </w:r>
            <w:r w:rsidR="006061E1" w:rsidRPr="007F011B">
              <w:rPr>
                <w:rFonts w:ascii="Times New Roman" w:hAnsi="Times New Roman"/>
                <w:sz w:val="21"/>
                <w:szCs w:val="21"/>
              </w:rPr>
              <w:t xml:space="preserve"> z wydawaniem decyzji w sprawie wydalenia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obywateli UE i członków rodzin niebędących obywatelami UE nie będzie mieć wpływu na wydatki budże</w:t>
            </w:r>
            <w:r w:rsidR="004766AE" w:rsidRPr="007F011B">
              <w:rPr>
                <w:rFonts w:ascii="Times New Roman" w:hAnsi="Times New Roman"/>
                <w:sz w:val="21"/>
                <w:szCs w:val="21"/>
              </w:rPr>
              <w:t>tu państwa.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273D5D" w:rsidRPr="007F011B">
              <w:rPr>
                <w:rFonts w:ascii="Times New Roman" w:hAnsi="Times New Roman"/>
                <w:sz w:val="21"/>
                <w:szCs w:val="21"/>
              </w:rPr>
              <w:t xml:space="preserve">Należy podkreślić, 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>ż</w:t>
            </w:r>
            <w:r w:rsidR="00273D5D" w:rsidRPr="007F011B">
              <w:rPr>
                <w:rFonts w:ascii="Times New Roman" w:hAnsi="Times New Roman"/>
                <w:sz w:val="21"/>
                <w:szCs w:val="21"/>
              </w:rPr>
              <w:t>e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od dnia 1 maja 2014 r. Straż Graniczna przejęła od wojewodów kompetencję w zakresie wydawania decyzji w sprawie zobowiązania cudzoziemców do powrotu. Ponadto rocznie jest wydawanych tylko </w:t>
            </w:r>
            <w:r w:rsidR="007D7811" w:rsidRPr="007F011B">
              <w:rPr>
                <w:rFonts w:ascii="Times New Roman" w:hAnsi="Times New Roman"/>
                <w:sz w:val="21"/>
                <w:szCs w:val="21"/>
              </w:rPr>
              <w:t xml:space="preserve">kilka bądź 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kilkanaście decyzji orzekających o wydaleniu obywateli UE lub członków rodzin niebędących obywatelami UE. </w:t>
            </w:r>
            <w:r w:rsidR="007D7811" w:rsidRPr="007F011B">
              <w:rPr>
                <w:rFonts w:ascii="Times New Roman" w:hAnsi="Times New Roman"/>
                <w:sz w:val="21"/>
                <w:szCs w:val="21"/>
              </w:rPr>
              <w:t xml:space="preserve">W 2013 r. wydano 9 decyzji w sprawie wydalenia obywateli UE i członków rodziny niebędących obywatelami UE, </w:t>
            </w:r>
            <w:r w:rsidR="00DD5FB0">
              <w:rPr>
                <w:rFonts w:ascii="Times New Roman" w:hAnsi="Times New Roman"/>
                <w:sz w:val="21"/>
                <w:szCs w:val="21"/>
              </w:rPr>
              <w:br/>
            </w:r>
            <w:r w:rsidR="007D7811" w:rsidRPr="007F011B">
              <w:rPr>
                <w:rFonts w:ascii="Times New Roman" w:hAnsi="Times New Roman"/>
                <w:sz w:val="21"/>
                <w:szCs w:val="21"/>
              </w:rPr>
              <w:t xml:space="preserve">w 2014 r. – 14 decyzji, w 2015 r. –15, w 2016 r. – 10, w 2017 r. – 9, a w 2018 r. </w:t>
            </w:r>
            <w:r w:rsidR="00DD5FB0" w:rsidRPr="007F011B">
              <w:rPr>
                <w:rFonts w:ascii="Times New Roman" w:hAnsi="Times New Roman"/>
                <w:sz w:val="21"/>
                <w:szCs w:val="21"/>
              </w:rPr>
              <w:t>–</w:t>
            </w:r>
            <w:r w:rsidR="007D7811" w:rsidRPr="007F011B">
              <w:rPr>
                <w:rFonts w:ascii="Times New Roman" w:hAnsi="Times New Roman"/>
                <w:sz w:val="21"/>
                <w:szCs w:val="21"/>
              </w:rPr>
              <w:t xml:space="preserve"> 5 decyzji w sprawie wydalenia. 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>Z uwagi na powyższe przejęcie ww</w:t>
            </w:r>
            <w:r w:rsidR="006061E1" w:rsidRPr="007F011B">
              <w:rPr>
                <w:rFonts w:ascii="Times New Roman" w:hAnsi="Times New Roman"/>
                <w:sz w:val="21"/>
                <w:szCs w:val="21"/>
              </w:rPr>
              <w:t>.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kompetencji nie powinno wiązać się z obc</w:t>
            </w:r>
            <w:r w:rsidR="00273D5D" w:rsidRPr="007F011B">
              <w:rPr>
                <w:rFonts w:ascii="Times New Roman" w:hAnsi="Times New Roman"/>
                <w:sz w:val="21"/>
                <w:szCs w:val="21"/>
              </w:rPr>
              <w:t>iążeniem dla Straży Granicznej.</w:t>
            </w:r>
          </w:p>
          <w:p w14:paraId="45C383B0" w14:textId="3CFB317F" w:rsidR="004766AE" w:rsidRDefault="00A70F55" w:rsidP="0050012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Wprowadzenie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możliwości </w:t>
            </w:r>
            <w:r w:rsidR="006061E1" w:rsidRPr="007F011B">
              <w:rPr>
                <w:rFonts w:ascii="Times New Roman" w:hAnsi="Times New Roman"/>
                <w:sz w:val="21"/>
                <w:szCs w:val="21"/>
              </w:rPr>
              <w:t>skorzystania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z prawa do świadczeń z pomocy społecznej w formie interwencji kryzysowej, schronienia, posiłku, niezbędnego ubrania oraz zasiłku celowego również przez obywatel</w:t>
            </w:r>
            <w:r w:rsidR="006061E1" w:rsidRPr="007F011B">
              <w:rPr>
                <w:rFonts w:ascii="Times New Roman" w:hAnsi="Times New Roman"/>
                <w:sz w:val="21"/>
                <w:szCs w:val="21"/>
              </w:rPr>
              <w:t>i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 UE nie powinno stanowić obciążenia dla budżetu państwa. Proponowane rozwiązanie już funkcjonuje w stosunku do cudzoziemców. Trudno jest oszacować jak wielu obywateli UE mogłoby skorzystać z zaproponowanych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w tym zakresie 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 xml:space="preserve">w </w:t>
            </w:r>
            <w:r w:rsidR="009F0007" w:rsidRPr="007F011B">
              <w:rPr>
                <w:rFonts w:ascii="Times New Roman" w:hAnsi="Times New Roman"/>
                <w:sz w:val="21"/>
                <w:szCs w:val="21"/>
              </w:rPr>
              <w:t xml:space="preserve">projektowanej </w:t>
            </w:r>
            <w:r w:rsidR="00500121" w:rsidRPr="007F011B">
              <w:rPr>
                <w:rFonts w:ascii="Times New Roman" w:hAnsi="Times New Roman"/>
                <w:sz w:val="21"/>
                <w:szCs w:val="21"/>
              </w:rPr>
              <w:t>ustawie rozwiąza</w:t>
            </w:r>
            <w:r w:rsidR="006061E1" w:rsidRPr="007F011B">
              <w:rPr>
                <w:rFonts w:ascii="Times New Roman" w:hAnsi="Times New Roman"/>
                <w:sz w:val="21"/>
                <w:szCs w:val="21"/>
              </w:rPr>
              <w:t>ń.</w:t>
            </w:r>
          </w:p>
          <w:p w14:paraId="0BA6A4F0" w14:textId="77777777" w:rsidR="00B905E1" w:rsidRPr="007F011B" w:rsidRDefault="00B905E1" w:rsidP="0050012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780F69BB" w14:textId="36FC0C78" w:rsidR="00B905E1" w:rsidRPr="00747EEE" w:rsidRDefault="00500121" w:rsidP="00804297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7EEE">
              <w:rPr>
                <w:rFonts w:ascii="Times New Roman" w:hAnsi="Times New Roman"/>
                <w:sz w:val="21"/>
                <w:szCs w:val="21"/>
              </w:rPr>
              <w:t xml:space="preserve">Projektowana </w:t>
            </w:r>
            <w:r w:rsidR="00B905E1" w:rsidRPr="00747EEE">
              <w:rPr>
                <w:rFonts w:ascii="Times New Roman" w:hAnsi="Times New Roman"/>
                <w:sz w:val="21"/>
                <w:szCs w:val="21"/>
              </w:rPr>
              <w:t xml:space="preserve">ustawa </w:t>
            </w:r>
            <w:r w:rsidRPr="00747EEE">
              <w:rPr>
                <w:rFonts w:ascii="Times New Roman" w:hAnsi="Times New Roman"/>
                <w:sz w:val="21"/>
                <w:szCs w:val="21"/>
              </w:rPr>
              <w:t>nie będzie miała wpływu na budżety jednostek samorządu terytorialnego.</w:t>
            </w:r>
          </w:p>
          <w:p w14:paraId="39D2E6EF" w14:textId="77777777" w:rsidR="00B905E1" w:rsidRPr="00747EEE" w:rsidRDefault="00B905E1" w:rsidP="00804297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1DE0FD1E" w14:textId="7E77290A" w:rsidR="00804297" w:rsidRDefault="00804297" w:rsidP="00804297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Projektowane przepisy przewidują zwolnienie z opłat skarbowych za </w:t>
            </w:r>
            <w:r w:rsidRPr="00804297">
              <w:rPr>
                <w:rFonts w:ascii="Times New Roman" w:hAnsi="Times New Roman"/>
                <w:sz w:val="21"/>
                <w:szCs w:val="21"/>
              </w:rPr>
              <w:t>dokonanie czynności urzędowej, wydanie zaświadczenia i zezwolenia (pozwolenia, koncesji) albo złożenie dokumentu stwierdzającego udzielenie pełnomocnictwa lub prokury albo jego odpisu, wypisu lub kopii w sprawach  pobytu na terytorium Rzeczypospolitej Polskiej obywateli Zjednoczonego Król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estwa oraz członków ich rodzin, do których dotychczas zastosowanie miały przepisy dotyczące obywateli UE oraz członków ich rodzin.  </w:t>
            </w:r>
            <w:r w:rsidRPr="00804297">
              <w:rPr>
                <w:rFonts w:ascii="Times New Roman" w:hAnsi="Times New Roman"/>
                <w:sz w:val="21"/>
                <w:szCs w:val="21"/>
              </w:rPr>
              <w:t>Zwolnieniu z opłaty skarbowej podlegać będą również zezwolenia na pobyt czasowy udzielane osobom przebywającym w Polsce z obywatelami Zjednoczonego Królestwa, co stanowi dostosowanie polskiego prawa do Umowy wystąpienia – projektowany art. 160 pk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t 4-6 ustawy o cudzoziemcach. Należy podkreślić, iż w obecnym stanie prawnym obywatele Zjednoczonego Królestwa oraz członkowie rodziny obywateli Zjednoczonego Królestwa objęci są zakresem regulacji dotyczących obywateli UE oraz członków ich rodzin, którzy zgodnie z art. </w:t>
            </w:r>
            <w:r w:rsidR="00CA5B1E">
              <w:rPr>
                <w:rFonts w:ascii="Times New Roman" w:hAnsi="Times New Roman"/>
                <w:sz w:val="21"/>
                <w:szCs w:val="21"/>
              </w:rPr>
              <w:t xml:space="preserve">2 ust. 1 pkt 1 lit. j </w:t>
            </w:r>
            <w:r>
              <w:rPr>
                <w:rFonts w:ascii="Times New Roman" w:hAnsi="Times New Roman"/>
                <w:sz w:val="21"/>
                <w:szCs w:val="21"/>
              </w:rPr>
              <w:t>ustawy</w:t>
            </w:r>
            <w:r w:rsidRPr="00804297">
              <w:rPr>
                <w:rFonts w:ascii="Times New Roman" w:hAnsi="Times New Roman"/>
                <w:sz w:val="21"/>
                <w:szCs w:val="21"/>
              </w:rPr>
              <w:t xml:space="preserve"> z dnia 16 listopada 2006 r. o opłacie skarbowe</w:t>
            </w:r>
            <w:r w:rsidR="00CA5B1E">
              <w:rPr>
                <w:rFonts w:ascii="Times New Roman" w:hAnsi="Times New Roman"/>
                <w:sz w:val="21"/>
                <w:szCs w:val="21"/>
              </w:rPr>
              <w:t>j (Dz. U. z 2020 r. poz. 1546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  <w:r w:rsidR="00CA5B1E">
              <w:rPr>
                <w:rFonts w:ascii="Times New Roman" w:hAnsi="Times New Roman"/>
                <w:sz w:val="21"/>
                <w:szCs w:val="21"/>
              </w:rPr>
              <w:t xml:space="preserve"> nie ponoszą opłat skarbowych za</w:t>
            </w:r>
            <w:r w:rsidR="00CA5B1E" w:rsidRPr="00CA5B1E">
              <w:rPr>
                <w:rFonts w:ascii="Times New Roman" w:hAnsi="Times New Roman"/>
                <w:sz w:val="21"/>
                <w:szCs w:val="21"/>
              </w:rPr>
              <w:t xml:space="preserve"> dokonanie czynności urzędowej, wydanie zaświadczenia i zezwolenia (pozwolenia, koncesji) albo złożenie dokumentu stwierdzającego udzielenie pełnomocnictwa lub prokury albo jego odpisu, wypisu lub kopii w sprawach  pobytu na terytorium Rzeczypospolitej Polskiej</w:t>
            </w:r>
            <w:r w:rsidR="00CA5B1E">
              <w:rPr>
                <w:rFonts w:ascii="Times New Roman" w:hAnsi="Times New Roman"/>
                <w:sz w:val="21"/>
                <w:szCs w:val="21"/>
              </w:rPr>
              <w:t xml:space="preserve">. </w:t>
            </w:r>
            <w:r w:rsidR="00DE0289" w:rsidRPr="00DE0289">
              <w:rPr>
                <w:rFonts w:ascii="Times New Roman" w:hAnsi="Times New Roman"/>
                <w:sz w:val="21"/>
                <w:szCs w:val="21"/>
              </w:rPr>
              <w:t>Projektowane przepisy obejmują tylko obywateli Zjednoczonego Królestwa oraz członków ich rodzin, którzy są beneficjatam</w:t>
            </w:r>
            <w:r w:rsidR="00DE0289">
              <w:rPr>
                <w:rFonts w:ascii="Times New Roman" w:hAnsi="Times New Roman"/>
                <w:sz w:val="21"/>
                <w:szCs w:val="21"/>
              </w:rPr>
              <w:t>i Umowy wystąpienia, czyli osoby</w:t>
            </w:r>
            <w:r w:rsidR="00DE0289" w:rsidRPr="00DE0289">
              <w:rPr>
                <w:rFonts w:ascii="Times New Roman" w:hAnsi="Times New Roman"/>
                <w:sz w:val="21"/>
                <w:szCs w:val="21"/>
              </w:rPr>
              <w:t>, które skorzystały ze swobody przepływu osób przed dniem 1 stycznia 2021 r. Wprowadzane rozwiązania prawne nie powodują zatem powstania</w:t>
            </w:r>
            <w:r w:rsidR="00DE0289">
              <w:rPr>
                <w:rFonts w:ascii="Times New Roman" w:hAnsi="Times New Roman"/>
                <w:sz w:val="21"/>
                <w:szCs w:val="21"/>
              </w:rPr>
              <w:t xml:space="preserve"> zwolnień z opłat skarbowych dla</w:t>
            </w:r>
            <w:r w:rsidR="00DE0289" w:rsidRPr="00DE0289">
              <w:rPr>
                <w:rFonts w:ascii="Times New Roman" w:hAnsi="Times New Roman"/>
                <w:sz w:val="21"/>
                <w:szCs w:val="21"/>
              </w:rPr>
              <w:t xml:space="preserve"> nowej grupy osób.  </w:t>
            </w:r>
          </w:p>
          <w:p w14:paraId="789FD92A" w14:textId="2BAA4F2F" w:rsidR="00500121" w:rsidRPr="007F011B" w:rsidRDefault="00804297" w:rsidP="00872A1F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04297">
              <w:rPr>
                <w:rFonts w:ascii="Times New Roman" w:hAnsi="Times New Roman"/>
                <w:sz w:val="21"/>
                <w:szCs w:val="21"/>
              </w:rPr>
              <w:t xml:space="preserve">Przepisy przewidują </w:t>
            </w:r>
            <w:r w:rsidR="00872A1F">
              <w:rPr>
                <w:rFonts w:ascii="Times New Roman" w:hAnsi="Times New Roman"/>
                <w:sz w:val="21"/>
                <w:szCs w:val="21"/>
              </w:rPr>
              <w:t xml:space="preserve">także </w:t>
            </w:r>
            <w:r w:rsidRPr="00804297">
              <w:rPr>
                <w:rFonts w:ascii="Times New Roman" w:hAnsi="Times New Roman"/>
                <w:sz w:val="21"/>
                <w:szCs w:val="21"/>
              </w:rPr>
              <w:t xml:space="preserve">zwolnienie z opłaty skarbowej za wydanie zaświadczenia potwierdzającego, iż w stosunku do obywatela UE lub członka rodziny obywatela UE istnieje domniemanie, że są oni ofiarami handlu ludźmi. Zwolnieniu z opłaty skarbowej </w:t>
            </w:r>
            <w:r w:rsidR="00B639E9">
              <w:rPr>
                <w:rFonts w:ascii="Times New Roman" w:hAnsi="Times New Roman"/>
                <w:sz w:val="21"/>
                <w:szCs w:val="21"/>
              </w:rPr>
              <w:t xml:space="preserve">podlegać </w:t>
            </w:r>
            <w:r w:rsidRPr="00804297">
              <w:rPr>
                <w:rFonts w:ascii="Times New Roman" w:hAnsi="Times New Roman"/>
                <w:sz w:val="21"/>
                <w:szCs w:val="21"/>
              </w:rPr>
              <w:t xml:space="preserve">będą również </w:t>
            </w:r>
            <w:r w:rsidR="00872A1F" w:rsidRPr="00872A1F">
              <w:rPr>
                <w:rFonts w:ascii="Times New Roman" w:hAnsi="Times New Roman"/>
                <w:sz w:val="21"/>
                <w:szCs w:val="21"/>
              </w:rPr>
              <w:t>wydanie zaświadczenia i zezwolenia (pozwolenia, koncesji) albo złożenie dokumentu stwierdzającego udzielenie pełnomocnictwa lub prokury albo jego odpisu, wypisu lub kopii w sprawach  pobytu na terytorium Rzeczypospolitej Polskiej członków rodziny obywateli Rzeczypospolitej Polskiej, w rozumieniu art. 2 pkt 4 lit. b ustawy o wjeździe obywateli UE</w:t>
            </w:r>
            <w:r w:rsidR="00872A1F">
              <w:rPr>
                <w:rFonts w:ascii="Times New Roman" w:hAnsi="Times New Roman"/>
                <w:sz w:val="21"/>
                <w:szCs w:val="21"/>
              </w:rPr>
              <w:t>. Trudno jest oszacować ile osób skorzysta z zaprojektowanych przepisów prawa, dlatego też nie można stwierdzić czy wprowadzone rozwiązanie prawne będą wpływały na</w:t>
            </w:r>
            <w:r w:rsidR="00872A1F" w:rsidRPr="00872A1F">
              <w:rPr>
                <w:rFonts w:ascii="Times New Roman" w:hAnsi="Times New Roman"/>
                <w:sz w:val="21"/>
                <w:szCs w:val="21"/>
              </w:rPr>
              <w:t xml:space="preserve"> budżety jednostek samorządu terytorialnego</w:t>
            </w:r>
            <w:r w:rsidR="00872A1F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7F011B" w:rsidRPr="007F011B" w14:paraId="65D59DF0" w14:textId="77777777" w:rsidTr="004F518E">
        <w:trPr>
          <w:trHeight w:val="345"/>
        </w:trPr>
        <w:tc>
          <w:tcPr>
            <w:tcW w:w="10944" w:type="dxa"/>
            <w:gridSpan w:val="27"/>
            <w:shd w:val="clear" w:color="auto" w:fill="99CCFF"/>
          </w:tcPr>
          <w:p w14:paraId="6EB9B806" w14:textId="77777777" w:rsidR="00500121" w:rsidRPr="007F011B" w:rsidRDefault="00500121" w:rsidP="00500121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spacing w:val="-2"/>
              </w:rPr>
            </w:pPr>
            <w:r w:rsidRPr="007F011B">
              <w:rPr>
                <w:rFonts w:ascii="Times New Roman" w:hAnsi="Times New Roman"/>
                <w:b/>
                <w:spacing w:val="-2"/>
              </w:rPr>
              <w:lastRenderedPageBreak/>
              <w:t xml:space="preserve">Wpływ na </w:t>
            </w:r>
            <w:r w:rsidRPr="007F011B">
              <w:rPr>
                <w:rFonts w:ascii="Times New Roman" w:hAnsi="Times New Roman"/>
                <w:b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7F011B" w:rsidRPr="007F011B" w14:paraId="084006E8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FFFFFF"/>
          </w:tcPr>
          <w:p w14:paraId="4F18DF6C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Skutki</w:t>
            </w:r>
          </w:p>
        </w:tc>
      </w:tr>
      <w:tr w:rsidR="007F011B" w:rsidRPr="007F011B" w14:paraId="6DA413E3" w14:textId="77777777" w:rsidTr="004F518E">
        <w:trPr>
          <w:trHeight w:val="142"/>
        </w:trPr>
        <w:tc>
          <w:tcPr>
            <w:tcW w:w="3872" w:type="dxa"/>
            <w:gridSpan w:val="7"/>
            <w:shd w:val="clear" w:color="auto" w:fill="FFFFFF"/>
          </w:tcPr>
          <w:p w14:paraId="1B55AF80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413A8456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CF3B1FA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052" w:type="dxa"/>
            <w:gridSpan w:val="2"/>
            <w:shd w:val="clear" w:color="auto" w:fill="FFFFFF"/>
          </w:tcPr>
          <w:p w14:paraId="2BFFC2C0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23" w:type="dxa"/>
            <w:gridSpan w:val="3"/>
            <w:shd w:val="clear" w:color="auto" w:fill="FFFFFF"/>
          </w:tcPr>
          <w:p w14:paraId="0DDF0E34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1309B2F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00BE400E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446" w:type="dxa"/>
            <w:gridSpan w:val="2"/>
            <w:shd w:val="clear" w:color="auto" w:fill="FFFFFF"/>
          </w:tcPr>
          <w:p w14:paraId="1DAC14BB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Łącznie</w:t>
            </w:r>
            <w:r w:rsidRPr="007F011B" w:rsidDel="0073273A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(0-10)</w:t>
            </w:r>
          </w:p>
        </w:tc>
      </w:tr>
      <w:tr w:rsidR="007F011B" w:rsidRPr="007F011B" w14:paraId="41C59C91" w14:textId="77777777" w:rsidTr="004F518E">
        <w:trPr>
          <w:trHeight w:val="142"/>
        </w:trPr>
        <w:tc>
          <w:tcPr>
            <w:tcW w:w="1587" w:type="dxa"/>
            <w:vMerge w:val="restart"/>
            <w:shd w:val="clear" w:color="auto" w:fill="FFFFFF"/>
          </w:tcPr>
          <w:p w14:paraId="4A9BDB85" w14:textId="77777777" w:rsidR="00500121" w:rsidRPr="007F011B" w:rsidRDefault="00500121" w:rsidP="00500121">
            <w:pPr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W ujęciu pieniężnym</w:t>
            </w:r>
          </w:p>
          <w:p w14:paraId="58415CB3" w14:textId="77777777" w:rsidR="00500121" w:rsidRPr="007F011B" w:rsidRDefault="00500121" w:rsidP="00500121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5E8E21A2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85" w:type="dxa"/>
            <w:gridSpan w:val="6"/>
            <w:shd w:val="clear" w:color="auto" w:fill="FFFFFF"/>
          </w:tcPr>
          <w:p w14:paraId="0DAD1F31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45925E63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1B3BCFAA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52" w:type="dxa"/>
            <w:gridSpan w:val="2"/>
            <w:shd w:val="clear" w:color="auto" w:fill="FFFFFF"/>
          </w:tcPr>
          <w:p w14:paraId="609A5C1C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23" w:type="dxa"/>
            <w:gridSpan w:val="3"/>
            <w:shd w:val="clear" w:color="auto" w:fill="FFFFFF"/>
          </w:tcPr>
          <w:p w14:paraId="1CCC9696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FB9A7FF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406EC19F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46" w:type="dxa"/>
            <w:gridSpan w:val="2"/>
            <w:shd w:val="clear" w:color="auto" w:fill="FFFFFF"/>
          </w:tcPr>
          <w:p w14:paraId="7406BE76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7F011B" w:rsidRPr="007F011B" w14:paraId="3DFA5E1A" w14:textId="77777777" w:rsidTr="004F518E">
        <w:trPr>
          <w:trHeight w:val="142"/>
        </w:trPr>
        <w:tc>
          <w:tcPr>
            <w:tcW w:w="1587" w:type="dxa"/>
            <w:vMerge/>
            <w:shd w:val="clear" w:color="auto" w:fill="FFFFFF"/>
          </w:tcPr>
          <w:p w14:paraId="55144F80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85" w:type="dxa"/>
            <w:gridSpan w:val="6"/>
            <w:shd w:val="clear" w:color="auto" w:fill="FFFFFF"/>
          </w:tcPr>
          <w:p w14:paraId="073ABFC3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3DB62A5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426446BB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52" w:type="dxa"/>
            <w:gridSpan w:val="2"/>
            <w:shd w:val="clear" w:color="auto" w:fill="FFFFFF"/>
          </w:tcPr>
          <w:p w14:paraId="1BFA5844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23" w:type="dxa"/>
            <w:gridSpan w:val="3"/>
            <w:shd w:val="clear" w:color="auto" w:fill="FFFFFF"/>
          </w:tcPr>
          <w:p w14:paraId="6E18E47E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C02B407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1EC14CEF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46" w:type="dxa"/>
            <w:gridSpan w:val="2"/>
            <w:shd w:val="clear" w:color="auto" w:fill="FFFFFF"/>
          </w:tcPr>
          <w:p w14:paraId="78B11EE0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7F011B" w:rsidRPr="007F011B" w14:paraId="67697FEE" w14:textId="77777777" w:rsidTr="004F518E">
        <w:trPr>
          <w:trHeight w:val="142"/>
        </w:trPr>
        <w:tc>
          <w:tcPr>
            <w:tcW w:w="1587" w:type="dxa"/>
            <w:vMerge/>
            <w:shd w:val="clear" w:color="auto" w:fill="FFFFFF"/>
          </w:tcPr>
          <w:p w14:paraId="48F8E67C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85" w:type="dxa"/>
            <w:gridSpan w:val="6"/>
            <w:shd w:val="clear" w:color="auto" w:fill="FFFFFF"/>
          </w:tcPr>
          <w:p w14:paraId="0FAEF120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45651671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21AC145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52" w:type="dxa"/>
            <w:gridSpan w:val="2"/>
            <w:shd w:val="clear" w:color="auto" w:fill="FFFFFF"/>
          </w:tcPr>
          <w:p w14:paraId="67755433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23" w:type="dxa"/>
            <w:gridSpan w:val="3"/>
            <w:shd w:val="clear" w:color="auto" w:fill="FFFFFF"/>
          </w:tcPr>
          <w:p w14:paraId="1B2C0418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2A5BEDA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2B97522A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46" w:type="dxa"/>
            <w:gridSpan w:val="2"/>
            <w:shd w:val="clear" w:color="auto" w:fill="FFFFFF"/>
          </w:tcPr>
          <w:p w14:paraId="6737EC1A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</w:tr>
      <w:tr w:rsidR="007F011B" w:rsidRPr="007F011B" w14:paraId="7EA07D2B" w14:textId="77777777" w:rsidTr="004F518E">
        <w:trPr>
          <w:trHeight w:val="142"/>
        </w:trPr>
        <w:tc>
          <w:tcPr>
            <w:tcW w:w="1587" w:type="dxa"/>
            <w:vMerge w:val="restart"/>
            <w:shd w:val="clear" w:color="auto" w:fill="FFFFFF"/>
          </w:tcPr>
          <w:p w14:paraId="555DA92C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W ujęciu niepieniężnym</w:t>
            </w:r>
          </w:p>
        </w:tc>
        <w:tc>
          <w:tcPr>
            <w:tcW w:w="2285" w:type="dxa"/>
            <w:gridSpan w:val="6"/>
            <w:shd w:val="clear" w:color="auto" w:fill="FFFFFF"/>
          </w:tcPr>
          <w:p w14:paraId="052FE36A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duże przedsiębiorstwa</w:t>
            </w:r>
          </w:p>
        </w:tc>
        <w:tc>
          <w:tcPr>
            <w:tcW w:w="7072" w:type="dxa"/>
            <w:gridSpan w:val="20"/>
            <w:shd w:val="clear" w:color="auto" w:fill="FFFFFF"/>
          </w:tcPr>
          <w:p w14:paraId="1934189A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7F011B" w:rsidRPr="007F011B" w14:paraId="114A6CAD" w14:textId="77777777" w:rsidTr="004F518E">
        <w:trPr>
          <w:trHeight w:val="142"/>
        </w:trPr>
        <w:tc>
          <w:tcPr>
            <w:tcW w:w="1587" w:type="dxa"/>
            <w:vMerge/>
            <w:shd w:val="clear" w:color="auto" w:fill="FFFFFF"/>
          </w:tcPr>
          <w:p w14:paraId="6DEEE7C9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85" w:type="dxa"/>
            <w:gridSpan w:val="6"/>
            <w:shd w:val="clear" w:color="auto" w:fill="FFFFFF"/>
          </w:tcPr>
          <w:p w14:paraId="013EEBF4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72" w:type="dxa"/>
            <w:gridSpan w:val="20"/>
            <w:shd w:val="clear" w:color="auto" w:fill="FFFFFF"/>
          </w:tcPr>
          <w:p w14:paraId="65EEB2B3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7F011B" w:rsidRPr="007F011B" w14:paraId="432C2B36" w14:textId="77777777" w:rsidTr="004F518E">
        <w:trPr>
          <w:trHeight w:val="596"/>
        </w:trPr>
        <w:tc>
          <w:tcPr>
            <w:tcW w:w="1587" w:type="dxa"/>
            <w:vMerge/>
            <w:shd w:val="clear" w:color="auto" w:fill="FFFFFF"/>
          </w:tcPr>
          <w:p w14:paraId="6F37DA26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85" w:type="dxa"/>
            <w:gridSpan w:val="6"/>
            <w:shd w:val="clear" w:color="auto" w:fill="FFFFFF"/>
          </w:tcPr>
          <w:p w14:paraId="4CB8D193" w14:textId="77777777" w:rsidR="00500121" w:rsidRPr="007F011B" w:rsidRDefault="00500121" w:rsidP="00500121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rodzina, obywatele oraz gospodarstwa domowe </w:t>
            </w:r>
          </w:p>
        </w:tc>
        <w:tc>
          <w:tcPr>
            <w:tcW w:w="7072" w:type="dxa"/>
            <w:gridSpan w:val="20"/>
            <w:shd w:val="clear" w:color="auto" w:fill="FFFFFF"/>
          </w:tcPr>
          <w:p w14:paraId="694CD249" w14:textId="77777777" w:rsidR="00500121" w:rsidRPr="007F011B" w:rsidRDefault="00500121" w:rsidP="0050012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7F011B" w:rsidRPr="007F011B" w14:paraId="72A2896C" w14:textId="77777777" w:rsidTr="004F518E">
        <w:trPr>
          <w:trHeight w:val="142"/>
        </w:trPr>
        <w:tc>
          <w:tcPr>
            <w:tcW w:w="1587" w:type="dxa"/>
            <w:shd w:val="clear" w:color="auto" w:fill="FFFFFF"/>
          </w:tcPr>
          <w:p w14:paraId="108297A7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Niemierzalne</w:t>
            </w:r>
          </w:p>
        </w:tc>
        <w:tc>
          <w:tcPr>
            <w:tcW w:w="2285" w:type="dxa"/>
            <w:gridSpan w:val="6"/>
            <w:shd w:val="clear" w:color="auto" w:fill="FFFFFF"/>
          </w:tcPr>
          <w:p w14:paraId="7D009DC2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7072" w:type="dxa"/>
            <w:gridSpan w:val="20"/>
            <w:shd w:val="clear" w:color="auto" w:fill="FFFFFF"/>
          </w:tcPr>
          <w:p w14:paraId="1BB10F3E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7F011B" w:rsidRPr="007F011B" w14:paraId="51CF92B4" w14:textId="77777777" w:rsidTr="004F518E">
        <w:trPr>
          <w:trHeight w:val="1230"/>
        </w:trPr>
        <w:tc>
          <w:tcPr>
            <w:tcW w:w="2229" w:type="dxa"/>
            <w:gridSpan w:val="2"/>
            <w:shd w:val="clear" w:color="auto" w:fill="FFFFFF"/>
          </w:tcPr>
          <w:p w14:paraId="607EF483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715" w:type="dxa"/>
            <w:gridSpan w:val="25"/>
            <w:shd w:val="clear" w:color="auto" w:fill="FFFFFF"/>
            <w:vAlign w:val="center"/>
          </w:tcPr>
          <w:p w14:paraId="01771E3C" w14:textId="000615D5" w:rsidR="00500121" w:rsidRPr="007F011B" w:rsidRDefault="00500121" w:rsidP="00500121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Wejście w życie projektowanej ustawy nie będzie miało wpływu na</w:t>
            </w: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konkurencyjność gospodarki i przedsiębiorczość, w tym funkcjonowanie przedsiębiorców oraz na rodzinę, obywateli i gospodarstwa domowe. </w:t>
            </w:r>
            <w:r w:rsidR="00C61B27" w:rsidRPr="007F011B">
              <w:rPr>
                <w:rFonts w:ascii="Times New Roman" w:hAnsi="Times New Roman"/>
                <w:sz w:val="21"/>
                <w:szCs w:val="21"/>
              </w:rPr>
              <w:t>Wejście w życie projektowanej ustawy nie będzie miało wpływu na sytuację ekonomiczną i społeczną rodziny, a także osób niepełnosprawnych oraz osób starszych.</w:t>
            </w:r>
          </w:p>
        </w:tc>
      </w:tr>
      <w:tr w:rsidR="007F011B" w:rsidRPr="007F011B" w14:paraId="48F3D0F8" w14:textId="77777777" w:rsidTr="004F518E">
        <w:trPr>
          <w:trHeight w:val="342"/>
        </w:trPr>
        <w:tc>
          <w:tcPr>
            <w:tcW w:w="10944" w:type="dxa"/>
            <w:gridSpan w:val="27"/>
            <w:shd w:val="clear" w:color="auto" w:fill="99CCFF"/>
            <w:vAlign w:val="center"/>
          </w:tcPr>
          <w:p w14:paraId="233BD1FE" w14:textId="77777777" w:rsidR="00500121" w:rsidRPr="007F011B" w:rsidRDefault="00500121" w:rsidP="0050012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 xml:space="preserve"> Zmiana obciążeń regulacyjnych (w tym obowiązków informacyjnych) wynikających z projektu</w:t>
            </w:r>
          </w:p>
        </w:tc>
      </w:tr>
      <w:tr w:rsidR="007F011B" w:rsidRPr="007F011B" w14:paraId="602DF09B" w14:textId="77777777" w:rsidTr="004F518E">
        <w:trPr>
          <w:trHeight w:val="151"/>
        </w:trPr>
        <w:tc>
          <w:tcPr>
            <w:tcW w:w="10944" w:type="dxa"/>
            <w:gridSpan w:val="27"/>
            <w:shd w:val="clear" w:color="auto" w:fill="FFFFFF"/>
          </w:tcPr>
          <w:p w14:paraId="4CA48FD0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7F011B" w:rsidRPr="007F011B" w14:paraId="5B07F886" w14:textId="77777777" w:rsidTr="004F518E">
        <w:trPr>
          <w:trHeight w:val="946"/>
        </w:trPr>
        <w:tc>
          <w:tcPr>
            <w:tcW w:w="5098" w:type="dxa"/>
            <w:gridSpan w:val="12"/>
            <w:shd w:val="clear" w:color="auto" w:fill="FFFFFF"/>
          </w:tcPr>
          <w:p w14:paraId="5D74668A" w14:textId="77777777" w:rsidR="00500121" w:rsidRPr="007F011B" w:rsidRDefault="00500121" w:rsidP="00500121">
            <w:pPr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 xml:space="preserve">Wprowadzane są obciążenia poza bezwzględnie wymaganymi przez UE </w:t>
            </w:r>
            <w:r w:rsidRPr="007F011B">
              <w:rPr>
                <w:rFonts w:ascii="Times New Roman" w:hAnsi="Times New Roman"/>
              </w:rPr>
              <w:t>(szczegóły w odwróconej tabeli zgodności).</w:t>
            </w:r>
          </w:p>
        </w:tc>
        <w:tc>
          <w:tcPr>
            <w:tcW w:w="5846" w:type="dxa"/>
            <w:gridSpan w:val="15"/>
            <w:shd w:val="clear" w:color="auto" w:fill="FFFFFF"/>
          </w:tcPr>
          <w:p w14:paraId="558E9C1D" w14:textId="77777777" w:rsidR="00500121" w:rsidRPr="007F011B" w:rsidRDefault="00500121" w:rsidP="00500121">
            <w:pPr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t>nie dotyczy</w:t>
            </w:r>
          </w:p>
        </w:tc>
      </w:tr>
      <w:tr w:rsidR="007F011B" w:rsidRPr="007F011B" w14:paraId="44F2F76E" w14:textId="77777777" w:rsidTr="004F518E">
        <w:trPr>
          <w:trHeight w:val="1245"/>
        </w:trPr>
        <w:tc>
          <w:tcPr>
            <w:tcW w:w="5098" w:type="dxa"/>
            <w:gridSpan w:val="12"/>
            <w:shd w:val="clear" w:color="auto" w:fill="FFFFFF"/>
          </w:tcPr>
          <w:p w14:paraId="5BD60D69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 xml:space="preserve">zmniejszenie liczby dokumentów </w:t>
            </w:r>
          </w:p>
          <w:p w14:paraId="3DCD6217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zmniejszenie liczby procedur</w:t>
            </w:r>
          </w:p>
          <w:p w14:paraId="0B38EA3F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skrócenie czasu na załatwienie sprawy</w:t>
            </w:r>
          </w:p>
          <w:p w14:paraId="217F16DB" w14:textId="77777777" w:rsidR="00500121" w:rsidRPr="007F011B" w:rsidRDefault="00500121" w:rsidP="00500121">
            <w:pPr>
              <w:rPr>
                <w:rFonts w:ascii="Times New Roman" w:hAnsi="Times New Roman"/>
                <w:b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inne:</w:t>
            </w:r>
            <w:r w:rsidRPr="007F011B">
              <w:rPr>
                <w:rFonts w:ascii="Times New Roman" w:hAnsi="Times New Roman"/>
              </w:rPr>
              <w:t xml:space="preserve"> </w:t>
            </w:r>
            <w:r w:rsidRPr="007F011B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FORMTEXT </w:instrText>
            </w:r>
            <w:r w:rsidRPr="007F011B">
              <w:rPr>
                <w:rFonts w:ascii="Times New Roman" w:hAnsi="Times New Roman"/>
              </w:rPr>
            </w:r>
            <w:r w:rsidRPr="007F011B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6" w:type="dxa"/>
            <w:gridSpan w:val="15"/>
            <w:shd w:val="clear" w:color="auto" w:fill="FFFFFF"/>
          </w:tcPr>
          <w:p w14:paraId="239C8A3B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zwiększenie liczby dokumentów</w:t>
            </w:r>
          </w:p>
          <w:p w14:paraId="476FB587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zwiększenie liczby procedur</w:t>
            </w:r>
          </w:p>
          <w:p w14:paraId="2393C972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wydłużenie czasu na załatwienie sprawy</w:t>
            </w:r>
          </w:p>
          <w:p w14:paraId="77A3E63D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inne:</w:t>
            </w:r>
            <w:r w:rsidRPr="007F011B">
              <w:rPr>
                <w:rFonts w:ascii="Times New Roman" w:hAnsi="Times New Roman"/>
              </w:rPr>
              <w:t xml:space="preserve"> </w:t>
            </w:r>
            <w:r w:rsidRPr="007F011B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FORMTEXT </w:instrText>
            </w:r>
            <w:r w:rsidRPr="007F011B">
              <w:rPr>
                <w:rFonts w:ascii="Times New Roman" w:hAnsi="Times New Roman"/>
              </w:rPr>
            </w:r>
            <w:r w:rsidRPr="007F011B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 w:hAnsi="Times New Roman"/>
              </w:rPr>
              <w:fldChar w:fldCharType="end"/>
            </w:r>
          </w:p>
          <w:p w14:paraId="65C4AB78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7F011B" w:rsidRPr="007F011B" w14:paraId="61882D14" w14:textId="77777777" w:rsidTr="004F518E">
        <w:trPr>
          <w:trHeight w:val="638"/>
        </w:trPr>
        <w:tc>
          <w:tcPr>
            <w:tcW w:w="5098" w:type="dxa"/>
            <w:gridSpan w:val="12"/>
            <w:shd w:val="clear" w:color="auto" w:fill="FFFFFF"/>
          </w:tcPr>
          <w:p w14:paraId="380B12D3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46" w:type="dxa"/>
            <w:gridSpan w:val="15"/>
            <w:shd w:val="clear" w:color="auto" w:fill="FFFFFF"/>
          </w:tcPr>
          <w:p w14:paraId="1BDDF6A8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t>nie dotyczy</w:t>
            </w:r>
          </w:p>
          <w:p w14:paraId="2D4C41E1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7F011B" w:rsidRPr="007F011B" w14:paraId="7B101D43" w14:textId="77777777" w:rsidTr="004F518E">
        <w:trPr>
          <w:trHeight w:val="749"/>
        </w:trPr>
        <w:tc>
          <w:tcPr>
            <w:tcW w:w="10944" w:type="dxa"/>
            <w:gridSpan w:val="27"/>
            <w:shd w:val="clear" w:color="auto" w:fill="FFFFFF"/>
          </w:tcPr>
          <w:p w14:paraId="40363806" w14:textId="355BBB3E" w:rsidR="00C61B27" w:rsidRPr="007F011B" w:rsidRDefault="00DD5FB0" w:rsidP="00DD5FB0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Komentarz: Projektowana</w:t>
            </w:r>
            <w:r w:rsidR="00C61B27" w:rsidRPr="007F011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ustawa</w:t>
            </w:r>
            <w:r w:rsidR="00C61B27" w:rsidRPr="007F011B">
              <w:rPr>
                <w:rFonts w:ascii="Times New Roman" w:hAnsi="Times New Roman"/>
              </w:rPr>
              <w:t xml:space="preserve"> nie będzie miało wpływu na ww. obszary </w:t>
            </w:r>
          </w:p>
        </w:tc>
      </w:tr>
      <w:tr w:rsidR="007F011B" w:rsidRPr="007F011B" w14:paraId="032F0E26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99CCFF"/>
          </w:tcPr>
          <w:p w14:paraId="343F8070" w14:textId="77777777" w:rsidR="00500121" w:rsidRPr="007F011B" w:rsidRDefault="00500121" w:rsidP="00500121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 xml:space="preserve">Wpływ na rynek pracy </w:t>
            </w:r>
          </w:p>
        </w:tc>
      </w:tr>
      <w:tr w:rsidR="007F011B" w:rsidRPr="007F011B" w14:paraId="5D3CD19C" w14:textId="77777777" w:rsidTr="004F518E">
        <w:trPr>
          <w:trHeight w:val="312"/>
        </w:trPr>
        <w:tc>
          <w:tcPr>
            <w:tcW w:w="10944" w:type="dxa"/>
            <w:gridSpan w:val="27"/>
            <w:shd w:val="clear" w:color="auto" w:fill="auto"/>
          </w:tcPr>
          <w:p w14:paraId="3F3E89E4" w14:textId="5736EE92" w:rsidR="00500121" w:rsidRPr="007F011B" w:rsidRDefault="00500121" w:rsidP="00DD5FB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t>Wejście w życie projektowane</w:t>
            </w:r>
            <w:r w:rsidR="00DD5FB0">
              <w:rPr>
                <w:rFonts w:ascii="Times New Roman" w:hAnsi="Times New Roman"/>
              </w:rPr>
              <w:t>j</w:t>
            </w:r>
            <w:r w:rsidRPr="007F011B">
              <w:rPr>
                <w:rFonts w:ascii="Times New Roman" w:hAnsi="Times New Roman"/>
              </w:rPr>
              <w:t xml:space="preserve"> </w:t>
            </w:r>
            <w:r w:rsidR="00DD5FB0">
              <w:rPr>
                <w:rFonts w:ascii="Times New Roman" w:hAnsi="Times New Roman"/>
              </w:rPr>
              <w:t>ustawy</w:t>
            </w:r>
            <w:r w:rsidRPr="007F011B">
              <w:rPr>
                <w:rFonts w:ascii="Times New Roman" w:hAnsi="Times New Roman"/>
              </w:rPr>
              <w:t xml:space="preserve"> nie będzi</w:t>
            </w:r>
            <w:r w:rsidR="001517C2" w:rsidRPr="007F011B">
              <w:rPr>
                <w:rFonts w:ascii="Times New Roman" w:hAnsi="Times New Roman"/>
              </w:rPr>
              <w:t xml:space="preserve">e miało wpływu na rynek pracy. </w:t>
            </w:r>
          </w:p>
        </w:tc>
      </w:tr>
      <w:tr w:rsidR="007F011B" w:rsidRPr="007F011B" w14:paraId="65A173D7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99CCFF"/>
          </w:tcPr>
          <w:p w14:paraId="01424017" w14:textId="77777777" w:rsidR="00500121" w:rsidRPr="007F011B" w:rsidRDefault="00500121" w:rsidP="00500121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>Wpływ na pozostałe obszary</w:t>
            </w:r>
          </w:p>
        </w:tc>
      </w:tr>
      <w:tr w:rsidR="007F011B" w:rsidRPr="007F011B" w14:paraId="67BCF7EC" w14:textId="77777777" w:rsidTr="004F518E">
        <w:trPr>
          <w:trHeight w:val="1031"/>
        </w:trPr>
        <w:tc>
          <w:tcPr>
            <w:tcW w:w="3535" w:type="dxa"/>
            <w:gridSpan w:val="6"/>
            <w:shd w:val="clear" w:color="auto" w:fill="FFFFFF"/>
          </w:tcPr>
          <w:p w14:paraId="7DE5F5DD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</w:p>
          <w:p w14:paraId="7A162720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środowisko naturalne</w:t>
            </w:r>
          </w:p>
          <w:p w14:paraId="3EE802F7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</w:rPr>
              <w:t>sytuacja i rozwój regionalny</w:t>
            </w:r>
          </w:p>
          <w:p w14:paraId="65C69FCF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 xml:space="preserve">inne: </w:t>
            </w:r>
            <w:r w:rsidRPr="007F011B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FORMTEXT </w:instrText>
            </w:r>
            <w:r w:rsidRPr="007F011B">
              <w:rPr>
                <w:rFonts w:ascii="Times New Roman" w:hAnsi="Times New Roman"/>
              </w:rPr>
            </w:r>
            <w:r w:rsidRPr="007F011B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831" w:type="dxa"/>
            <w:gridSpan w:val="12"/>
            <w:shd w:val="clear" w:color="auto" w:fill="FFFFFF"/>
          </w:tcPr>
          <w:p w14:paraId="0FEDBF7D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</w:p>
          <w:p w14:paraId="2ED7D87B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demografia</w:t>
            </w:r>
          </w:p>
          <w:p w14:paraId="2998B7C2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</w:rPr>
              <w:t>mienie państwowe</w:t>
            </w:r>
          </w:p>
        </w:tc>
        <w:tc>
          <w:tcPr>
            <w:tcW w:w="3578" w:type="dxa"/>
            <w:gridSpan w:val="9"/>
            <w:shd w:val="clear" w:color="auto" w:fill="FFFFFF"/>
          </w:tcPr>
          <w:p w14:paraId="62CE557B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</w:p>
          <w:p w14:paraId="20B23EE1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informatyzacja</w:t>
            </w:r>
          </w:p>
          <w:p w14:paraId="7123067E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373142">
              <w:rPr>
                <w:rFonts w:ascii="Times New Roman" w:hAnsi="Times New Roman"/>
              </w:rPr>
            </w:r>
            <w:r w:rsidR="00373142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zdrowie</w:t>
            </w:r>
          </w:p>
        </w:tc>
      </w:tr>
      <w:tr w:rsidR="007F011B" w:rsidRPr="007F011B" w14:paraId="2E441E2D" w14:textId="77777777" w:rsidTr="004F518E">
        <w:trPr>
          <w:trHeight w:val="408"/>
        </w:trPr>
        <w:tc>
          <w:tcPr>
            <w:tcW w:w="2229" w:type="dxa"/>
            <w:gridSpan w:val="2"/>
            <w:shd w:val="clear" w:color="auto" w:fill="FFFFFF"/>
            <w:vAlign w:val="center"/>
          </w:tcPr>
          <w:p w14:paraId="57800528" w14:textId="77777777" w:rsidR="00500121" w:rsidRPr="007F011B" w:rsidRDefault="00500121" w:rsidP="0050012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t>Omówienie wpływu</w:t>
            </w:r>
          </w:p>
        </w:tc>
        <w:tc>
          <w:tcPr>
            <w:tcW w:w="8715" w:type="dxa"/>
            <w:gridSpan w:val="25"/>
            <w:shd w:val="clear" w:color="auto" w:fill="FFFFFF"/>
            <w:vAlign w:val="center"/>
          </w:tcPr>
          <w:p w14:paraId="6552A300" w14:textId="77777777" w:rsidR="00500121" w:rsidRPr="007F011B" w:rsidRDefault="00500121" w:rsidP="0050012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>Brak wpływu</w:t>
            </w:r>
          </w:p>
        </w:tc>
      </w:tr>
      <w:tr w:rsidR="007F011B" w:rsidRPr="007F011B" w14:paraId="5A132138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99CCFF"/>
          </w:tcPr>
          <w:p w14:paraId="064682C3" w14:textId="77777777" w:rsidR="00500121" w:rsidRPr="007F011B" w:rsidRDefault="00500121" w:rsidP="0050012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7F011B" w:rsidRPr="007F011B" w14:paraId="12E24EE9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FFFFFF"/>
          </w:tcPr>
          <w:p w14:paraId="727B426D" w14:textId="7E8CF478" w:rsidR="00B07F60" w:rsidRPr="007F011B" w:rsidRDefault="007D7811" w:rsidP="00B07F6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 xml:space="preserve">Wejście w życie projektowanej ustawy proponuje </w:t>
            </w:r>
            <w:r w:rsidR="00D45AE7" w:rsidRPr="007F011B">
              <w:rPr>
                <w:rFonts w:ascii="Times New Roman" w:hAnsi="Times New Roman"/>
                <w:spacing w:val="-2"/>
              </w:rPr>
              <w:t xml:space="preserve">się ustalić </w:t>
            </w:r>
            <w:r w:rsidR="00851232" w:rsidRPr="007F011B">
              <w:rPr>
                <w:rFonts w:ascii="Times New Roman" w:hAnsi="Times New Roman"/>
                <w:spacing w:val="-2"/>
              </w:rPr>
              <w:t xml:space="preserve">co do zasady </w:t>
            </w:r>
            <w:r w:rsidR="00D45AE7" w:rsidRPr="007F011B">
              <w:rPr>
                <w:rFonts w:ascii="Times New Roman" w:hAnsi="Times New Roman"/>
                <w:spacing w:val="-2"/>
              </w:rPr>
              <w:t xml:space="preserve">na dzień 1 </w:t>
            </w:r>
            <w:r w:rsidR="00B07F60" w:rsidRPr="007F011B">
              <w:rPr>
                <w:rFonts w:ascii="Times New Roman" w:hAnsi="Times New Roman"/>
                <w:spacing w:val="-2"/>
              </w:rPr>
              <w:t xml:space="preserve">stycznia </w:t>
            </w:r>
            <w:r w:rsidR="00D45AE7" w:rsidRPr="007F011B">
              <w:rPr>
                <w:rFonts w:ascii="Times New Roman" w:hAnsi="Times New Roman"/>
                <w:spacing w:val="-2"/>
              </w:rPr>
              <w:t>202</w:t>
            </w:r>
            <w:r w:rsidR="00B07F60" w:rsidRPr="007F011B">
              <w:rPr>
                <w:rFonts w:ascii="Times New Roman" w:hAnsi="Times New Roman"/>
                <w:spacing w:val="-2"/>
              </w:rPr>
              <w:t>1</w:t>
            </w:r>
            <w:r w:rsidRPr="007F011B">
              <w:rPr>
                <w:rFonts w:ascii="Times New Roman" w:hAnsi="Times New Roman"/>
                <w:spacing w:val="-2"/>
              </w:rPr>
              <w:t xml:space="preserve">r. </w:t>
            </w:r>
            <w:r w:rsidR="00851232" w:rsidRPr="007F011B">
              <w:rPr>
                <w:rFonts w:ascii="Times New Roman" w:hAnsi="Times New Roman"/>
                <w:spacing w:val="-2"/>
              </w:rPr>
              <w:t>Wyjątkiem będą przepisy</w:t>
            </w:r>
            <w:r w:rsidR="00B07F60" w:rsidRPr="007F011B">
              <w:rPr>
                <w:rFonts w:ascii="Times New Roman" w:hAnsi="Times New Roman"/>
                <w:spacing w:val="-2"/>
              </w:rPr>
              <w:t xml:space="preserve"> dotyczące nowych zasad wydawania zaświadczeń o zarejestrowaniu pobytu obywatela UE, kart pobytowych, dokumentów potwierdzających prawo stałego pobytu oraz kart stałego pobytu, które wejdą w życie z dniem 2 sierpnia 2021 r.  Taki zabieg pozwoli na dostosowanie systemu teleinformatycznego do nowego sposobu personalizacji karty pobytowej i karty stałego pobytu, a także na przygotowanie się do wydawania zaświadczenia o zarejestrowaniu pobytu obywatela UE w nowym formacie, tj. dokumentu zabezpieczonego ze zdjęciem. Powyższ</w:t>
            </w:r>
            <w:r w:rsidR="00C61B27" w:rsidRPr="007F011B">
              <w:rPr>
                <w:rFonts w:ascii="Times New Roman" w:hAnsi="Times New Roman"/>
                <w:spacing w:val="-2"/>
              </w:rPr>
              <w:t>a</w:t>
            </w:r>
            <w:r w:rsidR="00B07F60" w:rsidRPr="007F011B">
              <w:rPr>
                <w:rFonts w:ascii="Times New Roman" w:hAnsi="Times New Roman"/>
                <w:spacing w:val="-2"/>
              </w:rPr>
              <w:t xml:space="preserve"> data jest zbieżna </w:t>
            </w:r>
            <w:r w:rsidR="00C61B27" w:rsidRPr="007F011B">
              <w:rPr>
                <w:rFonts w:ascii="Times New Roman" w:hAnsi="Times New Roman"/>
                <w:spacing w:val="-2"/>
              </w:rPr>
              <w:t xml:space="preserve">z </w:t>
            </w:r>
            <w:r w:rsidR="00B07F60" w:rsidRPr="007F011B">
              <w:rPr>
                <w:rFonts w:ascii="Times New Roman" w:hAnsi="Times New Roman"/>
                <w:spacing w:val="-2"/>
              </w:rPr>
              <w:t>datą rozpoczęcia stosowania</w:t>
            </w:r>
            <w:r w:rsidR="00C61B27" w:rsidRPr="007F011B">
              <w:rPr>
                <w:rFonts w:ascii="Times New Roman" w:hAnsi="Times New Roman"/>
                <w:spacing w:val="-2"/>
              </w:rPr>
              <w:t xml:space="preserve"> przepisów</w:t>
            </w:r>
            <w:r w:rsidR="00B07F60" w:rsidRPr="007F011B">
              <w:rPr>
                <w:rFonts w:ascii="Times New Roman" w:hAnsi="Times New Roman"/>
                <w:spacing w:val="-2"/>
              </w:rPr>
              <w:t xml:space="preserve"> rozporządzania Rady (UE) 2019/1157</w:t>
            </w:r>
            <w:r w:rsidR="00B210F3" w:rsidRPr="007F011B">
              <w:rPr>
                <w:rFonts w:ascii="Times New Roman" w:hAnsi="Times New Roman"/>
                <w:spacing w:val="-2"/>
              </w:rPr>
              <w:t xml:space="preserve"> (art. 16 ww. rozporządzenia).</w:t>
            </w:r>
          </w:p>
          <w:p w14:paraId="2AEE4BE5" w14:textId="7FB780B1" w:rsidR="00500121" w:rsidRPr="007F011B" w:rsidRDefault="00500121" w:rsidP="00B07F6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7F011B" w:rsidRPr="007F011B" w14:paraId="2647F8BD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99CCFF"/>
          </w:tcPr>
          <w:p w14:paraId="0EF9F566" w14:textId="77777777" w:rsidR="00500121" w:rsidRPr="007F011B" w:rsidRDefault="00500121" w:rsidP="0050012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 xml:space="preserve"> </w:t>
            </w:r>
            <w:r w:rsidRPr="007F011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7F011B" w:rsidRPr="007F011B" w14:paraId="49658BA7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FFFFFF"/>
          </w:tcPr>
          <w:p w14:paraId="321E245B" w14:textId="75335618" w:rsidR="00500121" w:rsidRPr="007F011B" w:rsidRDefault="00500121" w:rsidP="00634C1C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lastRenderedPageBreak/>
              <w:t xml:space="preserve">Zmiana ustawy o wjeździe </w:t>
            </w:r>
            <w:r w:rsidR="009F0007" w:rsidRPr="007F011B">
              <w:rPr>
                <w:rFonts w:ascii="Times New Roman" w:hAnsi="Times New Roman"/>
                <w:spacing w:val="-2"/>
              </w:rPr>
              <w:t xml:space="preserve">obywateli UE ma </w:t>
            </w:r>
            <w:r w:rsidRPr="007F011B">
              <w:rPr>
                <w:rFonts w:ascii="Times New Roman" w:hAnsi="Times New Roman"/>
                <w:spacing w:val="-2"/>
              </w:rPr>
              <w:t>na celu przede wszystkim dostosowanie polskiego porządku prawnego do prawa Unii Europejskie</w:t>
            </w:r>
            <w:r w:rsidR="00093154" w:rsidRPr="007F011B">
              <w:rPr>
                <w:rFonts w:ascii="Times New Roman" w:hAnsi="Times New Roman"/>
                <w:spacing w:val="-2"/>
              </w:rPr>
              <w:t>j</w:t>
            </w:r>
            <w:r w:rsidRPr="007F011B">
              <w:rPr>
                <w:rFonts w:ascii="Times New Roman" w:hAnsi="Times New Roman"/>
                <w:spacing w:val="-2"/>
              </w:rPr>
              <w:t xml:space="preserve"> oraz orzeczeń Trybunału Sprawiedliwości UE.</w:t>
            </w:r>
            <w:r w:rsidRPr="007F011B"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W związku z tym ewaluacja nie powinna dotyczyć przepisów projektowanej ustawy</w:t>
            </w:r>
            <w:r w:rsidR="001517C2" w:rsidRPr="007F011B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7F011B" w:rsidRPr="007F011B" w14:paraId="64E62B1D" w14:textId="77777777" w:rsidTr="004F518E">
        <w:trPr>
          <w:trHeight w:val="142"/>
        </w:trPr>
        <w:tc>
          <w:tcPr>
            <w:tcW w:w="10944" w:type="dxa"/>
            <w:gridSpan w:val="27"/>
            <w:shd w:val="clear" w:color="auto" w:fill="99CCFF"/>
          </w:tcPr>
          <w:p w14:paraId="57AB6247" w14:textId="77777777" w:rsidR="00500121" w:rsidRPr="007F011B" w:rsidRDefault="00500121" w:rsidP="0050012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pacing w:val="-2"/>
              </w:rPr>
            </w:pPr>
            <w:r w:rsidRPr="007F011B">
              <w:rPr>
                <w:rFonts w:ascii="Times New Roman" w:hAnsi="Times New Roman"/>
                <w:b/>
                <w:spacing w:val="-2"/>
              </w:rPr>
              <w:t xml:space="preserve">Załączniki </w:t>
            </w:r>
            <w:r w:rsidRPr="007F011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(istotne dokumenty źródłowe, badania, analizy itp.</w:t>
            </w:r>
            <w:r w:rsidRPr="007F011B">
              <w:rPr>
                <w:rFonts w:ascii="Times New Roman" w:hAnsi="Times New Roman"/>
                <w:b/>
                <w:spacing w:val="-2"/>
              </w:rPr>
              <w:t xml:space="preserve">) </w:t>
            </w:r>
          </w:p>
        </w:tc>
      </w:tr>
      <w:tr w:rsidR="007F011B" w:rsidRPr="007F011B" w14:paraId="395140A4" w14:textId="77777777" w:rsidTr="004F518E">
        <w:trPr>
          <w:trHeight w:val="395"/>
        </w:trPr>
        <w:tc>
          <w:tcPr>
            <w:tcW w:w="10944" w:type="dxa"/>
            <w:gridSpan w:val="27"/>
            <w:shd w:val="clear" w:color="auto" w:fill="FFFFFF"/>
          </w:tcPr>
          <w:p w14:paraId="6D10D1E5" w14:textId="77777777" w:rsidR="00500121" w:rsidRPr="007F011B" w:rsidRDefault="00157B09" w:rsidP="0050012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>Brak</w:t>
            </w:r>
          </w:p>
        </w:tc>
      </w:tr>
    </w:tbl>
    <w:p w14:paraId="7D29B68E" w14:textId="77777777" w:rsidR="006176ED" w:rsidRPr="007F011B" w:rsidRDefault="006176ED" w:rsidP="00AA1587">
      <w:pPr>
        <w:spacing w:after="120"/>
        <w:jc w:val="both"/>
        <w:rPr>
          <w:rFonts w:ascii="Times New Roman" w:hAnsi="Times New Roman"/>
          <w:sz w:val="20"/>
          <w:szCs w:val="20"/>
        </w:rPr>
      </w:pPr>
    </w:p>
    <w:sectPr w:rsidR="006176ED" w:rsidRPr="007F011B" w:rsidSect="00725DE7">
      <w:footerReference w:type="default" r:id="rId8"/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4598B" w14:textId="77777777" w:rsidR="00745DCB" w:rsidRDefault="00745DCB" w:rsidP="00044739">
      <w:pPr>
        <w:spacing w:line="240" w:lineRule="auto"/>
      </w:pPr>
      <w:r>
        <w:separator/>
      </w:r>
    </w:p>
  </w:endnote>
  <w:endnote w:type="continuationSeparator" w:id="0">
    <w:p w14:paraId="787CA48A" w14:textId="77777777" w:rsidR="00745DCB" w:rsidRDefault="00745DCB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8649583"/>
      <w:docPartObj>
        <w:docPartGallery w:val="Page Numbers (Bottom of Page)"/>
        <w:docPartUnique/>
      </w:docPartObj>
    </w:sdtPr>
    <w:sdtEndPr/>
    <w:sdtContent>
      <w:p w14:paraId="4DC6EA53" w14:textId="6D82F979" w:rsidR="003F3A89" w:rsidRDefault="003F3A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142" w:rsidRPr="00373142">
          <w:rPr>
            <w:noProof/>
            <w:lang w:val="pl-PL"/>
          </w:rPr>
          <w:t>13</w:t>
        </w:r>
        <w:r>
          <w:fldChar w:fldCharType="end"/>
        </w:r>
      </w:p>
    </w:sdtContent>
  </w:sdt>
  <w:p w14:paraId="631850A3" w14:textId="77777777" w:rsidR="003F3A89" w:rsidRDefault="003F3A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2FCB7" w14:textId="77777777" w:rsidR="00745DCB" w:rsidRDefault="00745DCB" w:rsidP="00044739">
      <w:pPr>
        <w:spacing w:line="240" w:lineRule="auto"/>
      </w:pPr>
      <w:r>
        <w:separator/>
      </w:r>
    </w:p>
  </w:footnote>
  <w:footnote w:type="continuationSeparator" w:id="0">
    <w:p w14:paraId="26A486BD" w14:textId="77777777" w:rsidR="00745DCB" w:rsidRDefault="00745DCB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073E"/>
    <w:multiLevelType w:val="hybridMultilevel"/>
    <w:tmpl w:val="18A26DD4"/>
    <w:lvl w:ilvl="0" w:tplc="CD06DD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5CDB"/>
    <w:multiLevelType w:val="hybridMultilevel"/>
    <w:tmpl w:val="22AA5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5" w15:restartNumberingAfterBreak="0">
    <w:nsid w:val="1BAD6ABB"/>
    <w:multiLevelType w:val="hybridMultilevel"/>
    <w:tmpl w:val="B3069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D405DA"/>
    <w:multiLevelType w:val="hybridMultilevel"/>
    <w:tmpl w:val="56BE0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1" w15:restartNumberingAfterBreak="0">
    <w:nsid w:val="234255B4"/>
    <w:multiLevelType w:val="hybridMultilevel"/>
    <w:tmpl w:val="2536D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D62FB"/>
    <w:multiLevelType w:val="hybridMultilevel"/>
    <w:tmpl w:val="08703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608D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16047"/>
    <w:multiLevelType w:val="hybridMultilevel"/>
    <w:tmpl w:val="9836C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C68FF"/>
    <w:multiLevelType w:val="hybridMultilevel"/>
    <w:tmpl w:val="B44C3E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1608D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B317C"/>
    <w:multiLevelType w:val="hybridMultilevel"/>
    <w:tmpl w:val="4A027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F765A"/>
    <w:multiLevelType w:val="hybridMultilevel"/>
    <w:tmpl w:val="9B5239F0"/>
    <w:lvl w:ilvl="0" w:tplc="CD06DD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FFA593E">
      <w:start w:val="5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0" w15:restartNumberingAfterBreak="0">
    <w:nsid w:val="3A9B15AB"/>
    <w:multiLevelType w:val="hybridMultilevel"/>
    <w:tmpl w:val="0B2C0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0147DBC"/>
    <w:multiLevelType w:val="hybridMultilevel"/>
    <w:tmpl w:val="F1060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5" w15:restartNumberingAfterBreak="0">
    <w:nsid w:val="4CBE5A95"/>
    <w:multiLevelType w:val="hybridMultilevel"/>
    <w:tmpl w:val="B1DE0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C198B"/>
    <w:multiLevelType w:val="hybridMultilevel"/>
    <w:tmpl w:val="1E1A29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7D12EDC"/>
    <w:multiLevelType w:val="hybridMultilevel"/>
    <w:tmpl w:val="B53C4C18"/>
    <w:lvl w:ilvl="0" w:tplc="CD06DD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654615"/>
    <w:multiLevelType w:val="hybridMultilevel"/>
    <w:tmpl w:val="8D544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3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316B2"/>
    <w:multiLevelType w:val="hybridMultilevel"/>
    <w:tmpl w:val="087E19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3CDD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 w15:restartNumberingAfterBreak="0">
    <w:nsid w:val="6A3B3867"/>
    <w:multiLevelType w:val="multilevel"/>
    <w:tmpl w:val="F2C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8"/>
  </w:num>
  <w:num w:numId="4">
    <w:abstractNumId w:val="33"/>
  </w:num>
  <w:num w:numId="5">
    <w:abstractNumId w:val="3"/>
  </w:num>
  <w:num w:numId="6">
    <w:abstractNumId w:val="12"/>
  </w:num>
  <w:num w:numId="7">
    <w:abstractNumId w:val="23"/>
  </w:num>
  <w:num w:numId="8">
    <w:abstractNumId w:val="7"/>
  </w:num>
  <w:num w:numId="9">
    <w:abstractNumId w:val="27"/>
  </w:num>
  <w:num w:numId="10">
    <w:abstractNumId w:val="21"/>
  </w:num>
  <w:num w:numId="11">
    <w:abstractNumId w:val="24"/>
  </w:num>
  <w:num w:numId="12">
    <w:abstractNumId w:val="4"/>
  </w:num>
  <w:num w:numId="13">
    <w:abstractNumId w:val="19"/>
  </w:num>
  <w:num w:numId="14">
    <w:abstractNumId w:val="35"/>
  </w:num>
  <w:num w:numId="15">
    <w:abstractNumId w:val="30"/>
  </w:num>
  <w:num w:numId="16">
    <w:abstractNumId w:val="32"/>
  </w:num>
  <w:num w:numId="17">
    <w:abstractNumId w:val="8"/>
  </w:num>
  <w:num w:numId="18">
    <w:abstractNumId w:val="37"/>
  </w:num>
  <w:num w:numId="19">
    <w:abstractNumId w:val="38"/>
  </w:num>
  <w:num w:numId="20">
    <w:abstractNumId w:val="31"/>
  </w:num>
  <w:num w:numId="21">
    <w:abstractNumId w:val="10"/>
  </w:num>
  <w:num w:numId="22">
    <w:abstractNumId w:val="34"/>
  </w:num>
  <w:num w:numId="23">
    <w:abstractNumId w:val="36"/>
  </w:num>
  <w:num w:numId="24">
    <w:abstractNumId w:val="2"/>
  </w:num>
  <w:num w:numId="25">
    <w:abstractNumId w:val="22"/>
  </w:num>
  <w:num w:numId="26">
    <w:abstractNumId w:val="17"/>
  </w:num>
  <w:num w:numId="27">
    <w:abstractNumId w:val="28"/>
  </w:num>
  <w:num w:numId="28">
    <w:abstractNumId w:val="0"/>
  </w:num>
  <w:num w:numId="29">
    <w:abstractNumId w:val="25"/>
  </w:num>
  <w:num w:numId="30">
    <w:abstractNumId w:val="13"/>
  </w:num>
  <w:num w:numId="31">
    <w:abstractNumId w:val="29"/>
  </w:num>
  <w:num w:numId="32">
    <w:abstractNumId w:val="11"/>
  </w:num>
  <w:num w:numId="33">
    <w:abstractNumId w:val="14"/>
  </w:num>
  <w:num w:numId="34">
    <w:abstractNumId w:val="16"/>
  </w:num>
  <w:num w:numId="35">
    <w:abstractNumId w:val="9"/>
  </w:num>
  <w:num w:numId="36">
    <w:abstractNumId w:val="20"/>
  </w:num>
  <w:num w:numId="37">
    <w:abstractNumId w:val="5"/>
  </w:num>
  <w:num w:numId="38">
    <w:abstractNumId w:val="26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B11"/>
    <w:rsid w:val="00004C6A"/>
    <w:rsid w:val="00007F60"/>
    <w:rsid w:val="00012D11"/>
    <w:rsid w:val="00013EB5"/>
    <w:rsid w:val="000143FC"/>
    <w:rsid w:val="00014BFB"/>
    <w:rsid w:val="0001516B"/>
    <w:rsid w:val="00020034"/>
    <w:rsid w:val="0002103A"/>
    <w:rsid w:val="00023836"/>
    <w:rsid w:val="000265E7"/>
    <w:rsid w:val="00032D7C"/>
    <w:rsid w:val="000356A9"/>
    <w:rsid w:val="00037D94"/>
    <w:rsid w:val="00037FE9"/>
    <w:rsid w:val="00040C02"/>
    <w:rsid w:val="000427D7"/>
    <w:rsid w:val="00044138"/>
    <w:rsid w:val="00044739"/>
    <w:rsid w:val="00044855"/>
    <w:rsid w:val="00045916"/>
    <w:rsid w:val="00051637"/>
    <w:rsid w:val="000538D3"/>
    <w:rsid w:val="0005515C"/>
    <w:rsid w:val="00056681"/>
    <w:rsid w:val="000572BB"/>
    <w:rsid w:val="00057463"/>
    <w:rsid w:val="000648A7"/>
    <w:rsid w:val="0006618B"/>
    <w:rsid w:val="000670C0"/>
    <w:rsid w:val="00071B99"/>
    <w:rsid w:val="0007284D"/>
    <w:rsid w:val="000756E5"/>
    <w:rsid w:val="000760D6"/>
    <w:rsid w:val="0007704E"/>
    <w:rsid w:val="00080CF0"/>
    <w:rsid w:val="00080EC8"/>
    <w:rsid w:val="0008118A"/>
    <w:rsid w:val="00084D83"/>
    <w:rsid w:val="00092BF8"/>
    <w:rsid w:val="00093154"/>
    <w:rsid w:val="000944AC"/>
    <w:rsid w:val="00094CB9"/>
    <w:rsid w:val="000956B2"/>
    <w:rsid w:val="000A23DE"/>
    <w:rsid w:val="000A4020"/>
    <w:rsid w:val="000A4D4F"/>
    <w:rsid w:val="000A52D7"/>
    <w:rsid w:val="000B2517"/>
    <w:rsid w:val="000B2DAE"/>
    <w:rsid w:val="000B4AFD"/>
    <w:rsid w:val="000B54FB"/>
    <w:rsid w:val="000C0AAD"/>
    <w:rsid w:val="000C29B0"/>
    <w:rsid w:val="000C351F"/>
    <w:rsid w:val="000C76FC"/>
    <w:rsid w:val="000D1D8E"/>
    <w:rsid w:val="000D23CE"/>
    <w:rsid w:val="000D38FC"/>
    <w:rsid w:val="000D4D90"/>
    <w:rsid w:val="000E2D10"/>
    <w:rsid w:val="000E7802"/>
    <w:rsid w:val="000F18BF"/>
    <w:rsid w:val="000F2995"/>
    <w:rsid w:val="000F3204"/>
    <w:rsid w:val="000F3621"/>
    <w:rsid w:val="000F6928"/>
    <w:rsid w:val="000F72E5"/>
    <w:rsid w:val="00101A3E"/>
    <w:rsid w:val="00103F9D"/>
    <w:rsid w:val="0010548B"/>
    <w:rsid w:val="001068E6"/>
    <w:rsid w:val="001072D1"/>
    <w:rsid w:val="00116774"/>
    <w:rsid w:val="00117017"/>
    <w:rsid w:val="00130E8E"/>
    <w:rsid w:val="00132087"/>
    <w:rsid w:val="0013216E"/>
    <w:rsid w:val="0013262A"/>
    <w:rsid w:val="00132CD5"/>
    <w:rsid w:val="00133625"/>
    <w:rsid w:val="00136D18"/>
    <w:rsid w:val="001401B5"/>
    <w:rsid w:val="001422B9"/>
    <w:rsid w:val="0014569F"/>
    <w:rsid w:val="0014665F"/>
    <w:rsid w:val="001517C2"/>
    <w:rsid w:val="00153464"/>
    <w:rsid w:val="001541B3"/>
    <w:rsid w:val="001549B4"/>
    <w:rsid w:val="001555FA"/>
    <w:rsid w:val="00155B15"/>
    <w:rsid w:val="00157B09"/>
    <w:rsid w:val="00161BE4"/>
    <w:rsid w:val="001625BE"/>
    <w:rsid w:val="0016426B"/>
    <w:rsid w:val="001643A4"/>
    <w:rsid w:val="001654DA"/>
    <w:rsid w:val="00167715"/>
    <w:rsid w:val="001727BB"/>
    <w:rsid w:val="00174728"/>
    <w:rsid w:val="00180D25"/>
    <w:rsid w:val="0018318D"/>
    <w:rsid w:val="0018572C"/>
    <w:rsid w:val="00187E79"/>
    <w:rsid w:val="00187F0D"/>
    <w:rsid w:val="00192CC5"/>
    <w:rsid w:val="001956A7"/>
    <w:rsid w:val="00195AE6"/>
    <w:rsid w:val="001A118A"/>
    <w:rsid w:val="001A1ADB"/>
    <w:rsid w:val="001A27F4"/>
    <w:rsid w:val="001A2D95"/>
    <w:rsid w:val="001A46F9"/>
    <w:rsid w:val="001A5F85"/>
    <w:rsid w:val="001A6200"/>
    <w:rsid w:val="001B1B34"/>
    <w:rsid w:val="001B3460"/>
    <w:rsid w:val="001B4CA1"/>
    <w:rsid w:val="001B6490"/>
    <w:rsid w:val="001B75D8"/>
    <w:rsid w:val="001B7762"/>
    <w:rsid w:val="001C098D"/>
    <w:rsid w:val="001C0FE3"/>
    <w:rsid w:val="001C1060"/>
    <w:rsid w:val="001C36CC"/>
    <w:rsid w:val="001C3C63"/>
    <w:rsid w:val="001C72F0"/>
    <w:rsid w:val="001D3908"/>
    <w:rsid w:val="001D4732"/>
    <w:rsid w:val="001D6A3C"/>
    <w:rsid w:val="001D6D51"/>
    <w:rsid w:val="001E4139"/>
    <w:rsid w:val="001F2D88"/>
    <w:rsid w:val="001F2FC6"/>
    <w:rsid w:val="001F4E53"/>
    <w:rsid w:val="001F6979"/>
    <w:rsid w:val="00202BC6"/>
    <w:rsid w:val="00205141"/>
    <w:rsid w:val="0020516B"/>
    <w:rsid w:val="0020735C"/>
    <w:rsid w:val="00210111"/>
    <w:rsid w:val="00213559"/>
    <w:rsid w:val="00213EFD"/>
    <w:rsid w:val="002172F1"/>
    <w:rsid w:val="00220992"/>
    <w:rsid w:val="00223C7B"/>
    <w:rsid w:val="002247B7"/>
    <w:rsid w:val="00224AB1"/>
    <w:rsid w:val="00225029"/>
    <w:rsid w:val="00225784"/>
    <w:rsid w:val="0022583D"/>
    <w:rsid w:val="0022687A"/>
    <w:rsid w:val="00230728"/>
    <w:rsid w:val="00233529"/>
    <w:rsid w:val="00234040"/>
    <w:rsid w:val="00235CD2"/>
    <w:rsid w:val="00252BE9"/>
    <w:rsid w:val="00254DED"/>
    <w:rsid w:val="00255599"/>
    <w:rsid w:val="00255619"/>
    <w:rsid w:val="00255DAD"/>
    <w:rsid w:val="00256108"/>
    <w:rsid w:val="00256D11"/>
    <w:rsid w:val="00260F33"/>
    <w:rsid w:val="002613BD"/>
    <w:rsid w:val="002624F1"/>
    <w:rsid w:val="002678D9"/>
    <w:rsid w:val="00267B80"/>
    <w:rsid w:val="00270C81"/>
    <w:rsid w:val="00271558"/>
    <w:rsid w:val="00273D5D"/>
    <w:rsid w:val="00274862"/>
    <w:rsid w:val="002749BB"/>
    <w:rsid w:val="00274B9B"/>
    <w:rsid w:val="00280E05"/>
    <w:rsid w:val="00280EF2"/>
    <w:rsid w:val="00282D0A"/>
    <w:rsid w:val="00282D72"/>
    <w:rsid w:val="00283402"/>
    <w:rsid w:val="002836CB"/>
    <w:rsid w:val="00283E61"/>
    <w:rsid w:val="002902A9"/>
    <w:rsid w:val="00290820"/>
    <w:rsid w:val="00290FD6"/>
    <w:rsid w:val="00291081"/>
    <w:rsid w:val="00294259"/>
    <w:rsid w:val="002A2C81"/>
    <w:rsid w:val="002A42D5"/>
    <w:rsid w:val="002A796A"/>
    <w:rsid w:val="002B2226"/>
    <w:rsid w:val="002B3D1A"/>
    <w:rsid w:val="002B5AFD"/>
    <w:rsid w:val="002B5B14"/>
    <w:rsid w:val="002C2C9B"/>
    <w:rsid w:val="002C4DB7"/>
    <w:rsid w:val="002C64AB"/>
    <w:rsid w:val="002D0538"/>
    <w:rsid w:val="002D13B9"/>
    <w:rsid w:val="002D17D6"/>
    <w:rsid w:val="002D18D7"/>
    <w:rsid w:val="002D21CE"/>
    <w:rsid w:val="002D7724"/>
    <w:rsid w:val="002E3DA3"/>
    <w:rsid w:val="002E450F"/>
    <w:rsid w:val="002E6B38"/>
    <w:rsid w:val="002E6D63"/>
    <w:rsid w:val="002E6E2B"/>
    <w:rsid w:val="002F0896"/>
    <w:rsid w:val="002F3D3C"/>
    <w:rsid w:val="002F500B"/>
    <w:rsid w:val="002F56B4"/>
    <w:rsid w:val="002F664A"/>
    <w:rsid w:val="00301959"/>
    <w:rsid w:val="00305B8A"/>
    <w:rsid w:val="00307A36"/>
    <w:rsid w:val="00307B39"/>
    <w:rsid w:val="00310F19"/>
    <w:rsid w:val="003146AC"/>
    <w:rsid w:val="00317324"/>
    <w:rsid w:val="00317425"/>
    <w:rsid w:val="00331BF9"/>
    <w:rsid w:val="0033495E"/>
    <w:rsid w:val="00334A79"/>
    <w:rsid w:val="00334D8D"/>
    <w:rsid w:val="00337345"/>
    <w:rsid w:val="00337DD2"/>
    <w:rsid w:val="003404D1"/>
    <w:rsid w:val="00341645"/>
    <w:rsid w:val="003443FF"/>
    <w:rsid w:val="00352678"/>
    <w:rsid w:val="00355808"/>
    <w:rsid w:val="003558C2"/>
    <w:rsid w:val="00362C7E"/>
    <w:rsid w:val="00363601"/>
    <w:rsid w:val="00366809"/>
    <w:rsid w:val="00373142"/>
    <w:rsid w:val="003757AE"/>
    <w:rsid w:val="00376AC9"/>
    <w:rsid w:val="003810CB"/>
    <w:rsid w:val="003823B1"/>
    <w:rsid w:val="00384FD7"/>
    <w:rsid w:val="003860C1"/>
    <w:rsid w:val="00393032"/>
    <w:rsid w:val="00394B69"/>
    <w:rsid w:val="00397078"/>
    <w:rsid w:val="003A65EE"/>
    <w:rsid w:val="003A6953"/>
    <w:rsid w:val="003B3562"/>
    <w:rsid w:val="003B36E5"/>
    <w:rsid w:val="003B6083"/>
    <w:rsid w:val="003C0D4F"/>
    <w:rsid w:val="003C3838"/>
    <w:rsid w:val="003C4990"/>
    <w:rsid w:val="003C5847"/>
    <w:rsid w:val="003D0681"/>
    <w:rsid w:val="003D12F6"/>
    <w:rsid w:val="003D1426"/>
    <w:rsid w:val="003D3BA7"/>
    <w:rsid w:val="003D5E6E"/>
    <w:rsid w:val="003E1085"/>
    <w:rsid w:val="003E2F4E"/>
    <w:rsid w:val="003E720A"/>
    <w:rsid w:val="003F3A89"/>
    <w:rsid w:val="003F6EBE"/>
    <w:rsid w:val="003F7013"/>
    <w:rsid w:val="0040114C"/>
    <w:rsid w:val="00403E6E"/>
    <w:rsid w:val="00404EEB"/>
    <w:rsid w:val="00410945"/>
    <w:rsid w:val="0041119D"/>
    <w:rsid w:val="00411FE5"/>
    <w:rsid w:val="004129B4"/>
    <w:rsid w:val="004142C4"/>
    <w:rsid w:val="00417828"/>
    <w:rsid w:val="00417EF0"/>
    <w:rsid w:val="00422181"/>
    <w:rsid w:val="00422CEC"/>
    <w:rsid w:val="004244A8"/>
    <w:rsid w:val="00425F72"/>
    <w:rsid w:val="00427736"/>
    <w:rsid w:val="0044058C"/>
    <w:rsid w:val="00441787"/>
    <w:rsid w:val="00443662"/>
    <w:rsid w:val="00444F2D"/>
    <w:rsid w:val="00452034"/>
    <w:rsid w:val="00455FA6"/>
    <w:rsid w:val="004572D1"/>
    <w:rsid w:val="00463A2A"/>
    <w:rsid w:val="004643C6"/>
    <w:rsid w:val="00466C70"/>
    <w:rsid w:val="004702C9"/>
    <w:rsid w:val="00472E45"/>
    <w:rsid w:val="00473FEA"/>
    <w:rsid w:val="0047579D"/>
    <w:rsid w:val="004766AE"/>
    <w:rsid w:val="0047691C"/>
    <w:rsid w:val="0048151B"/>
    <w:rsid w:val="00483262"/>
    <w:rsid w:val="00483C14"/>
    <w:rsid w:val="00484107"/>
    <w:rsid w:val="00485CC5"/>
    <w:rsid w:val="00485F6C"/>
    <w:rsid w:val="00486751"/>
    <w:rsid w:val="00487C29"/>
    <w:rsid w:val="0049001A"/>
    <w:rsid w:val="00491AC5"/>
    <w:rsid w:val="0049343F"/>
    <w:rsid w:val="00494F58"/>
    <w:rsid w:val="004964FC"/>
    <w:rsid w:val="00497544"/>
    <w:rsid w:val="004A145E"/>
    <w:rsid w:val="004A1F15"/>
    <w:rsid w:val="004A2A81"/>
    <w:rsid w:val="004A3351"/>
    <w:rsid w:val="004A7BD7"/>
    <w:rsid w:val="004C0B0C"/>
    <w:rsid w:val="004C15C2"/>
    <w:rsid w:val="004C1A03"/>
    <w:rsid w:val="004C36D8"/>
    <w:rsid w:val="004D1248"/>
    <w:rsid w:val="004D1E3C"/>
    <w:rsid w:val="004D2A3D"/>
    <w:rsid w:val="004D4169"/>
    <w:rsid w:val="004D6E14"/>
    <w:rsid w:val="004F114A"/>
    <w:rsid w:val="004F4E17"/>
    <w:rsid w:val="004F518E"/>
    <w:rsid w:val="00500121"/>
    <w:rsid w:val="0050082F"/>
    <w:rsid w:val="00500C56"/>
    <w:rsid w:val="00500EFF"/>
    <w:rsid w:val="00501713"/>
    <w:rsid w:val="00506568"/>
    <w:rsid w:val="00511200"/>
    <w:rsid w:val="005124F1"/>
    <w:rsid w:val="0051551B"/>
    <w:rsid w:val="00520C57"/>
    <w:rsid w:val="00522312"/>
    <w:rsid w:val="00522D94"/>
    <w:rsid w:val="00527A91"/>
    <w:rsid w:val="00531257"/>
    <w:rsid w:val="005319C3"/>
    <w:rsid w:val="00532422"/>
    <w:rsid w:val="00533D89"/>
    <w:rsid w:val="00536564"/>
    <w:rsid w:val="005379E9"/>
    <w:rsid w:val="00544597"/>
    <w:rsid w:val="00544FFE"/>
    <w:rsid w:val="00546D28"/>
    <w:rsid w:val="005473F5"/>
    <w:rsid w:val="005477E7"/>
    <w:rsid w:val="005517EA"/>
    <w:rsid w:val="00552794"/>
    <w:rsid w:val="005562B3"/>
    <w:rsid w:val="00563199"/>
    <w:rsid w:val="00564874"/>
    <w:rsid w:val="00566163"/>
    <w:rsid w:val="005674D0"/>
    <w:rsid w:val="00567963"/>
    <w:rsid w:val="0057009A"/>
    <w:rsid w:val="0057070E"/>
    <w:rsid w:val="00571260"/>
    <w:rsid w:val="0057189C"/>
    <w:rsid w:val="00573F5D"/>
    <w:rsid w:val="00573FC1"/>
    <w:rsid w:val="005741EE"/>
    <w:rsid w:val="005746D7"/>
    <w:rsid w:val="0057668E"/>
    <w:rsid w:val="0058168E"/>
    <w:rsid w:val="005910CA"/>
    <w:rsid w:val="005911BA"/>
    <w:rsid w:val="005926A0"/>
    <w:rsid w:val="00595E83"/>
    <w:rsid w:val="00596530"/>
    <w:rsid w:val="005967F3"/>
    <w:rsid w:val="005A06DF"/>
    <w:rsid w:val="005A171D"/>
    <w:rsid w:val="005A2F87"/>
    <w:rsid w:val="005A5527"/>
    <w:rsid w:val="005A5AE6"/>
    <w:rsid w:val="005B1206"/>
    <w:rsid w:val="005B37E8"/>
    <w:rsid w:val="005C0056"/>
    <w:rsid w:val="005C2DE3"/>
    <w:rsid w:val="005D1453"/>
    <w:rsid w:val="005D283F"/>
    <w:rsid w:val="005D3838"/>
    <w:rsid w:val="005D5565"/>
    <w:rsid w:val="005E02A4"/>
    <w:rsid w:val="005E0D13"/>
    <w:rsid w:val="005E5047"/>
    <w:rsid w:val="005E5D87"/>
    <w:rsid w:val="005E7205"/>
    <w:rsid w:val="005E7371"/>
    <w:rsid w:val="005F116C"/>
    <w:rsid w:val="005F2131"/>
    <w:rsid w:val="005F28C3"/>
    <w:rsid w:val="005F2AF5"/>
    <w:rsid w:val="005F369B"/>
    <w:rsid w:val="005F41A6"/>
    <w:rsid w:val="005F6102"/>
    <w:rsid w:val="00603C36"/>
    <w:rsid w:val="00605387"/>
    <w:rsid w:val="00605EF6"/>
    <w:rsid w:val="006061E1"/>
    <w:rsid w:val="00606455"/>
    <w:rsid w:val="0060675F"/>
    <w:rsid w:val="00614929"/>
    <w:rsid w:val="00616511"/>
    <w:rsid w:val="00616A69"/>
    <w:rsid w:val="006176ED"/>
    <w:rsid w:val="006202F3"/>
    <w:rsid w:val="0062097A"/>
    <w:rsid w:val="00621DA6"/>
    <w:rsid w:val="006228CD"/>
    <w:rsid w:val="00623CFE"/>
    <w:rsid w:val="006244FF"/>
    <w:rsid w:val="00627221"/>
    <w:rsid w:val="00627EE8"/>
    <w:rsid w:val="00627F62"/>
    <w:rsid w:val="006316FA"/>
    <w:rsid w:val="006334CD"/>
    <w:rsid w:val="00634C1C"/>
    <w:rsid w:val="0063565C"/>
    <w:rsid w:val="006370D2"/>
    <w:rsid w:val="0064074F"/>
    <w:rsid w:val="00641F55"/>
    <w:rsid w:val="00642CF9"/>
    <w:rsid w:val="00645E4A"/>
    <w:rsid w:val="00650A22"/>
    <w:rsid w:val="00650CEC"/>
    <w:rsid w:val="00653688"/>
    <w:rsid w:val="0066091B"/>
    <w:rsid w:val="006660E9"/>
    <w:rsid w:val="0066683F"/>
    <w:rsid w:val="00667249"/>
    <w:rsid w:val="00667558"/>
    <w:rsid w:val="00671523"/>
    <w:rsid w:val="00671DEA"/>
    <w:rsid w:val="00673117"/>
    <w:rsid w:val="006754EF"/>
    <w:rsid w:val="00676C8D"/>
    <w:rsid w:val="00676F1F"/>
    <w:rsid w:val="00677381"/>
    <w:rsid w:val="00677414"/>
    <w:rsid w:val="006779C3"/>
    <w:rsid w:val="006820FC"/>
    <w:rsid w:val="006829F2"/>
    <w:rsid w:val="006832CF"/>
    <w:rsid w:val="0068493F"/>
    <w:rsid w:val="0068601E"/>
    <w:rsid w:val="006900F7"/>
    <w:rsid w:val="0069486B"/>
    <w:rsid w:val="00697F5F"/>
    <w:rsid w:val="006A407B"/>
    <w:rsid w:val="006A4904"/>
    <w:rsid w:val="006A548F"/>
    <w:rsid w:val="006A6B35"/>
    <w:rsid w:val="006A701A"/>
    <w:rsid w:val="006A7CD6"/>
    <w:rsid w:val="006B3C72"/>
    <w:rsid w:val="006B64DC"/>
    <w:rsid w:val="006B6F06"/>
    <w:rsid w:val="006B7A91"/>
    <w:rsid w:val="006C2269"/>
    <w:rsid w:val="006C4272"/>
    <w:rsid w:val="006C5794"/>
    <w:rsid w:val="006C7CDB"/>
    <w:rsid w:val="006D0AD1"/>
    <w:rsid w:val="006D4704"/>
    <w:rsid w:val="006D5538"/>
    <w:rsid w:val="006D6A2D"/>
    <w:rsid w:val="006E0310"/>
    <w:rsid w:val="006E1E18"/>
    <w:rsid w:val="006E31CE"/>
    <w:rsid w:val="006E34D3"/>
    <w:rsid w:val="006E69CB"/>
    <w:rsid w:val="006F071B"/>
    <w:rsid w:val="006F0A45"/>
    <w:rsid w:val="006F1435"/>
    <w:rsid w:val="006F78C4"/>
    <w:rsid w:val="007031A0"/>
    <w:rsid w:val="00703325"/>
    <w:rsid w:val="00703EB5"/>
    <w:rsid w:val="00705A29"/>
    <w:rsid w:val="00707498"/>
    <w:rsid w:val="00711266"/>
    <w:rsid w:val="00711A65"/>
    <w:rsid w:val="00712166"/>
    <w:rsid w:val="00714133"/>
    <w:rsid w:val="00714DA4"/>
    <w:rsid w:val="007158B2"/>
    <w:rsid w:val="00716081"/>
    <w:rsid w:val="00716D5C"/>
    <w:rsid w:val="007172BE"/>
    <w:rsid w:val="00722B48"/>
    <w:rsid w:val="00724164"/>
    <w:rsid w:val="00725DE7"/>
    <w:rsid w:val="007261CE"/>
    <w:rsid w:val="0072636A"/>
    <w:rsid w:val="00726B44"/>
    <w:rsid w:val="00727B5D"/>
    <w:rsid w:val="007303D8"/>
    <w:rsid w:val="007318DD"/>
    <w:rsid w:val="00733167"/>
    <w:rsid w:val="00736388"/>
    <w:rsid w:val="00740417"/>
    <w:rsid w:val="00740D2C"/>
    <w:rsid w:val="00741E7D"/>
    <w:rsid w:val="00744BF9"/>
    <w:rsid w:val="00745DCB"/>
    <w:rsid w:val="00747C8D"/>
    <w:rsid w:val="00747EEE"/>
    <w:rsid w:val="007509E0"/>
    <w:rsid w:val="00752623"/>
    <w:rsid w:val="0075538E"/>
    <w:rsid w:val="00760F1F"/>
    <w:rsid w:val="0076423E"/>
    <w:rsid w:val="007646CB"/>
    <w:rsid w:val="0076658F"/>
    <w:rsid w:val="0077040A"/>
    <w:rsid w:val="00772D64"/>
    <w:rsid w:val="00774D86"/>
    <w:rsid w:val="0077652E"/>
    <w:rsid w:val="007807D5"/>
    <w:rsid w:val="007922FC"/>
    <w:rsid w:val="00792609"/>
    <w:rsid w:val="00793878"/>
    <w:rsid w:val="00793DC2"/>
    <w:rsid w:val="007943E2"/>
    <w:rsid w:val="00794F2C"/>
    <w:rsid w:val="00795D01"/>
    <w:rsid w:val="007A3366"/>
    <w:rsid w:val="007A3BC7"/>
    <w:rsid w:val="007A5AC4"/>
    <w:rsid w:val="007B0FDD"/>
    <w:rsid w:val="007B1397"/>
    <w:rsid w:val="007B4802"/>
    <w:rsid w:val="007B6668"/>
    <w:rsid w:val="007B6B33"/>
    <w:rsid w:val="007C0BFC"/>
    <w:rsid w:val="007C2701"/>
    <w:rsid w:val="007C4844"/>
    <w:rsid w:val="007C5534"/>
    <w:rsid w:val="007D2192"/>
    <w:rsid w:val="007D4AE4"/>
    <w:rsid w:val="007D7811"/>
    <w:rsid w:val="007E3AE7"/>
    <w:rsid w:val="007F0021"/>
    <w:rsid w:val="007F011B"/>
    <w:rsid w:val="007F1226"/>
    <w:rsid w:val="007F2A59"/>
    <w:rsid w:val="007F2F52"/>
    <w:rsid w:val="007F5C4E"/>
    <w:rsid w:val="00804297"/>
    <w:rsid w:val="00805F28"/>
    <w:rsid w:val="0080749F"/>
    <w:rsid w:val="00807AA0"/>
    <w:rsid w:val="00811D46"/>
    <w:rsid w:val="008125B0"/>
    <w:rsid w:val="00813AC9"/>
    <w:rsid w:val="008144CB"/>
    <w:rsid w:val="00815254"/>
    <w:rsid w:val="00815796"/>
    <w:rsid w:val="00820B3C"/>
    <w:rsid w:val="00821717"/>
    <w:rsid w:val="008237DE"/>
    <w:rsid w:val="00824210"/>
    <w:rsid w:val="008263C0"/>
    <w:rsid w:val="00841422"/>
    <w:rsid w:val="00841D3B"/>
    <w:rsid w:val="0084314C"/>
    <w:rsid w:val="00843171"/>
    <w:rsid w:val="008439BD"/>
    <w:rsid w:val="008469DA"/>
    <w:rsid w:val="00851232"/>
    <w:rsid w:val="008575C3"/>
    <w:rsid w:val="00863D28"/>
    <w:rsid w:val="008648C3"/>
    <w:rsid w:val="00867C73"/>
    <w:rsid w:val="0087280E"/>
    <w:rsid w:val="00872A1F"/>
    <w:rsid w:val="00873AE7"/>
    <w:rsid w:val="00873D38"/>
    <w:rsid w:val="00876B10"/>
    <w:rsid w:val="00876EDB"/>
    <w:rsid w:val="00880F26"/>
    <w:rsid w:val="00886973"/>
    <w:rsid w:val="00886BE8"/>
    <w:rsid w:val="00887AA8"/>
    <w:rsid w:val="00896079"/>
    <w:rsid w:val="00896C2E"/>
    <w:rsid w:val="008A5095"/>
    <w:rsid w:val="008A608F"/>
    <w:rsid w:val="008A6717"/>
    <w:rsid w:val="008B13E1"/>
    <w:rsid w:val="008B1A9A"/>
    <w:rsid w:val="008B4FE6"/>
    <w:rsid w:val="008B6C37"/>
    <w:rsid w:val="008B7427"/>
    <w:rsid w:val="008C2100"/>
    <w:rsid w:val="008C3041"/>
    <w:rsid w:val="008D1FCB"/>
    <w:rsid w:val="008E18F7"/>
    <w:rsid w:val="008E1E10"/>
    <w:rsid w:val="008E23CE"/>
    <w:rsid w:val="008E291B"/>
    <w:rsid w:val="008E4F2F"/>
    <w:rsid w:val="008E5397"/>
    <w:rsid w:val="008E5822"/>
    <w:rsid w:val="008E5CA3"/>
    <w:rsid w:val="008E74B0"/>
    <w:rsid w:val="008F6DAF"/>
    <w:rsid w:val="009008A8"/>
    <w:rsid w:val="00905F6C"/>
    <w:rsid w:val="00906058"/>
    <w:rsid w:val="009063B0"/>
    <w:rsid w:val="00907106"/>
    <w:rsid w:val="00910691"/>
    <w:rsid w:val="009107FD"/>
    <w:rsid w:val="0091137C"/>
    <w:rsid w:val="00911567"/>
    <w:rsid w:val="0091553D"/>
    <w:rsid w:val="009169D3"/>
    <w:rsid w:val="00917AAE"/>
    <w:rsid w:val="009219DA"/>
    <w:rsid w:val="009251A9"/>
    <w:rsid w:val="00926538"/>
    <w:rsid w:val="00930699"/>
    <w:rsid w:val="00931F69"/>
    <w:rsid w:val="00934123"/>
    <w:rsid w:val="00934C38"/>
    <w:rsid w:val="00946FAB"/>
    <w:rsid w:val="009518B5"/>
    <w:rsid w:val="00951E4B"/>
    <w:rsid w:val="00955774"/>
    <w:rsid w:val="009560B5"/>
    <w:rsid w:val="00956F58"/>
    <w:rsid w:val="009669A4"/>
    <w:rsid w:val="009703D6"/>
    <w:rsid w:val="0097181B"/>
    <w:rsid w:val="009726E6"/>
    <w:rsid w:val="00976DC5"/>
    <w:rsid w:val="00980570"/>
    <w:rsid w:val="009818C7"/>
    <w:rsid w:val="0098235A"/>
    <w:rsid w:val="00982DD4"/>
    <w:rsid w:val="0098355D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97565"/>
    <w:rsid w:val="009A237E"/>
    <w:rsid w:val="009A3D28"/>
    <w:rsid w:val="009A73E3"/>
    <w:rsid w:val="009B046B"/>
    <w:rsid w:val="009B049C"/>
    <w:rsid w:val="009B11C8"/>
    <w:rsid w:val="009B2BCF"/>
    <w:rsid w:val="009B2FF8"/>
    <w:rsid w:val="009B33B2"/>
    <w:rsid w:val="009B4D66"/>
    <w:rsid w:val="009B5BA3"/>
    <w:rsid w:val="009D0027"/>
    <w:rsid w:val="009D0655"/>
    <w:rsid w:val="009D49AD"/>
    <w:rsid w:val="009D5D20"/>
    <w:rsid w:val="009E0EF6"/>
    <w:rsid w:val="009E1E98"/>
    <w:rsid w:val="009E2755"/>
    <w:rsid w:val="009E36B9"/>
    <w:rsid w:val="009E3ABE"/>
    <w:rsid w:val="009E3C4B"/>
    <w:rsid w:val="009F0007"/>
    <w:rsid w:val="009F0637"/>
    <w:rsid w:val="009F3D91"/>
    <w:rsid w:val="009F49F0"/>
    <w:rsid w:val="009F62A6"/>
    <w:rsid w:val="009F674F"/>
    <w:rsid w:val="009F799E"/>
    <w:rsid w:val="00A0180C"/>
    <w:rsid w:val="00A02020"/>
    <w:rsid w:val="00A056CB"/>
    <w:rsid w:val="00A07A29"/>
    <w:rsid w:val="00A10DE7"/>
    <w:rsid w:val="00A10FF1"/>
    <w:rsid w:val="00A1506B"/>
    <w:rsid w:val="00A17CB2"/>
    <w:rsid w:val="00A23191"/>
    <w:rsid w:val="00A2505D"/>
    <w:rsid w:val="00A26E29"/>
    <w:rsid w:val="00A27D18"/>
    <w:rsid w:val="00A319C0"/>
    <w:rsid w:val="00A33560"/>
    <w:rsid w:val="00A371A5"/>
    <w:rsid w:val="00A40249"/>
    <w:rsid w:val="00A41341"/>
    <w:rsid w:val="00A43E8F"/>
    <w:rsid w:val="00A44364"/>
    <w:rsid w:val="00A45A0D"/>
    <w:rsid w:val="00A47BDF"/>
    <w:rsid w:val="00A51071"/>
    <w:rsid w:val="00A5107A"/>
    <w:rsid w:val="00A512CF"/>
    <w:rsid w:val="00A51CD7"/>
    <w:rsid w:val="00A5274F"/>
    <w:rsid w:val="00A52ADB"/>
    <w:rsid w:val="00A533E8"/>
    <w:rsid w:val="00A542D9"/>
    <w:rsid w:val="00A56E64"/>
    <w:rsid w:val="00A57F18"/>
    <w:rsid w:val="00A6153F"/>
    <w:rsid w:val="00A624C3"/>
    <w:rsid w:val="00A6264C"/>
    <w:rsid w:val="00A658D9"/>
    <w:rsid w:val="00A6603B"/>
    <w:rsid w:val="00A6641C"/>
    <w:rsid w:val="00A70F55"/>
    <w:rsid w:val="00A72ED1"/>
    <w:rsid w:val="00A74B05"/>
    <w:rsid w:val="00A75F35"/>
    <w:rsid w:val="00A766B3"/>
    <w:rsid w:val="00A767D2"/>
    <w:rsid w:val="00A77616"/>
    <w:rsid w:val="00A805DA"/>
    <w:rsid w:val="00A811B4"/>
    <w:rsid w:val="00A87557"/>
    <w:rsid w:val="00A87CDE"/>
    <w:rsid w:val="00A92BAF"/>
    <w:rsid w:val="00A94737"/>
    <w:rsid w:val="00A94BA3"/>
    <w:rsid w:val="00A95B3F"/>
    <w:rsid w:val="00A96CBA"/>
    <w:rsid w:val="00AA1587"/>
    <w:rsid w:val="00AB1ACD"/>
    <w:rsid w:val="00AB277F"/>
    <w:rsid w:val="00AB4099"/>
    <w:rsid w:val="00AB449A"/>
    <w:rsid w:val="00AC6579"/>
    <w:rsid w:val="00AD14F9"/>
    <w:rsid w:val="00AD2903"/>
    <w:rsid w:val="00AD2DFE"/>
    <w:rsid w:val="00AD35D6"/>
    <w:rsid w:val="00AD58C5"/>
    <w:rsid w:val="00AE36C4"/>
    <w:rsid w:val="00AE472C"/>
    <w:rsid w:val="00AE5375"/>
    <w:rsid w:val="00AE629F"/>
    <w:rsid w:val="00AE6CF8"/>
    <w:rsid w:val="00AF07FA"/>
    <w:rsid w:val="00AF2BE9"/>
    <w:rsid w:val="00AF49D5"/>
    <w:rsid w:val="00AF4CAC"/>
    <w:rsid w:val="00AF51A0"/>
    <w:rsid w:val="00AF7E11"/>
    <w:rsid w:val="00B006A7"/>
    <w:rsid w:val="00B020CC"/>
    <w:rsid w:val="00B03E0D"/>
    <w:rsid w:val="00B03E30"/>
    <w:rsid w:val="00B054F8"/>
    <w:rsid w:val="00B055C6"/>
    <w:rsid w:val="00B07F60"/>
    <w:rsid w:val="00B161B9"/>
    <w:rsid w:val="00B210F3"/>
    <w:rsid w:val="00B2219A"/>
    <w:rsid w:val="00B226CD"/>
    <w:rsid w:val="00B26F59"/>
    <w:rsid w:val="00B320A0"/>
    <w:rsid w:val="00B3581B"/>
    <w:rsid w:val="00B36B81"/>
    <w:rsid w:val="00B36FEE"/>
    <w:rsid w:val="00B37C80"/>
    <w:rsid w:val="00B404F9"/>
    <w:rsid w:val="00B5092B"/>
    <w:rsid w:val="00B5194E"/>
    <w:rsid w:val="00B51AF5"/>
    <w:rsid w:val="00B52CA1"/>
    <w:rsid w:val="00B531FC"/>
    <w:rsid w:val="00B53811"/>
    <w:rsid w:val="00B55347"/>
    <w:rsid w:val="00B55DDD"/>
    <w:rsid w:val="00B57E5E"/>
    <w:rsid w:val="00B61F37"/>
    <w:rsid w:val="00B639E9"/>
    <w:rsid w:val="00B702AB"/>
    <w:rsid w:val="00B7770F"/>
    <w:rsid w:val="00B77A89"/>
    <w:rsid w:val="00B77B27"/>
    <w:rsid w:val="00B805ED"/>
    <w:rsid w:val="00B8134E"/>
    <w:rsid w:val="00B81722"/>
    <w:rsid w:val="00B81B55"/>
    <w:rsid w:val="00B84613"/>
    <w:rsid w:val="00B87AF0"/>
    <w:rsid w:val="00B87DE4"/>
    <w:rsid w:val="00B9037B"/>
    <w:rsid w:val="00B905E1"/>
    <w:rsid w:val="00B910BD"/>
    <w:rsid w:val="00B9231B"/>
    <w:rsid w:val="00B93834"/>
    <w:rsid w:val="00B96469"/>
    <w:rsid w:val="00BA0DA2"/>
    <w:rsid w:val="00BA2981"/>
    <w:rsid w:val="00BA48F9"/>
    <w:rsid w:val="00BB08A9"/>
    <w:rsid w:val="00BB0DCA"/>
    <w:rsid w:val="00BB6B80"/>
    <w:rsid w:val="00BC3773"/>
    <w:rsid w:val="00BC381A"/>
    <w:rsid w:val="00BC39C0"/>
    <w:rsid w:val="00BC63B7"/>
    <w:rsid w:val="00BD04A6"/>
    <w:rsid w:val="00BD0962"/>
    <w:rsid w:val="00BD1EED"/>
    <w:rsid w:val="00BD371F"/>
    <w:rsid w:val="00BD3C9E"/>
    <w:rsid w:val="00BE2CFD"/>
    <w:rsid w:val="00BE2F05"/>
    <w:rsid w:val="00BF0DA2"/>
    <w:rsid w:val="00BF0E03"/>
    <w:rsid w:val="00BF109C"/>
    <w:rsid w:val="00BF34FA"/>
    <w:rsid w:val="00BF4020"/>
    <w:rsid w:val="00BF43CC"/>
    <w:rsid w:val="00C004B6"/>
    <w:rsid w:val="00C01A24"/>
    <w:rsid w:val="00C03D5A"/>
    <w:rsid w:val="00C0426F"/>
    <w:rsid w:val="00C047A7"/>
    <w:rsid w:val="00C05DE5"/>
    <w:rsid w:val="00C07771"/>
    <w:rsid w:val="00C07BC2"/>
    <w:rsid w:val="00C122C5"/>
    <w:rsid w:val="00C12F1B"/>
    <w:rsid w:val="00C13067"/>
    <w:rsid w:val="00C14CF8"/>
    <w:rsid w:val="00C16EBF"/>
    <w:rsid w:val="00C21316"/>
    <w:rsid w:val="00C2191B"/>
    <w:rsid w:val="00C23A2F"/>
    <w:rsid w:val="00C25FF3"/>
    <w:rsid w:val="00C33027"/>
    <w:rsid w:val="00C3438E"/>
    <w:rsid w:val="00C34EBF"/>
    <w:rsid w:val="00C37667"/>
    <w:rsid w:val="00C435DB"/>
    <w:rsid w:val="00C437E8"/>
    <w:rsid w:val="00C44C4C"/>
    <w:rsid w:val="00C44D73"/>
    <w:rsid w:val="00C50B42"/>
    <w:rsid w:val="00C516FF"/>
    <w:rsid w:val="00C52BFA"/>
    <w:rsid w:val="00C53D1D"/>
    <w:rsid w:val="00C53F26"/>
    <w:rsid w:val="00C540BC"/>
    <w:rsid w:val="00C55BB9"/>
    <w:rsid w:val="00C6144C"/>
    <w:rsid w:val="00C61B27"/>
    <w:rsid w:val="00C62B9A"/>
    <w:rsid w:val="00C64F7D"/>
    <w:rsid w:val="00C666DB"/>
    <w:rsid w:val="00C67309"/>
    <w:rsid w:val="00C70098"/>
    <w:rsid w:val="00C70353"/>
    <w:rsid w:val="00C71B06"/>
    <w:rsid w:val="00C7614E"/>
    <w:rsid w:val="00C80D60"/>
    <w:rsid w:val="00C82FBD"/>
    <w:rsid w:val="00C85267"/>
    <w:rsid w:val="00C8721B"/>
    <w:rsid w:val="00C91709"/>
    <w:rsid w:val="00C9372C"/>
    <w:rsid w:val="00C9470E"/>
    <w:rsid w:val="00C95CEB"/>
    <w:rsid w:val="00CA046F"/>
    <w:rsid w:val="00CA1054"/>
    <w:rsid w:val="00CA2B56"/>
    <w:rsid w:val="00CA5B1E"/>
    <w:rsid w:val="00CA63EB"/>
    <w:rsid w:val="00CA69BB"/>
    <w:rsid w:val="00CA69F1"/>
    <w:rsid w:val="00CB6991"/>
    <w:rsid w:val="00CC080C"/>
    <w:rsid w:val="00CC6194"/>
    <w:rsid w:val="00CC6305"/>
    <w:rsid w:val="00CC78A5"/>
    <w:rsid w:val="00CD0516"/>
    <w:rsid w:val="00CD2D09"/>
    <w:rsid w:val="00CD3D65"/>
    <w:rsid w:val="00CD4046"/>
    <w:rsid w:val="00CD6E6C"/>
    <w:rsid w:val="00CD7509"/>
    <w:rsid w:val="00CD756B"/>
    <w:rsid w:val="00CE5F47"/>
    <w:rsid w:val="00CE734F"/>
    <w:rsid w:val="00CF112E"/>
    <w:rsid w:val="00CF22F1"/>
    <w:rsid w:val="00CF49F1"/>
    <w:rsid w:val="00CF5F4F"/>
    <w:rsid w:val="00CF72E7"/>
    <w:rsid w:val="00D12157"/>
    <w:rsid w:val="00D1781C"/>
    <w:rsid w:val="00D218DC"/>
    <w:rsid w:val="00D22AE9"/>
    <w:rsid w:val="00D24E56"/>
    <w:rsid w:val="00D31643"/>
    <w:rsid w:val="00D31AE6"/>
    <w:rsid w:val="00D31AEB"/>
    <w:rsid w:val="00D3277F"/>
    <w:rsid w:val="00D32ECD"/>
    <w:rsid w:val="00D361E4"/>
    <w:rsid w:val="00D379EC"/>
    <w:rsid w:val="00D424BB"/>
    <w:rsid w:val="00D439F6"/>
    <w:rsid w:val="00D45314"/>
    <w:rsid w:val="00D4590E"/>
    <w:rsid w:val="00D459C6"/>
    <w:rsid w:val="00D45AE7"/>
    <w:rsid w:val="00D50729"/>
    <w:rsid w:val="00D50C19"/>
    <w:rsid w:val="00D5278E"/>
    <w:rsid w:val="00D52AE4"/>
    <w:rsid w:val="00D5379E"/>
    <w:rsid w:val="00D53927"/>
    <w:rsid w:val="00D5457D"/>
    <w:rsid w:val="00D57B2E"/>
    <w:rsid w:val="00D62643"/>
    <w:rsid w:val="00D64C0F"/>
    <w:rsid w:val="00D72EFE"/>
    <w:rsid w:val="00D735F6"/>
    <w:rsid w:val="00D76227"/>
    <w:rsid w:val="00D77A5F"/>
    <w:rsid w:val="00D77D3C"/>
    <w:rsid w:val="00D77DF1"/>
    <w:rsid w:val="00D80266"/>
    <w:rsid w:val="00D85350"/>
    <w:rsid w:val="00D86AFF"/>
    <w:rsid w:val="00D94773"/>
    <w:rsid w:val="00D95A44"/>
    <w:rsid w:val="00D95D16"/>
    <w:rsid w:val="00D974CA"/>
    <w:rsid w:val="00D97C76"/>
    <w:rsid w:val="00D97D9F"/>
    <w:rsid w:val="00DA478B"/>
    <w:rsid w:val="00DA62BC"/>
    <w:rsid w:val="00DA7328"/>
    <w:rsid w:val="00DB02B4"/>
    <w:rsid w:val="00DB538D"/>
    <w:rsid w:val="00DC06E4"/>
    <w:rsid w:val="00DC275C"/>
    <w:rsid w:val="00DC4B0D"/>
    <w:rsid w:val="00DC7FE1"/>
    <w:rsid w:val="00DD3F3F"/>
    <w:rsid w:val="00DD5572"/>
    <w:rsid w:val="00DD5FB0"/>
    <w:rsid w:val="00DE023F"/>
    <w:rsid w:val="00DE0289"/>
    <w:rsid w:val="00DE30A0"/>
    <w:rsid w:val="00DE3E1D"/>
    <w:rsid w:val="00DE5D80"/>
    <w:rsid w:val="00DF58CD"/>
    <w:rsid w:val="00DF65DE"/>
    <w:rsid w:val="00E019A5"/>
    <w:rsid w:val="00E02EC8"/>
    <w:rsid w:val="00E037F5"/>
    <w:rsid w:val="00E04B08"/>
    <w:rsid w:val="00E04D24"/>
    <w:rsid w:val="00E04ECB"/>
    <w:rsid w:val="00E05652"/>
    <w:rsid w:val="00E05A09"/>
    <w:rsid w:val="00E062BD"/>
    <w:rsid w:val="00E06CA1"/>
    <w:rsid w:val="00E06FC6"/>
    <w:rsid w:val="00E172B8"/>
    <w:rsid w:val="00E17FB4"/>
    <w:rsid w:val="00E20B75"/>
    <w:rsid w:val="00E20FE1"/>
    <w:rsid w:val="00E214F2"/>
    <w:rsid w:val="00E21950"/>
    <w:rsid w:val="00E234E6"/>
    <w:rsid w:val="00E2371E"/>
    <w:rsid w:val="00E24BD7"/>
    <w:rsid w:val="00E251CA"/>
    <w:rsid w:val="00E26523"/>
    <w:rsid w:val="00E26532"/>
    <w:rsid w:val="00E26809"/>
    <w:rsid w:val="00E3412D"/>
    <w:rsid w:val="00E3653C"/>
    <w:rsid w:val="00E40E90"/>
    <w:rsid w:val="00E44529"/>
    <w:rsid w:val="00E47F1C"/>
    <w:rsid w:val="00E517B7"/>
    <w:rsid w:val="00E536C2"/>
    <w:rsid w:val="00E554E1"/>
    <w:rsid w:val="00E57322"/>
    <w:rsid w:val="00E628CB"/>
    <w:rsid w:val="00E62AD9"/>
    <w:rsid w:val="00E638C8"/>
    <w:rsid w:val="00E6773F"/>
    <w:rsid w:val="00E7460B"/>
    <w:rsid w:val="00E7509B"/>
    <w:rsid w:val="00E8372F"/>
    <w:rsid w:val="00E86590"/>
    <w:rsid w:val="00E87DFE"/>
    <w:rsid w:val="00E907FF"/>
    <w:rsid w:val="00E90AEA"/>
    <w:rsid w:val="00E91EE4"/>
    <w:rsid w:val="00EA23F2"/>
    <w:rsid w:val="00EA42D1"/>
    <w:rsid w:val="00EA42EF"/>
    <w:rsid w:val="00EA4D1C"/>
    <w:rsid w:val="00EB0D3B"/>
    <w:rsid w:val="00EB2DD1"/>
    <w:rsid w:val="00EB6B37"/>
    <w:rsid w:val="00EB7867"/>
    <w:rsid w:val="00EC29FE"/>
    <w:rsid w:val="00ED15C0"/>
    <w:rsid w:val="00ED3A3D"/>
    <w:rsid w:val="00ED538A"/>
    <w:rsid w:val="00ED6FBC"/>
    <w:rsid w:val="00EE2F16"/>
    <w:rsid w:val="00EE3861"/>
    <w:rsid w:val="00EE57FF"/>
    <w:rsid w:val="00EE79D6"/>
    <w:rsid w:val="00EF02C6"/>
    <w:rsid w:val="00EF1563"/>
    <w:rsid w:val="00EF2E73"/>
    <w:rsid w:val="00EF2FBD"/>
    <w:rsid w:val="00EF59C8"/>
    <w:rsid w:val="00EF6221"/>
    <w:rsid w:val="00EF66ED"/>
    <w:rsid w:val="00EF69F1"/>
    <w:rsid w:val="00EF7683"/>
    <w:rsid w:val="00EF7A2D"/>
    <w:rsid w:val="00F04F8D"/>
    <w:rsid w:val="00F06626"/>
    <w:rsid w:val="00F10AD0"/>
    <w:rsid w:val="00F116CC"/>
    <w:rsid w:val="00F11DCB"/>
    <w:rsid w:val="00F12BD1"/>
    <w:rsid w:val="00F15327"/>
    <w:rsid w:val="00F168CF"/>
    <w:rsid w:val="00F16A8D"/>
    <w:rsid w:val="00F177E0"/>
    <w:rsid w:val="00F230C3"/>
    <w:rsid w:val="00F24319"/>
    <w:rsid w:val="00F2555C"/>
    <w:rsid w:val="00F279B1"/>
    <w:rsid w:val="00F31DF3"/>
    <w:rsid w:val="00F33AE5"/>
    <w:rsid w:val="00F3597D"/>
    <w:rsid w:val="00F37FB0"/>
    <w:rsid w:val="00F4376D"/>
    <w:rsid w:val="00F45399"/>
    <w:rsid w:val="00F465EA"/>
    <w:rsid w:val="00F51DF5"/>
    <w:rsid w:val="00F549C5"/>
    <w:rsid w:val="00F54E7B"/>
    <w:rsid w:val="00F55A88"/>
    <w:rsid w:val="00F60ED9"/>
    <w:rsid w:val="00F74005"/>
    <w:rsid w:val="00F76884"/>
    <w:rsid w:val="00F83D24"/>
    <w:rsid w:val="00F83DD9"/>
    <w:rsid w:val="00F83F40"/>
    <w:rsid w:val="00F9000F"/>
    <w:rsid w:val="00F92980"/>
    <w:rsid w:val="00F93CCC"/>
    <w:rsid w:val="00FA117A"/>
    <w:rsid w:val="00FA3922"/>
    <w:rsid w:val="00FB1C15"/>
    <w:rsid w:val="00FB386A"/>
    <w:rsid w:val="00FB4A14"/>
    <w:rsid w:val="00FB5A7F"/>
    <w:rsid w:val="00FC0786"/>
    <w:rsid w:val="00FC49EF"/>
    <w:rsid w:val="00FD0456"/>
    <w:rsid w:val="00FE23A4"/>
    <w:rsid w:val="00FE36E2"/>
    <w:rsid w:val="00FE7EA5"/>
    <w:rsid w:val="00FF11AD"/>
    <w:rsid w:val="00FF2971"/>
    <w:rsid w:val="00FF34D4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71B4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143FC"/>
    <w:pPr>
      <w:spacing w:line="240" w:lineRule="auto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0143FC"/>
    <w:rPr>
      <w:rFonts w:ascii="Times New Roman" w:eastAsia="Times New Roman" w:hAnsi="Times New Roman"/>
      <w:b/>
      <w:sz w:val="24"/>
      <w:szCs w:val="24"/>
    </w:rPr>
  </w:style>
  <w:style w:type="paragraph" w:styleId="Poprawka">
    <w:name w:val="Revision"/>
    <w:hidden/>
    <w:uiPriority w:val="99"/>
    <w:semiHidden/>
    <w:rsid w:val="00252B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84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33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8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50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813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56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72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019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1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9550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1715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2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5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17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6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93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18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05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32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930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1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317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4544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6669F-8CD9-49B4-A458-F7CEA217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5983</Words>
  <Characters>35898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2020-10-08T10:06:00Z</dcterms:created>
  <dcterms:modified xsi:type="dcterms:W3CDTF">2020-10-09T12:33:00Z</dcterms:modified>
</cp:coreProperties>
</file>