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1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12 września 2022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 sprawie ustanowienia planu ochrony dla rezerwatu przyrody „Zbocza Płutowskie”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 (Dz. U. z 2022, poz. 916 i 1726)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Ustanawia się  plan ochrony dla rezerwatu przyrody „Zbocza Płutowskie” zwanego  dalej „rezerwatem”.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 xml:space="preserve">Celem  ochrony w rezerwacie jest zachowanie zespołów roślinności stepowej z udziałem miłka wiosennego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Adonis vernalis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Przyrodniczymi  i społecznymi  uwarunkowaniami  realizacji  celu  ochrony,  o którym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 1, są: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rezerwatu w całości na gruntach należących do Skarbu Państwa, zarządzanych przez Państwowe Gospodarstwo Leśne Lasy Państwowe, Nadleśnictwo Jamy i Nadleśnictwo Toruń;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rezerwatu w strefie krawędziowej Doliny Dolnej Wisły w sąsiedztwie terenów    nieleśnych wykorzystywanych rolniczo;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rezerwatu na terenie obszaru Natura 2000 Zbocza Płutowskie PLH040040.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Identyfikację oraz określenie sposobów eliminacji i ograniczania istniejących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potencjalnych zagrożeń wewnętrznych i zewnętrznych oraz ich skutków na obszarze rezerwatu przedstawia tabela stanowiąca załącznik nr 1 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Ochronie czynnej podlega obszar, który stanowią oddziały: 190 b, c, d, Leśnictwa Chełmno, Nadleśnictwo Jamy oraz oddziały: 278 b, c, d, 280 a, c, d, k, Leśnictwa Raciniewo, Nadleśnictwo Toruń, a pozostały obszar rezerwatu podlega ochronie ścisłej.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Określenie działań ochronnych na obszarze ochrony czynnej, z podaniem ich rodzaju, zakresu i lokalizacji, przedstawia tabela stanowiąca załącznik nr 2 do zarządzenia.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Zarządzenie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życie po upływie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 od dnia ogłoszenia.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5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Identyfikacja oraz określenie sposobów eliminacji lub ograniczania istniejących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i potencjalnych zagrożeń wewnętrznych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zewnętrznych oraz ich skutków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683"/>
        <w:gridCol w:w="4407"/>
        <w:gridCol w:w="4992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 xml:space="preserve">Lp. 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 xml:space="preserve">Identyfikacja </w:t>
            </w:r>
          </w:p>
          <w:p>
            <w:pPr>
              <w:jc w:val="left"/>
            </w:pPr>
            <w:r>
              <w:rPr>
                <w:b/>
              </w:rPr>
              <w:t xml:space="preserve">zagrożeń istniejących i potencjalnych zagrożeń </w:t>
            </w:r>
          </w:p>
          <w:p>
            <w:pPr>
              <w:jc w:val="left"/>
            </w:pPr>
            <w:r>
              <w:rPr>
                <w:b/>
              </w:rPr>
              <w:t xml:space="preserve">wewnętrznych </w:t>
            </w:r>
          </w:p>
          <w:p>
            <w:pPr>
              <w:jc w:val="left"/>
            </w:pPr>
            <w:r>
              <w:rPr>
                <w:b/>
              </w:rPr>
              <w:t xml:space="preserve">i zewnętrznych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 xml:space="preserve">Sposoby  eliminacji  lub  ograniczania  istniejących  i potencjalnych zagrożeń wewnętrznych i zewnętrznych oraz ich skutków 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Sukcesja naturalna, zarastanie muraw ze stanowiskami miłka wiosennego </w:t>
            </w:r>
            <w:r>
              <w:rPr>
                <w:i/>
              </w:rPr>
              <w:t>Adonis vernalis</w:t>
            </w:r>
            <w:r>
              <w:t xml:space="preserve"> i innych gatunków roślin objętych ochroną przez rodzime drzewa i krzewy (zagrożenie wewnętrzne, istniejące).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Ekstensywne koszenie lub wypas owiec. Wycinanie krzewów. 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Rozprzestrzenianie się inwazyjnego gatunku obcego – nawłoci późnej </w:t>
            </w:r>
            <w:r>
              <w:rPr>
                <w:i/>
              </w:rPr>
              <w:t>Solidago gigantea</w:t>
            </w:r>
            <w:r>
              <w:t xml:space="preserve"> w murawach (zagrożenie wewnętrzne, istniejące).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Ekstensywne koszenie lub wypas owiec.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Sukcesja naturalna, fragmentacja muraw i ograniczanie możliwości przepływu diaspor (zagrożenie wewnętrzne, istniejące).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Wycinanie krzewów.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Występowanie obcego geograficznie gatunku - lilak pospolity </w:t>
            </w:r>
            <w:r>
              <w:rPr>
                <w:i/>
              </w:rPr>
              <w:t xml:space="preserve">Syringa vulgaris </w:t>
            </w:r>
            <w:r>
              <w:t>(zagrożenie wewnętrzne, istniejące).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Usunięcie wszystkich osobników gatunku - lilak pospolity </w:t>
            </w:r>
            <w:r>
              <w:rPr>
                <w:i/>
              </w:rPr>
              <w:t>Syringa vulgaris.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Sukcesja naturalna, zwiększanie się zwarcia zarośli z klasy </w:t>
            </w:r>
            <w:r>
              <w:rPr>
                <w:i/>
              </w:rPr>
              <w:t xml:space="preserve">Rhamno-Prunetea </w:t>
            </w:r>
            <w:r>
              <w:t xml:space="preserve">(ciepłolubne zbiorowiska okrajkowe), co prowadzi do zaniku siedlisk dogodnych do zasiedlenia przez barczatkę kataks </w:t>
            </w:r>
            <w:r>
              <w:rPr>
                <w:i/>
              </w:rPr>
              <w:t xml:space="preserve">Eriogaster catax </w:t>
            </w:r>
            <w:r>
              <w:t>(zagrożenie wewnętrzne, istniejące).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Powstrzymywanie sukcesji naturalnej, powiększenie powierzchni potencjalnych siedlisk  barczatki kataks </w:t>
            </w:r>
            <w:r>
              <w:rPr>
                <w:i/>
              </w:rPr>
              <w:t xml:space="preserve">Eriogaster catax. </w:t>
            </w:r>
            <w:r>
              <w:t>Wycinanie krzewów.</w:t>
            </w:r>
          </w:p>
        </w:tc>
      </w:tr>
    </w:tbl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6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Określenie działań ochronnych na obszarze ochrony czynnej,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podaniem ich rodzaju,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zakresu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lokalizacji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616"/>
        <w:gridCol w:w="2265"/>
        <w:gridCol w:w="4816"/>
        <w:gridCol w:w="2385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Lp.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 xml:space="preserve">Rodzaj  działań </w:t>
            </w:r>
          </w:p>
          <w:p>
            <w:pPr>
              <w:jc w:val="left"/>
            </w:pPr>
            <w:r>
              <w:rPr>
                <w:b/>
              </w:rPr>
              <w:t xml:space="preserve">ochronnych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 xml:space="preserve">Zakres działań ochronnych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 xml:space="preserve">Lokalizacja 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 xml:space="preserve">działań </w:t>
            </w:r>
          </w:p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  <w:t>ochronnych</w:t>
            </w:r>
            <w:r>
              <w:rPr>
                <w:rStyle w:val="FootnoteReference"/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0"/>
                <w:u w:val="none" w:color="000000"/>
                <w:vertAlign w:val="superscript"/>
              </w:rPr>
              <w:footnoteReference w:customMarkFollows="1" w:id="2"/>
              <w:t xml:space="preserve">1)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1.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Ekstensywne użytkowanie muraw kserotermicznych.</w:t>
            </w:r>
          </w:p>
          <w:p>
            <w:pPr>
              <w:jc w:val="left"/>
            </w:pPr>
            <w:r>
              <w:t xml:space="preserve">Usuwanie inwazyjnego gatunku obcego – nawłoci późnej </w:t>
            </w:r>
            <w:r>
              <w:rPr>
                <w:i/>
              </w:rPr>
              <w:t>Solidago gigantea</w:t>
            </w:r>
            <w:r>
              <w:t xml:space="preserve"> w murawach.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Coroczne koszenie muraw jednokrotnie w ciągu roku, jesienią. Pozostawianie biomasy w przylegających zaroślach i lasach lub zbieranie i wynoszenie biomasy z rezerwatu. Opcjonalnie, do koszenia, wprowadzenie wypasu owiec.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Płaty muraw w oddziałach: 190 b, c, d, Leśnictwa Chełmno, Nadleśnictwo Jamy i 278 b, c, d, 280 a, c, d, k, Leśnictwa Raciniewo, Nadleśnictwo Toruń - zgodnie z załącznikiem graficznym - na mapie ekochory oznaczone  numerami: 1-10, 12-15, 17 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2.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Powstrzymywanie sukcesji naturalnej na murawach.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Jednorazowe odkrzaczenie muraw (optymalnie zimą/wiosną). Pozostawianie biomasy w przylegających zaroślach i lasach lub zbieranie i wynoszenie biomasy z rezerwatu. Opcjonalnie, do koszenia, wprowadzenie wypasu owiec.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Płaty muraw w oddziale 278 c, Leśnictwa Raciniewo, Nadleśnictwo Toruń - zgodnie z załącznikiem graficznym - na mapie ekochory oznaczone  numerami: N1, N2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3.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Cofanie sukcesji naturalnej.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Jednorazowe wycięcie krzewów i inicjalnych stadiów drzewostanu (optymalnie zimą/wiosną) między blisko położonymi płatami muraw z pozostawieniem biomasy w przylegających zaroślach i lasach lub zebraniem i wyniesieniem biomasy. W tym celu możliwe udrożnienie dojścia do płatów muraw poprzez wycięcie pasowo fragmentu lasu oddzielającego murawy od drogi gruntowej u podnóża zbocza w celu ułatwienia dostępu do muraw. Opcjonalnie nadzorowane spalanie biomasy bezpośrednio w miejscach wycięcia krzewów. Następnie - coroczne koszenie powstałych terenów nieleśnych (potencjalnych muraw) jednokrotnie w ciągu roku, jesienią. Pozostawianie biomasy w przylegających zaroślach i lasach lub zbieranie i wynoszenie biomasy z rezerwatu. Opcjonalnie, do koszenia, wprowadzenie wypasu owiec.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Płaty zarośli i inicjalnych stadiów drzewostanu w oddziale  280 c, Leśnictwa Raciniewo, Nadleśnictwo Toruń zlokalizowane pomiędzy murawami - zgodnie z załącznikiem graficznym - na mapie ekochory oznaczone  numerami: N4 (pomiędzy ekochorami 2 i 3) oraz N3 (pomiędzy ekochorami 5 i 6)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4.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Usunięcie obcego geograficznie gatunku - lilak pospolity </w:t>
            </w:r>
            <w:r>
              <w:rPr>
                <w:i/>
              </w:rPr>
              <w:t>Syringa vulgaris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Dopuszcza się zastosowanie środka chemicznego do stosowania dolistnego (użycie za pomocą mazacza) na każdą roślinę optymalnie w pierwszym roku obowiązywania planu ochrony  w terminie późnoletnim (optymalnie wrzesień). W kolejnym roku należy skontrolować efekty zabiegu. W razie potrzeby zabieg powtórzyć. Możliwe jest także wykopanie osobników lilaka (z całą częścią podziemną), jednak głęboka ingerencja w glebę może (przy ulewnych deszczach) spowodować jej erozję.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w oddziale  280 d, Leśnictwa Raciniewo, Nadleśnictwo Toruń - zgodnie z załącznikiem graficznym - na mapie w płacie ekochory oznaczonej  numerem 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5.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Powstrzymywanie sukcesji naturalnej, powiększenie powierzchni potencjalnych siedlisk  barczatki kataks </w:t>
            </w:r>
            <w:r>
              <w:rPr>
                <w:i/>
              </w:rPr>
              <w:t>Eriogaster catax.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Eksperymentalne usuwanie zakrzaczeń w wydz. 190 d na granicy rezerwatu od strony W (w pierwszych trzech latach usuwanie krzewów z 2 czworokątnych ok. 25-metrowych powierzchni), prace prowadzić optymalnie na przełomie sierpnia i września. Jeśli barczatka nie wystąpi w tym okresie, działania odkrzewiania można zakończyć. Natomiast jeśli zajmie stworzone siedliska, odkrzewianie kontynuować corocznie. Dopuszcza się modyfikację działań jeżeli wynikać to będzie z potrzeb ochrony gatunku.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Płaty zarośli w oddziale 190 d, Leśnictwa Chełmno, Nadleśnictwo Jamy - zgodnie z załącznikiem graficznym - na mapie ekochora oznaczona  numerem N5 (pomiędzy ekochorami 9 i 10)  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71213" cy="77214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1213" cy="772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Regionalny Dyrektor </w:t>
            </w:r>
          </w:p>
          <w:p>
            <w:pPr>
              <w:jc w:val="center"/>
            </w:pPr>
            <w:r>
              <w:rPr>
                <w:sz w:val="22"/>
              </w:rPr>
              <w:t xml:space="preserve">Ochrony Środowiska </w:t>
            </w:r>
          </w:p>
          <w:p>
            <w:pPr>
              <w:jc w:val="center"/>
            </w:pPr>
            <w:r>
              <w:rPr>
                <w:sz w:val="22"/>
              </w:rPr>
              <w:t>w Bydgoszczy</w:t>
            </w: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b/>
                <w:sz w:val="22"/>
              </w:rPr>
              <w:t>Szymon Kosmalski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9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Plan ochrony dla rezerwatu przyrody „</w:t>
      </w:r>
      <w:r>
        <w:rPr>
          <w:color w:val="000000"/>
          <w:szCs w:val="20"/>
          <w:shd w:val="clear" w:color="auto" w:fill="FFFFFF"/>
        </w:rPr>
        <w:t>Zbocza Płutowskie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je</w:t>
      </w:r>
      <w:r>
        <w:rPr>
          <w:color w:val="000000"/>
          <w:szCs w:val="20"/>
          <w:shd w:val="clear" w:color="auto" w:fill="FFFFFF"/>
          <w:lang w:val="x-none" w:eastAsia="en-US" w:bidi="ar-SA"/>
        </w:rPr>
        <w:t>st dokumentem określającym spos</w:t>
      </w:r>
      <w:r>
        <w:rPr>
          <w:color w:val="000000"/>
          <w:szCs w:val="20"/>
          <w:shd w:val="clear" w:color="auto" w:fill="FFFFFF"/>
        </w:rPr>
        <w:t>ób ochrony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zespołów roślinności stepowej z udziałem miłka wiosennego </w:t>
      </w:r>
      <w:r>
        <w:rPr>
          <w:i/>
          <w:color w:val="000000"/>
          <w:szCs w:val="20"/>
          <w:shd w:val="clear" w:color="auto" w:fill="FFFFFF"/>
        </w:rPr>
        <w:t>Adonis vernalis</w:t>
      </w:r>
      <w:r>
        <w:rPr>
          <w:color w:val="000000"/>
          <w:szCs w:val="20"/>
          <w:shd w:val="clear" w:color="auto" w:fill="FFFFFF"/>
        </w:rPr>
        <w:t xml:space="preserve"> stanowiących przedmiot ochrony w rezerwacie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Rezerwat przyrody został ustanowiony </w:t>
      </w:r>
      <w:r>
        <w:rPr>
          <w:color w:val="000000"/>
          <w:szCs w:val="20"/>
          <w:shd w:val="clear" w:color="auto" w:fill="FFFFFF"/>
        </w:rPr>
        <w:t>z</w:t>
      </w:r>
      <w:r>
        <w:rPr>
          <w:color w:val="000000"/>
          <w:szCs w:val="20"/>
          <w:shd w:val="clear" w:color="auto" w:fill="FFFFFF"/>
          <w:lang w:val="x-none" w:eastAsia="en-US" w:bidi="ar-SA"/>
        </w:rPr>
        <w:t>arządzenie</w:t>
      </w:r>
      <w:r>
        <w:rPr>
          <w:color w:val="000000"/>
          <w:szCs w:val="20"/>
          <w:shd w:val="clear" w:color="auto" w:fill="FFFFFF"/>
        </w:rPr>
        <w:t>m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Ministra Leśnictwa i Przemysłu Drzewnego z dnia 16 stycznia 1963 r. w sprawie uznania za rezerwat przyrody (M. P. nr 18, poz. 103)</w:t>
      </w:r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Aktualnie obowiązuje z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arządzenie Regionalnego Dyrektora Ochrony Środowiska w Bydgoszczy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z dnia 20 czerwca 2016 r. w sprawie rezerwatu przyrody Zbocza Płutowskie (Dz. Urz. Woj. Kuj-Pom. poz. 2118)</w:t>
      </w:r>
      <w:r>
        <w:rPr>
          <w:color w:val="000000"/>
          <w:szCs w:val="2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Dla właściwego funkcjonowania rezerwatu i jego ochrony plan ochrony zgodnie z art. 20 ustawy z dnia 16 kwietnia 2004 roku o ochronie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 U. z 2022, poz. 916</w:t>
      </w:r>
      <w:r>
        <w:rPr>
          <w:color w:val="000000"/>
          <w:szCs w:val="20"/>
          <w:shd w:val="clear" w:color="auto" w:fill="FFFFFF"/>
        </w:rPr>
        <w:t xml:space="preserve">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sporządza się na okres 20 lat. Zgodnie z art. 19 ust. 6 ustawy o ochronie przyrody Regionalny Dyrektor Ochrony Środowiska ustanawia w drodze zarządzenia plan ochrony dla rezerwatu przyrody, sporządzony na podstawie w art. 20 ww. ustawy.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Założenia do projektu planu ochrony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dla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Zbocza Płutowskie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został</w:t>
      </w:r>
      <w:r>
        <w:rPr>
          <w:color w:val="000000"/>
          <w:szCs w:val="20"/>
          <w:shd w:val="clear" w:color="auto" w:fill="FFFFFF"/>
        </w:rPr>
        <w:t>y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zaopiniowan</w:t>
      </w:r>
      <w:r>
        <w:rPr>
          <w:color w:val="000000"/>
          <w:szCs w:val="20"/>
          <w:shd w:val="clear" w:color="auto" w:fill="FFFFFF"/>
        </w:rPr>
        <w:t>e bez uwag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przez zarządc</w:t>
      </w:r>
      <w:r>
        <w:rPr>
          <w:color w:val="000000"/>
          <w:szCs w:val="20"/>
          <w:shd w:val="clear" w:color="auto" w:fill="FFFFFF"/>
        </w:rPr>
        <w:t>ów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terenu </w:t>
      </w:r>
      <w:r>
        <w:rPr>
          <w:color w:val="000000"/>
          <w:szCs w:val="20"/>
          <w:shd w:val="clear" w:color="auto" w:fill="FFFFFF"/>
        </w:rPr>
        <w:t xml:space="preserve">rezerwatu 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Nadleśnictwo </w:t>
      </w:r>
      <w:r>
        <w:rPr>
          <w:color w:val="000000"/>
          <w:szCs w:val="20"/>
          <w:shd w:val="clear" w:color="auto" w:fill="FFFFFF"/>
        </w:rPr>
        <w:t>Jamy i Nadleśnictwo Toruń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, </w:t>
      </w:r>
      <w:r>
        <w:rPr>
          <w:color w:val="000000"/>
          <w:szCs w:val="20"/>
          <w:shd w:val="clear" w:color="auto" w:fill="FFFFFF"/>
        </w:rPr>
        <w:t>w protokole ze spotkania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w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dni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2</w:t>
      </w:r>
      <w:r>
        <w:rPr>
          <w:color w:val="000000"/>
          <w:szCs w:val="20"/>
          <w:shd w:val="clear" w:color="auto" w:fill="FFFFFF"/>
        </w:rPr>
        <w:t>2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lipca 2021 r.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Projekt zarządzenia w sprawie ustanowienia planu ochrony dla rezerwatu przyrody „</w:t>
      </w:r>
      <w:r>
        <w:rPr>
          <w:color w:val="000000"/>
          <w:szCs w:val="20"/>
          <w:shd w:val="clear" w:color="auto" w:fill="FFFFFF"/>
        </w:rPr>
        <w:t>Zbocza Płutowskie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 został zaopiniowany</w:t>
      </w:r>
      <w:r>
        <w:rPr>
          <w:color w:val="000000"/>
          <w:szCs w:val="20"/>
          <w:shd w:val="clear" w:color="auto" w:fill="FFFFFF"/>
        </w:rPr>
        <w:t xml:space="preserve"> pozytywnie przez: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 Nadleśnictwo Jamy pismem z dnia 15 marca 2022 r., znak ZG.7212.9.2022, zarządcę terenu rezerwatu przyrody,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 Nadleśnictwo Toruń pismem z dnia 21 marca 2022 r., znak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721.5.2022, zarządcę terenu rezerwatu przyrody,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-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Radę Gminy </w:t>
      </w:r>
      <w:r>
        <w:rPr>
          <w:color w:val="000000"/>
          <w:szCs w:val="20"/>
          <w:shd w:val="clear" w:color="auto" w:fill="FFFFFF"/>
        </w:rPr>
        <w:t>Chełmno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uchwałą nr XXVI/235/22 z dnia 26 maja 2022 r.,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Radę Gminy </w:t>
      </w:r>
      <w:r>
        <w:rPr>
          <w:color w:val="000000"/>
          <w:szCs w:val="20"/>
          <w:shd w:val="clear" w:color="auto" w:fill="FFFFFF"/>
        </w:rPr>
        <w:t>Kijewo Królewskie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uchwałą nr XXXI/214/2022 z dnia 28 czerwca 2022 r.,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-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Regionalną Radę Ochrony Przyrody w Bydgoszczy uchwałą </w:t>
      </w:r>
      <w:r>
        <w:rPr>
          <w:color w:val="000000"/>
          <w:szCs w:val="20"/>
          <w:shd w:val="clear" w:color="auto" w:fill="FFFFFF"/>
        </w:rPr>
        <w:t>n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 </w:t>
      </w:r>
      <w:r>
        <w:rPr>
          <w:color w:val="000000"/>
          <w:szCs w:val="20"/>
          <w:shd w:val="clear" w:color="auto" w:fill="FFFFFF"/>
        </w:rPr>
        <w:t>2/2022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z dnia </w:t>
      </w:r>
      <w:r>
        <w:rPr>
          <w:color w:val="000000"/>
          <w:szCs w:val="20"/>
          <w:shd w:val="clear" w:color="auto" w:fill="FFFFFF"/>
        </w:rPr>
        <w:t>10 sierpnia 2022 r.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 podstawie art. 59 ust. 2 ustawy z dnia 23 stycznia 2009 r. o wojewodzie i administracji rządowej w województwie (Dz. U. z 20</w:t>
      </w:r>
      <w:r>
        <w:rPr>
          <w:color w:val="000000"/>
          <w:szCs w:val="20"/>
          <w:shd w:val="clear" w:color="auto" w:fill="FFFFFF"/>
        </w:rPr>
        <w:t>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135</w:t>
      </w:r>
      <w:r>
        <w:rPr>
          <w:color w:val="000000"/>
          <w:szCs w:val="20"/>
          <w:shd w:val="clear" w:color="auto" w:fill="FFFFFF"/>
        </w:rPr>
        <w:t xml:space="preserve">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 projekt zarządzenia został uzgodniony przez Wojewodę Kujawsko-Pomorskiego pismem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znak: </w:t>
      </w:r>
      <w:r>
        <w:rPr>
          <w:color w:val="000000"/>
          <w:szCs w:val="20"/>
          <w:shd w:val="clear" w:color="auto" w:fill="FFFFFF"/>
        </w:rPr>
        <w:t>WIR.IX.710.46.2022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, z dnia </w:t>
      </w:r>
      <w:r>
        <w:rPr>
          <w:color w:val="000000"/>
          <w:szCs w:val="20"/>
          <w:shd w:val="clear" w:color="auto" w:fill="FFFFFF"/>
        </w:rPr>
        <w:t xml:space="preserve">8 września 2022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Obwieszczeniem z dnia 28 stycznia 2021 r., znak WOP.6202.3.2021.KLD, Regionalny Dyrektor Ochrony Środowiska w Bydgoszczy zawiadomił o przystąpieniu do sporządzenia projektu planu ochrony dla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Zbocza Płutowskie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Obwieszczeniem z dnia </w:t>
      </w:r>
      <w:r>
        <w:rPr>
          <w:color w:val="000000"/>
          <w:szCs w:val="20"/>
          <w:shd w:val="clear" w:color="auto" w:fill="FFFFFF"/>
        </w:rPr>
        <w:t>30 marca 2022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znak </w:t>
      </w:r>
      <w:r>
        <w:rPr>
          <w:color w:val="000000"/>
          <w:szCs w:val="20"/>
          <w:shd w:val="clear" w:color="auto" w:fill="FFFFFF"/>
        </w:rPr>
        <w:t>WOP.6202.5.2021.KLD.17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Regionalny Dyrektor Ochrony Środowiska w Bydgoszczy zawiadomił o możliwości udziału społeczeństwa w postępowaniu poprzez zapoznanie się z projektem planu ochrony i </w:t>
      </w:r>
      <w:r>
        <w:rPr>
          <w:color w:val="000000"/>
          <w:szCs w:val="20"/>
          <w:shd w:val="clear" w:color="auto" w:fill="FFFFFF"/>
        </w:rPr>
        <w:t xml:space="preserve">o </w:t>
      </w:r>
      <w:r>
        <w:rPr>
          <w:color w:val="000000"/>
          <w:szCs w:val="20"/>
          <w:shd w:val="clear" w:color="auto" w:fill="FFFFFF"/>
          <w:lang w:val="x-none" w:eastAsia="en-US" w:bidi="ar-SA"/>
        </w:rPr>
        <w:t>możliwoś</w:t>
      </w:r>
      <w:r>
        <w:rPr>
          <w:color w:val="000000"/>
          <w:szCs w:val="20"/>
          <w:shd w:val="clear" w:color="auto" w:fill="FFFFFF"/>
        </w:rPr>
        <w:t>ci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składania uwag i wniosków. Informacja została podana do publicznej wiadomości zgodnie z</w:t>
      </w:r>
      <w:r>
        <w:rPr>
          <w:color w:val="000000"/>
          <w:szCs w:val="20"/>
          <w:shd w:val="clear" w:color="auto" w:fill="FFFFFF"/>
        </w:rPr>
        <w:t xml:space="preserve"> art. 19 ust. 1a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ustawy z dnia 16 kwietnia 2004 roku o ochronie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 U. z 2022, poz. 916</w:t>
      </w:r>
      <w:r>
        <w:rPr>
          <w:color w:val="000000"/>
          <w:szCs w:val="20"/>
          <w:shd w:val="clear" w:color="auto" w:fill="FFFFFF"/>
        </w:rPr>
        <w:t xml:space="preserve">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art. 3 ust. 1 pkt 11, art. 39 ustawy z dnia 3 października 2008 roku o udostępnieniu informacji o środowisku i jego ochronie, udziale społeczeństwa w ochronie środowiska oraz o ocenach oddziaływania na środowisko (Dz. U. z 202</w:t>
      </w:r>
      <w:r>
        <w:rPr>
          <w:color w:val="000000"/>
          <w:szCs w:val="20"/>
          <w:shd w:val="clear" w:color="auto" w:fill="FFFFFF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r., poz. </w:t>
      </w:r>
      <w:r>
        <w:rPr>
          <w:color w:val="000000"/>
          <w:szCs w:val="20"/>
          <w:shd w:val="clear" w:color="auto" w:fill="FFFFFF"/>
        </w:rPr>
        <w:t>1029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ze zm.) i rozporządzeniem Ministra Środowiska z dnia 12 maja 2005 r. w sprawie sporządzenia projektu planu ochrony dla parku narodowego, rezerwatu przyrody i parku krajobrazowego, dokonania zmian w tym planie oraz ochrony zasobów, tworów i składników przyrody (Dz. U. Nr 94, poz. 794)</w:t>
      </w:r>
      <w:r>
        <w:rPr>
          <w:color w:val="000000"/>
          <w:szCs w:val="20"/>
          <w:shd w:val="clear" w:color="auto" w:fill="FFFFFF"/>
        </w:rPr>
        <w:t xml:space="preserve"> oraz art. 49 ustawy z dnia 14 czerwca 1960 r. Kodeks postępowania administracyjnego (Dz. U. z 2021 r., poz. 735, ze zm.)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  <w:r>
        <w:rPr>
          <w:color w:val="000000"/>
          <w:szCs w:val="20"/>
          <w:shd w:val="clear" w:color="auto" w:fill="FFFFFF"/>
        </w:rPr>
        <w:t xml:space="preserve"> Projekt zarządzenia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był podan</w:t>
      </w:r>
      <w:r>
        <w:rPr>
          <w:color w:val="000000"/>
          <w:szCs w:val="20"/>
          <w:shd w:val="clear" w:color="auto" w:fill="FFFFFF"/>
        </w:rPr>
        <w:t>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 publicznej wiadomości również poprzez ogłoszenie w prasie o odpowiednim do rodzaju dokumentu zasięgu</w:t>
      </w:r>
      <w:r>
        <w:rPr>
          <w:color w:val="000000"/>
          <w:szCs w:val="2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Projekt planu ochrony zamieszczono również w publicznie dostępnym wykazie danych na Ekoportalu (nr karty 224/2022).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W trakcie przeprowadzonych konsultacji społecznych nie wpłynęły do tut. Urzędu uwagi do przedmiotowego projektu planu ochrony.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auto"/>
        <w:tabs>
          <w:tab w:val="left" w:pos="0"/>
          <w:tab w:val="clear" w:pos="720"/>
        </w:tabs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Na terenie rezerwatu przyrody </w:t>
      </w:r>
      <w:r>
        <w:rPr>
          <w:color w:val="000000"/>
          <w:szCs w:val="20"/>
          <w:shd w:val="clear" w:color="auto" w:fill="FFFFFF"/>
        </w:rPr>
        <w:t>„</w:t>
      </w:r>
      <w:r>
        <w:rPr>
          <w:color w:val="000000"/>
          <w:szCs w:val="20"/>
          <w:shd w:val="clear" w:color="auto" w:fill="FFFFFF"/>
        </w:rPr>
        <w:t>Zbocza Płutowskie</w:t>
      </w:r>
      <w:r>
        <w:rPr>
          <w:color w:val="000000"/>
          <w:szCs w:val="20"/>
          <w:shd w:val="clear" w:color="auto" w:fill="FFFFFF"/>
        </w:rPr>
        <w:t>”</w:t>
      </w:r>
      <w:r>
        <w:rPr>
          <w:color w:val="000000"/>
          <w:szCs w:val="20"/>
          <w:shd w:val="clear" w:color="auto" w:fill="FFFFFF"/>
        </w:rPr>
        <w:t xml:space="preserve"> wyznaczono obszary ochrony czynnej, </w:t>
      </w:r>
      <w:r>
        <w:rPr>
          <w:color w:val="000000"/>
          <w:szCs w:val="20"/>
        </w:rPr>
        <w:t>oddziały: 190 b, c, d, Leśnictwa Chełmno, Nadleśnictwo Jamy oraz oddziały: 278 b, c, d, 280 a, c, d, k, Leśnictwa Raciniewo, Nadleśnictwo Toruń, a pozostały obszar rezerwatu podlega ochronie ścisłej.</w:t>
      </w:r>
      <w:r>
        <w:rPr>
          <w:color w:val="000000"/>
          <w:szCs w:val="20"/>
          <w:shd w:val="clear" w:color="auto" w:fill="FFFFFF"/>
        </w:rPr>
        <w:t xml:space="preserve"> Działania ochronne na obszarze ochrony czynnej zaplanowane zostały w celu eliminacji istniejących zagrożeń wewnętrznych. Zagrożeniem w rezerwacie jest sukcesja wtórna muraw prowadząca do ich zarastania gatunkami rodzimych krzewów i drzew. Zagrożenie stanowi też inwazyjny gatunek obcy nawłoć późna </w:t>
      </w:r>
      <w:r>
        <w:rPr>
          <w:i/>
          <w:color w:val="000000"/>
          <w:szCs w:val="20"/>
          <w:shd w:val="clear" w:color="auto" w:fill="FFFFFF"/>
        </w:rPr>
        <w:t>Solidago gigantea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występująca w murawach i/lub ich sąsiedztwie. W planie uznano za celowe utrzymanie koszenia muraw oraz wycinanie krzewów, które przeciwdziałają ww. zagrożeniom. Biomasę po koszeniu można deponować w sąsiadujących z murawami zaroślach. </w:t>
      </w:r>
      <w:r>
        <w:rPr>
          <w:color w:val="000000"/>
          <w:szCs w:val="20"/>
        </w:rPr>
        <w:t xml:space="preserve">Alternatywą, do pozostawiania biomasy w zaroślach, może być jej spalanie na terenie rezerwatu lub wynoszenie poza rezerwat. </w:t>
      </w:r>
      <w:r>
        <w:rPr>
          <w:color w:val="000000"/>
          <w:szCs w:val="20"/>
        </w:rPr>
        <w:t>W tym celu możliwe jest udrożnienie dojścia do płatów muraw poprzez wycięcie pasowo fragmentu lasu oddzielającego murawy od drogi gruntowej u dołu zbocza.</w:t>
      </w:r>
      <w:r>
        <w:rPr>
          <w:color w:val="000000"/>
          <w:szCs w:val="20"/>
        </w:rPr>
        <w:t xml:space="preserve"> Alternatywnie do wykaszania muraw można wprowadzić wypas owiec. W celu eliminacji obcego gatunku flory - lilaka pospolitego </w:t>
      </w:r>
      <w:r>
        <w:rPr>
          <w:i/>
          <w:color w:val="000000"/>
          <w:szCs w:val="20"/>
          <w:shd w:val="clear" w:color="auto" w:fill="FFFFFF"/>
        </w:rPr>
        <w:t>Syringa vulgaris</w:t>
      </w:r>
      <w:r>
        <w:rPr>
          <w:color w:val="000000"/>
          <w:szCs w:val="20"/>
        </w:rPr>
        <w:t xml:space="preserve">, zaplanowano jego zniszczenie na drodze chemicznej lub poprzez wykopanie osobników. </w:t>
      </w:r>
      <w:r>
        <w:rPr>
          <w:color w:val="000000"/>
          <w:szCs w:val="20"/>
        </w:rPr>
        <w:t xml:space="preserve">Działania ochrony czynnej prowadzone będą w płatach muraw </w:t>
      </w:r>
      <w:r>
        <w:rPr>
          <w:color w:val="000000"/>
          <w:szCs w:val="20"/>
        </w:rPr>
        <w:t>i</w:t>
      </w:r>
      <w:r>
        <w:rPr>
          <w:color w:val="000000"/>
          <w:szCs w:val="20"/>
          <w:shd w:val="clear" w:color="auto" w:fill="FFFFFF"/>
        </w:rPr>
        <w:t xml:space="preserve"> przyczynią się do utrzymania muraw, z roślinnością stepową i chronionymi gatunkami roślin, będących przedmiotem ochrony w dobrym stanie. Ponadto w celu ochrony barczatki kataks </w:t>
      </w:r>
      <w:r>
        <w:rPr>
          <w:i/>
          <w:color w:val="000000"/>
          <w:szCs w:val="20"/>
          <w:shd w:val="clear" w:color="auto" w:fill="FFFFFF"/>
        </w:rPr>
        <w:t>Eriogaster catax</w:t>
      </w:r>
      <w:r>
        <w:rPr>
          <w:color w:val="000000"/>
          <w:szCs w:val="20"/>
          <w:shd w:val="clear" w:color="auto" w:fill="FFFFFF"/>
        </w:rPr>
        <w:t xml:space="preserve">, zaplanowano częściowe odkrzewianie w pododdziale </w:t>
      </w:r>
      <w:r>
        <w:rPr>
          <w:color w:val="000000"/>
          <w:szCs w:val="20"/>
        </w:rPr>
        <w:t>190 d Leśnictwa Chełmno, Nadleśnictwo Jamy</w:t>
      </w:r>
      <w:r>
        <w:rPr>
          <w:color w:val="000000"/>
          <w:szCs w:val="20"/>
          <w:shd w:val="clear" w:color="auto" w:fill="FFFFFF"/>
        </w:rPr>
        <w:t xml:space="preserve">, gdyż gatunek ten </w:t>
      </w:r>
      <w:r>
        <w:rPr>
          <w:color w:val="000000"/>
          <w:szCs w:val="20"/>
        </w:rPr>
        <w:t>preferuje niewielkie zwarcie zarośli tarninowych.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</w:rPr>
        <w:t>Na pozostałym obszarze rezerwatu wyznaczono ochronę ścisłą, w miejscach gdzie nie przewiduje się potrzeby działań ochronnych z zakresu ochrony czynnej i umożliwia się zachodzenie naturalnych procesów.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color="auto" w:fill="auto"/>
        <w:tabs>
          <w:tab w:val="left" w:pos="0"/>
          <w:tab w:val="clear" w:pos="720"/>
        </w:tabs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</w:rPr>
      </w:pPr>
      <w:r>
        <w:rPr>
          <w:color w:val="000000"/>
          <w:szCs w:val="20"/>
          <w:shd w:val="clear" w:color="auto" w:fill="FFFFFF"/>
        </w:rPr>
        <w:t xml:space="preserve"> </w:t>
        <w:tab/>
        <w:t>Ze względu na uwarunkowanie przyrodnicze rezerwatu nie wskazano miejsc, w których może być prowadzona działalność wytwórcza, handlowa i rolnicza, jak również nie wskazano obszarów udostępnianych do celów naukowych, edukacyjnych, rekreacyjnych, sportowych, amatorskiego połowu ryb i rybactwa. Udostępnianie rezerwatu w celu badań naukowych należy rozpatrywać na podstawie art. 15 ust. 1 pkt. 24 ustawy o ochronie przyrody. Uzyskanie indywidualnej zgody na prowadzenie ww. czynności gwarantuje nadzór nad ich rodzajem i metodyką, mając na uwadze dbałość o zachowanie celu ochrony rezerwatu przyrody we właściwym stanie. U</w:t>
      </w:r>
      <w:r>
        <w:rPr>
          <w:color w:val="000000"/>
          <w:szCs w:val="20"/>
          <w:shd w:val="clear" w:color="auto" w:fill="FFFFFF"/>
        </w:rPr>
        <w:t xml:space="preserve">dostępnienie rezerwatu przyrody dla celów edukacyjnych i turystycznych może nastąpić jedynie w formie odrębnego zarządzenia na podstawie ar. 15 ust. 1 pkt </w:t>
      </w:r>
      <w:r>
        <w:rPr>
          <w:color w:val="000000"/>
          <w:szCs w:val="20"/>
          <w:shd w:val="clear" w:color="auto" w:fill="FFFFFF"/>
        </w:rPr>
        <w:t>1</w:t>
      </w:r>
      <w:r>
        <w:rPr>
          <w:color w:val="000000"/>
          <w:szCs w:val="20"/>
          <w:shd w:val="clear" w:color="auto" w:fill="FFFFFF"/>
        </w:rPr>
        <w:t xml:space="preserve">5 ustawy z dnia 16 kwietnia 2004 r. o ochronie przyrody, a nie zarządzeniem w sprawie ustanowienia planu ochrony rezerwatu.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Nie wprowadzono dodatkowych ustaleń do studiów uwarunkowań i kierunków zagospodarowania przestrzennego gminy Chełmno i Kijewo Królewskie, planów zagospodarowania przestrzennego województwa kujawsko-pomorskiego dotyczących eliminacji lub ograniczenia zagrożeń wewnętrznych i zewnętrznych. Brak ustaleń wynika z braku zagrożeń, którym można by przeciwdziałać poprzez ww. ustalenia.</w:t>
      </w:r>
    </w:p>
    <w:p>
      <w:pPr>
        <w:keepNext w:val="0"/>
        <w:keepLines w:val="0"/>
        <w:widowControl/>
        <w:suppressLineNumbers w:val="0"/>
        <w:shd w:val="clear" w:color="auto" w:fill="auto"/>
        <w:tabs>
          <w:tab w:val="left" w:pos="680"/>
          <w:tab w:val="left" w:pos="709"/>
        </w:tabs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ab/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Zgodnie z art. 20 ust. 6 ustawy o ochronie przyrody niniejszy plan ochrony dla rezerwatu </w:t>
      </w:r>
      <w:r>
        <w:rPr>
          <w:color w:val="000000"/>
          <w:szCs w:val="20"/>
          <w:shd w:val="clear" w:color="auto" w:fill="FFFFFF"/>
        </w:rPr>
        <w:t xml:space="preserve">nie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zawiera zakres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planu zadań ochronnych obszaru Natura 2000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Zbocza Płutowskie PLH040040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ponieważ dla tego obszaru Natura 2000 ustanowiono plan zadań ochronnych </w:t>
      </w:r>
      <w:r>
        <w:rPr>
          <w:color w:val="000000"/>
          <w:szCs w:val="20"/>
          <w:shd w:val="clear" w:color="auto" w:fill="FFFFFF"/>
        </w:rPr>
        <w:t>z</w:t>
      </w:r>
      <w:r>
        <w:rPr>
          <w:color w:val="000000"/>
          <w:szCs w:val="20"/>
          <w:shd w:val="clear" w:color="auto" w:fill="F9FBF9"/>
          <w:lang w:val="x-none" w:eastAsia="en-US" w:bidi="ar-SA"/>
        </w:rPr>
        <w:t>arządzenie</w:t>
      </w:r>
      <w:r>
        <w:rPr>
          <w:color w:val="000000"/>
          <w:szCs w:val="20"/>
          <w:shd w:val="clear" w:color="auto" w:fill="F9FBF9"/>
        </w:rPr>
        <w:t>m</w:t>
      </w:r>
      <w:r>
        <w:rPr>
          <w:color w:val="000000"/>
          <w:szCs w:val="20"/>
          <w:shd w:val="clear" w:color="auto" w:fill="F9FBF9"/>
          <w:lang w:val="x-none" w:eastAsia="en-US" w:bidi="ar-SA"/>
        </w:rPr>
        <w:t xml:space="preserve"> Regionalnego Dyrektora Ochrony Środowiska w Bydgoszczy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 dnia 1 sierpnia 2019 r. w sprawie ustanowienia planu zadań ochronnych dla obszaru Natura 2000 Zbocza Płutowskie PLH040040 (Dz. Urz. Woj. Kuj-Pom. poz. 4324, z</w:t>
      </w:r>
      <w:r>
        <w:rPr>
          <w:color w:val="000000"/>
          <w:szCs w:val="20"/>
          <w:shd w:val="clear" w:color="auto" w:fill="FFFFFF"/>
        </w:rPr>
        <w:t xml:space="preserve">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zm.)</w:t>
      </w:r>
      <w:r>
        <w:rPr>
          <w:color w:val="000000"/>
          <w:szCs w:val="20"/>
          <w:shd w:val="clear" w:color="auto" w:fill="F9FBF9"/>
        </w:rPr>
        <w:t xml:space="preserve">, którego zakres obejmuje obszar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Zbocza Płutowskie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>.</w:t>
      </w:r>
    </w:p>
    <w:tbl>
      <w:tblPr>
        <w:tblStyle w:val="TableSimple1"/>
        <w:tblW w:w="8640" w:type="dxa"/>
        <w:tblInd w:w="93" w:type="dxa"/>
        <w:tblBorders>
          <w:top w:val="nil"/>
          <w:left w:val="nil"/>
          <w:bottom w:val="nil"/>
          <w:right w:val="nil"/>
        </w:tblBorders>
        <w:tblLook w:val="04A0"/>
      </w:tblPr>
      <w:tblGrid>
        <w:gridCol w:w="5081"/>
        <w:gridCol w:w="3559"/>
      </w:tblGrid>
      <w:tr>
        <w:tblPrEx>
          <w:tblW w:w="8640" w:type="dxa"/>
          <w:tblInd w:w="93" w:type="dxa"/>
          <w:tblBorders>
            <w:top w:val="nil"/>
            <w:left w:val="nil"/>
            <w:bottom w:val="nil"/>
            <w:right w:val="nil"/>
          </w:tblBorders>
          <w:tblLook w:val="04A0"/>
        </w:tblPrEx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120" w:afterAutospacing="0" w:line="240" w:lineRule="auto"/>
              <w:ind w:left="0" w:right="0" w:firstLine="0"/>
              <w:contextualSpacing w:val="0"/>
              <w:jc w:val="left"/>
              <w:rPr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SIGNATURE_0_1_FUNCTION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szCs w:val="20"/>
                <w:u w:color="000000"/>
              </w:rPr>
              <w:t xml:space="preserve">Regionalny Dyrektor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 xml:space="preserve">Ochrony Środowiska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>w Bydgoszczy</w:t>
            </w:r>
            <w:r>
              <w:rPr>
                <w:szCs w:val="20"/>
                <w:u w:color="000000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SIGNATURE_0_1_FIRSTNAME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b/>
                <w:szCs w:val="20"/>
                <w:u w:color="000000"/>
              </w:rPr>
              <w:t xml:space="preserve">Szymon </w:t>
            </w:r>
            <w:r>
              <w:rPr>
                <w:szCs w:val="20"/>
                <w:u w:color="000000"/>
              </w:rPr>
              <w:fldChar w:fldCharType="end"/>
            </w: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SIGNATURE_0_1_LASTNAME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b/>
                <w:szCs w:val="20"/>
                <w:u w:color="000000"/>
              </w:rPr>
              <w:t>Kosmalski</w:t>
            </w:r>
            <w:r>
              <w:rPr>
                <w:szCs w:val="20"/>
                <w:u w:color="000000"/>
              </w:rPr>
              <w:fldChar w:fldCharType="end"/>
            </w:r>
          </w:p>
        </w:tc>
      </w:tr>
    </w:tbl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</w:p>
    <w:sectPr>
      <w:footerReference w:type="default" r:id="rId10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3504F33F-074E-43B0-8B7D-23EBE351BA12.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3504F33F-074E-43B0-8B7D-23EBE351BA12.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3504F33F-074E-43B0-8B7D-23EBE351BA12.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3504F33F-074E-43B0-8B7D-23EBE351BA12. 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Plan Urządzenia Lasu Nadleśnictwa Jamy na okres od 1 stycznia 2017 r. do 31 grudnia 2026 r i Plan Urządzenia Lasu Nadleśnictwa Toruń na okres od 1 stycznia 2013 r. do 31 grudnia 2022 r.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5015"/>
    <w:multiLevelType w:val="hybridMultilevel"/>
    <w:tmpl w:val="00000000"/>
    <w:lvl w:ilvl="0">
      <w:start w:val="1"/>
      <w:numFmt w:val="decimal"/>
      <w:pStyle w:val="ListParagraph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  <w:style w:type="paragraph" w:customStyle="1" w:styleId="LPNumerowanie">
    <w:name w:val="LP_Numerowanie"/>
    <w:basedOn w:val="Normal"/>
    <w:pPr>
      <w:numPr>
        <w:numId w:val="1"/>
      </w:numPr>
      <w:tabs>
        <w:tab w:val="left" w:pos="0"/>
        <w:tab w:val="left" w:pos="720"/>
      </w:tabs>
      <w:spacing w:line="360" w:lineRule="auto"/>
    </w:pPr>
    <w:rPr>
      <w:color w:val="000000"/>
      <w:szCs w:val="20"/>
    </w:rPr>
  </w:style>
  <w:style w:type="paragraph" w:styleId="ListParagraph">
    <w:name w:val="List Paragraph"/>
    <w:basedOn w:val="Normal"/>
    <w:pPr>
      <w:spacing w:after="160" w:line="259" w:lineRule="auto"/>
      <w:ind w:left="720"/>
      <w:contextualSpacing/>
      <w:jc w:val="left"/>
    </w:pPr>
    <w:rPr>
      <w:rFonts w:ascii="Calibri" w:hAnsi="Calibri"/>
      <w:sz w:val="22"/>
      <w:szCs w:val="20"/>
      <w:lang w:val="x-none" w:eastAsia="en-US" w:bidi="ar-SA"/>
    </w:rPr>
  </w:style>
  <w:style w:type="table" w:styleId="TableSimple1">
    <w:name w:val="Table Simple 1"/>
    <w:basedOn w:val="TableNormal"/>
    <w:rPr>
      <w:color w:val="000000"/>
      <w:sz w:val="22"/>
      <w:shd w:val="clear" w:color="auto" w:fill="FFFFFF"/>
      <w:lang w:val="x-none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footer" Target="footer4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image" Target="media/image1.png" /><Relationship Id="rId8" Type="http://schemas.openxmlformats.org/officeDocument/2006/relationships/image" Target="Zalacznik24BE78EB-E446-4549-B467-56350B17CF70.jpg" TargetMode="External" /><Relationship Id="rId9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12 września 2022 r.</dc:title>
  <dc:subject>w^sprawie ustanowienia planu ochrony dla rezerwatu przyrody „Zbocza Płutowskie”</dc:subject>
  <dc:creator>kleszczynska</dc:creator>
  <cp:lastModifiedBy>kleszczynska</cp:lastModifiedBy>
  <cp:revision>1</cp:revision>
  <dcterms:created xsi:type="dcterms:W3CDTF">2022-09-13T10:06:39Z</dcterms:created>
  <dcterms:modified xsi:type="dcterms:W3CDTF">2022-09-13T10:06:39Z</dcterms:modified>
  <cp:category>Akt prawny</cp:category>
</cp:coreProperties>
</file>