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843CDD" w:rsidRPr="009169EB" w:rsidTr="009169EB">
        <w:trPr>
          <w:trHeight w:hRule="exact" w:val="579"/>
          <w:jc w:val="center"/>
        </w:trPr>
        <w:tc>
          <w:tcPr>
            <w:tcW w:w="2835" w:type="dxa"/>
            <w:shd w:val="clear" w:color="auto" w:fill="FFFFFF"/>
            <w:vAlign w:val="center"/>
          </w:tcPr>
          <w:p w:rsidR="00843CDD" w:rsidRPr="009169EB" w:rsidRDefault="00843CDD" w:rsidP="009169EB">
            <w:pPr>
              <w:spacing w:before="60" w:after="60" w:line="240" w:lineRule="auto"/>
              <w:ind w:left="57" w:right="57"/>
              <w:rPr>
                <w:rFonts w:ascii="Arial" w:eastAsia="Cambria" w:hAnsi="Arial" w:cs="Arial"/>
                <w:color w:val="000000"/>
                <w:sz w:val="20"/>
                <w:szCs w:val="20"/>
                <w:lang w:eastAsia="pl-PL" w:bidi="pl-PL"/>
              </w:rPr>
            </w:pPr>
            <w:bookmarkStart w:id="0" w:name="_GoBack"/>
            <w:bookmarkEnd w:id="0"/>
            <w:r w:rsidRPr="009169EB"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>Numer porządkowy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843CDD" w:rsidRPr="009169EB" w:rsidRDefault="00287114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Style w:val="Teksttreci295ptBezpogrubienia"/>
                <w:rFonts w:ascii="Arial" w:hAnsi="Arial" w:cs="Arial"/>
                <w:b w:val="0"/>
                <w:spacing w:val="0"/>
                <w:sz w:val="20"/>
                <w:szCs w:val="20"/>
              </w:rPr>
              <w:t>09.4287</w:t>
            </w:r>
          </w:p>
        </w:tc>
      </w:tr>
      <w:tr w:rsidR="00843CDD" w:rsidRPr="009169EB" w:rsidTr="009169EB">
        <w:trPr>
          <w:trHeight w:hRule="exact" w:val="1555"/>
          <w:jc w:val="center"/>
        </w:trPr>
        <w:tc>
          <w:tcPr>
            <w:tcW w:w="2835" w:type="dxa"/>
            <w:shd w:val="clear" w:color="auto" w:fill="FFFFFF"/>
            <w:vAlign w:val="center"/>
          </w:tcPr>
          <w:p w:rsidR="00843CDD" w:rsidRPr="009169EB" w:rsidRDefault="00843CDD" w:rsidP="009169EB">
            <w:pPr>
              <w:spacing w:before="60" w:after="60" w:line="240" w:lineRule="auto"/>
              <w:ind w:left="57" w:right="57"/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</w:pPr>
            <w:r w:rsidRPr="009169EB">
              <w:rPr>
                <w:rFonts w:ascii="Arial" w:eastAsia="Cambria" w:hAnsi="Arial" w:cs="Arial"/>
                <w:color w:val="000000"/>
                <w:sz w:val="20"/>
                <w:szCs w:val="20"/>
                <w:lang w:eastAsia="pl-PL" w:bidi="pl-PL"/>
              </w:rPr>
              <w:t>Umowa międzynarodowa lub inny akt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843CDD" w:rsidRPr="009169EB" w:rsidRDefault="00843CDD" w:rsidP="009169EB">
            <w:pPr>
              <w:spacing w:before="60" w:after="60" w:line="240" w:lineRule="auto"/>
              <w:ind w:left="57" w:right="57"/>
              <w:jc w:val="both"/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</w:pPr>
            <w:r w:rsidRPr="009169EB">
              <w:rPr>
                <w:rStyle w:val="Teksttreci295ptBezpogrubienia"/>
                <w:rFonts w:ascii="Arial" w:hAnsi="Arial" w:cs="Arial"/>
                <w:b w:val="0"/>
                <w:spacing w:val="0"/>
                <w:sz w:val="20"/>
                <w:szCs w:val="20"/>
              </w:rPr>
              <w:t>Decyzja Rady 2001/404/WE z dnia 28 maja 2001 r. w sprawie zawarcia Porozumienia w formie wymiany listów między Wspólnotą Europejską a Republiką Argentyńską na mocy art XXVIII Układu ogólnego w sprawie Taryf Celnych i Handlu (GATT) 1994, dotyczącego zmiany koncesji odnoszących się do czosnku pospolitego przewidzianych w Liście koncesyjnej CXL załączonej do GATT</w:t>
            </w:r>
          </w:p>
        </w:tc>
      </w:tr>
      <w:tr w:rsidR="00843CDD" w:rsidRPr="009169EB" w:rsidTr="009169EB">
        <w:trPr>
          <w:trHeight w:val="1395"/>
          <w:jc w:val="center"/>
        </w:trPr>
        <w:tc>
          <w:tcPr>
            <w:tcW w:w="2835" w:type="dxa"/>
            <w:vMerge w:val="restart"/>
            <w:shd w:val="clear" w:color="auto" w:fill="FFFFFF"/>
            <w:vAlign w:val="center"/>
          </w:tcPr>
          <w:p w:rsidR="00843CDD" w:rsidRPr="009169EB" w:rsidRDefault="00843CDD" w:rsidP="009169EB">
            <w:pPr>
              <w:spacing w:before="60" w:after="60" w:line="240" w:lineRule="auto"/>
              <w:ind w:left="57" w:right="57"/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</w:pPr>
            <w:r w:rsidRPr="009169EB">
              <w:rPr>
                <w:rFonts w:ascii="Arial" w:hAnsi="Arial" w:cs="Arial"/>
                <w:sz w:val="20"/>
                <w:szCs w:val="20"/>
              </w:rPr>
              <w:t>Akt prawny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843CDD" w:rsidRPr="009169EB" w:rsidRDefault="00843CDD" w:rsidP="009169EB">
            <w:pPr>
              <w:pStyle w:val="Nagwek10"/>
              <w:keepNext/>
              <w:keepLines/>
              <w:shd w:val="clear" w:color="auto" w:fill="auto"/>
              <w:spacing w:before="60" w:after="60" w:line="240" w:lineRule="auto"/>
              <w:ind w:left="57" w:right="57"/>
              <w:jc w:val="both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  <w:lang w:eastAsia="pl-PL" w:bidi="pl-PL"/>
              </w:rPr>
            </w:pPr>
            <w:r w:rsidRPr="009169EB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pl-PL" w:bidi="pl-PL"/>
              </w:rPr>
              <w:t xml:space="preserve">ROZPORZĄDZENIE DELEGOWANE KOMISJI (UE) 2020/760 </w:t>
            </w:r>
            <w:r w:rsidRPr="009169EB">
              <w:rPr>
                <w:rStyle w:val="Teksttreci485pt"/>
                <w:rFonts w:ascii="Arial" w:hAnsi="Arial" w:cs="Arial"/>
                <w:b w:val="0"/>
                <w:sz w:val="20"/>
                <w:szCs w:val="20"/>
              </w:rPr>
              <w:t xml:space="preserve">z dnia 17 grudnia 2019 r. </w:t>
            </w:r>
            <w:r w:rsidRPr="009169EB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pl-PL" w:bidi="pl-PL"/>
              </w:rPr>
              <w:t>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w odniesieniu do wnoszenia zabezpieczeń w ramach administrowania kontyngentami taryfowymi.</w:t>
            </w:r>
          </w:p>
        </w:tc>
      </w:tr>
      <w:tr w:rsidR="00843CDD" w:rsidRPr="009169EB" w:rsidTr="009169EB">
        <w:trPr>
          <w:trHeight w:hRule="exact" w:val="1389"/>
          <w:jc w:val="center"/>
        </w:trPr>
        <w:tc>
          <w:tcPr>
            <w:tcW w:w="2835" w:type="dxa"/>
            <w:vMerge/>
            <w:shd w:val="clear" w:color="auto" w:fill="FFFFFF"/>
            <w:vAlign w:val="center"/>
          </w:tcPr>
          <w:p w:rsidR="00843CDD" w:rsidRPr="009169EB" w:rsidRDefault="00843CDD" w:rsidP="009169EB">
            <w:pPr>
              <w:spacing w:before="60" w:after="60" w:line="240" w:lineRule="auto"/>
              <w:ind w:left="57" w:right="57"/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843CDD" w:rsidRPr="009169EB" w:rsidRDefault="00843CDD" w:rsidP="009169EB">
            <w:pPr>
              <w:spacing w:before="60" w:after="60" w:line="240" w:lineRule="auto"/>
              <w:ind w:left="57" w:right="57"/>
              <w:jc w:val="both"/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</w:pPr>
            <w:r w:rsidRPr="009169EB">
              <w:rPr>
                <w:rFonts w:ascii="Arial" w:hAnsi="Arial" w:cs="Arial"/>
                <w:sz w:val="20"/>
                <w:szCs w:val="20"/>
              </w:rPr>
              <w:t>ROZPORZĄDZENIE WYKONAWCZE KOMISJI (UE) 2020/761 z dnia 17 grudnia 2019 r. ustanawiające zasady stosowania rozporządzeń Parlamentu Europejskiego i Rady (UE) nr 1306/2013, (UE) nr 1308/2013 i (UE) nr 510/2014 w odniesieniu do systemu administrowania kontyngentami taryfowymi przy wykorzystaniu pozwoleń.</w:t>
            </w:r>
          </w:p>
        </w:tc>
      </w:tr>
      <w:tr w:rsidR="00843CDD" w:rsidRPr="009169EB" w:rsidTr="009169EB">
        <w:trPr>
          <w:trHeight w:hRule="exact" w:val="584"/>
          <w:jc w:val="center"/>
        </w:trPr>
        <w:tc>
          <w:tcPr>
            <w:tcW w:w="2835" w:type="dxa"/>
            <w:shd w:val="clear" w:color="auto" w:fill="FFFFFF"/>
            <w:vAlign w:val="center"/>
          </w:tcPr>
          <w:p w:rsidR="00843CDD" w:rsidRPr="009169EB" w:rsidRDefault="00843CDD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>Okres obowiązywania kontyngentu taryfowego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843CDD" w:rsidRPr="009169EB" w:rsidRDefault="00843CDD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Style w:val="Teksttreci295ptBezpogrubienia"/>
                <w:rFonts w:ascii="Arial" w:hAnsi="Arial" w:cs="Arial"/>
                <w:b w:val="0"/>
                <w:spacing w:val="0"/>
                <w:sz w:val="20"/>
                <w:szCs w:val="20"/>
              </w:rPr>
              <w:t xml:space="preserve">Od </w:t>
            </w:r>
            <w:r w:rsidRPr="009169EB"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  <w:t xml:space="preserve">1 </w:t>
            </w:r>
            <w:r w:rsidRPr="009169EB">
              <w:rPr>
                <w:rStyle w:val="Teksttreci295ptBezpogrubienia"/>
                <w:rFonts w:ascii="Arial" w:hAnsi="Arial" w:cs="Arial"/>
                <w:b w:val="0"/>
                <w:spacing w:val="0"/>
                <w:sz w:val="20"/>
                <w:szCs w:val="20"/>
              </w:rPr>
              <w:t xml:space="preserve">czerwca do </w:t>
            </w:r>
            <w:r w:rsidRPr="009169EB"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  <w:t xml:space="preserve">31 </w:t>
            </w:r>
            <w:r w:rsidRPr="009169EB">
              <w:rPr>
                <w:rStyle w:val="Teksttreci295ptBezpogrubienia"/>
                <w:rFonts w:ascii="Arial" w:hAnsi="Arial" w:cs="Arial"/>
                <w:b w:val="0"/>
                <w:spacing w:val="0"/>
                <w:sz w:val="20"/>
                <w:szCs w:val="20"/>
              </w:rPr>
              <w:t>maja</w:t>
            </w:r>
          </w:p>
        </w:tc>
      </w:tr>
      <w:tr w:rsidR="00843CDD" w:rsidRPr="009169EB" w:rsidTr="009169EB">
        <w:trPr>
          <w:trHeight w:hRule="exact" w:val="1403"/>
          <w:jc w:val="center"/>
        </w:trPr>
        <w:tc>
          <w:tcPr>
            <w:tcW w:w="2835" w:type="dxa"/>
            <w:shd w:val="clear" w:color="auto" w:fill="FFFFFF"/>
            <w:vAlign w:val="center"/>
          </w:tcPr>
          <w:p w:rsidR="00843CDD" w:rsidRPr="009169EB" w:rsidRDefault="00843CDD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>Podokresy obowiązywania kontyngentu taryfowego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370595" w:rsidRPr="009169EB" w:rsidRDefault="00843CDD" w:rsidP="009169EB">
            <w:pPr>
              <w:spacing w:before="60" w:after="60" w:line="240" w:lineRule="auto"/>
              <w:ind w:left="57" w:right="57"/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</w:pPr>
            <w:r w:rsidRPr="009169EB"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  <w:t xml:space="preserve">Od 1 </w:t>
            </w:r>
            <w:r w:rsidRPr="009169EB">
              <w:rPr>
                <w:rStyle w:val="Teksttreci295ptBezpogrubienia"/>
                <w:rFonts w:ascii="Arial" w:hAnsi="Arial" w:cs="Arial"/>
                <w:b w:val="0"/>
                <w:spacing w:val="0"/>
                <w:sz w:val="20"/>
                <w:szCs w:val="20"/>
              </w:rPr>
              <w:t xml:space="preserve">czerwca </w:t>
            </w:r>
            <w:r w:rsidRPr="009169EB"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  <w:t>do 31 sierpnia</w:t>
            </w:r>
          </w:p>
          <w:p w:rsidR="00843CDD" w:rsidRPr="009169EB" w:rsidRDefault="00843CDD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  <w:t xml:space="preserve">Od 1 </w:t>
            </w:r>
            <w:r w:rsidRPr="009169EB">
              <w:rPr>
                <w:rStyle w:val="Teksttreci295ptBezpogrubienia"/>
                <w:rFonts w:ascii="Arial" w:hAnsi="Arial" w:cs="Arial"/>
                <w:b w:val="0"/>
                <w:spacing w:val="0"/>
                <w:sz w:val="20"/>
                <w:szCs w:val="20"/>
              </w:rPr>
              <w:t xml:space="preserve">września </w:t>
            </w:r>
            <w:r w:rsidRPr="009169EB"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  <w:t>do 30 listopada</w:t>
            </w:r>
          </w:p>
          <w:p w:rsidR="00843CDD" w:rsidRPr="009169EB" w:rsidRDefault="00843CDD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Style w:val="Teksttreci295ptBezpogrubienia"/>
                <w:rFonts w:ascii="Arial" w:hAnsi="Arial" w:cs="Arial"/>
                <w:b w:val="0"/>
                <w:spacing w:val="0"/>
                <w:sz w:val="20"/>
                <w:szCs w:val="20"/>
              </w:rPr>
              <w:t>Od 1 grudnia do 28 lutego lub 29 lutego, w zależności od roku (przestępny lub nie)</w:t>
            </w:r>
          </w:p>
          <w:p w:rsidR="00843CDD" w:rsidRPr="009169EB" w:rsidRDefault="00843CDD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</w:rPr>
            </w:pPr>
            <w:r w:rsidRPr="009169EB"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  <w:t>Od 1 marca do 31 maja</w:t>
            </w:r>
          </w:p>
        </w:tc>
      </w:tr>
      <w:tr w:rsidR="00843CDD" w:rsidRPr="009169EB" w:rsidTr="009169EB">
        <w:trPr>
          <w:trHeight w:hRule="exact" w:val="2268"/>
          <w:jc w:val="center"/>
        </w:trPr>
        <w:tc>
          <w:tcPr>
            <w:tcW w:w="2835" w:type="dxa"/>
            <w:shd w:val="clear" w:color="auto" w:fill="FFFFFF"/>
            <w:vAlign w:val="center"/>
          </w:tcPr>
          <w:p w:rsidR="00843CDD" w:rsidRPr="009169EB" w:rsidRDefault="00843CDD" w:rsidP="009169EB">
            <w:pPr>
              <w:spacing w:before="60" w:after="60" w:line="240" w:lineRule="auto"/>
              <w:ind w:left="57" w:right="57"/>
              <w:rPr>
                <w:rStyle w:val="Teksttreci295ptBezpogrubienia"/>
                <w:rFonts w:ascii="Arial" w:hAnsi="Arial" w:cs="Arial"/>
                <w:b w:val="0"/>
                <w:spacing w:val="0"/>
                <w:sz w:val="20"/>
                <w:szCs w:val="20"/>
              </w:rPr>
            </w:pPr>
            <w:r w:rsidRPr="009169EB">
              <w:rPr>
                <w:rStyle w:val="Teksttreci295ptBezpogrubienia"/>
                <w:rFonts w:ascii="Arial" w:hAnsi="Arial" w:cs="Arial"/>
                <w:b w:val="0"/>
                <w:spacing w:val="0"/>
                <w:sz w:val="20"/>
                <w:szCs w:val="20"/>
              </w:rPr>
              <w:t xml:space="preserve">Wniosek o pozwolenie </w:t>
            </w:r>
          </w:p>
          <w:p w:rsidR="00843CDD" w:rsidRPr="009169EB" w:rsidRDefault="00843CDD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Style w:val="Teksttreci295ptBezpogrubienia"/>
                <w:rFonts w:ascii="Arial" w:hAnsi="Arial" w:cs="Arial"/>
                <w:b w:val="0"/>
                <w:spacing w:val="0"/>
                <w:sz w:val="20"/>
                <w:szCs w:val="20"/>
              </w:rPr>
              <w:t xml:space="preserve">Zgodnie z art. </w:t>
            </w:r>
            <w:r w:rsidR="00144380" w:rsidRPr="009169EB"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  <w:t xml:space="preserve">6, 7, </w:t>
            </w:r>
            <w:r w:rsidRPr="009169EB"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  <w:t xml:space="preserve">8 </w:t>
            </w:r>
            <w:r w:rsidR="00144380" w:rsidRPr="009169EB"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  <w:t xml:space="preserve">i 38 </w:t>
            </w:r>
            <w:r w:rsidRPr="009169EB">
              <w:rPr>
                <w:rStyle w:val="Teksttreci295ptBezpogrubienia"/>
                <w:rFonts w:ascii="Arial" w:hAnsi="Arial" w:cs="Arial"/>
                <w:b w:val="0"/>
                <w:spacing w:val="0"/>
                <w:sz w:val="20"/>
                <w:szCs w:val="20"/>
              </w:rPr>
              <w:t>rozporządzenia</w:t>
            </w:r>
            <w:r w:rsidR="009E5A77" w:rsidRPr="009169EB">
              <w:rPr>
                <w:rStyle w:val="Teksttreci295ptBezpogrubienia"/>
                <w:rFonts w:ascii="Arial" w:hAnsi="Arial" w:cs="Arial"/>
                <w:b w:val="0"/>
                <w:spacing w:val="0"/>
                <w:sz w:val="20"/>
                <w:szCs w:val="20"/>
              </w:rPr>
              <w:t xml:space="preserve"> 2020/761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40372D" w:rsidRPr="009169EB" w:rsidRDefault="0040372D" w:rsidP="009169EB">
            <w:pPr>
              <w:spacing w:before="60" w:after="6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Fonts w:ascii="Arial" w:hAnsi="Arial" w:cs="Arial"/>
                <w:sz w:val="20"/>
                <w:szCs w:val="20"/>
              </w:rPr>
              <w:t>Wnioski o wydanie pozwolenia na przywóz składa się w ciągu pierwszych siedmiu dni kalendarzowych miesiąca poprzedzającego początek okresu obowiązywania kontyngentu taryfowego do godz. 13.00 oraz w ciągu pierwszych siedmiu dni kalendarzowych każdego miesiąca w trakcie obowiązywania kontyngentu taryfowego do wyczerpania ilości przydzielonej w danym podokresie do godz. 13.00, z wyjątkiem grudnia, w którym to miesiącu nie składa się żadnych wniosków.</w:t>
            </w:r>
          </w:p>
          <w:p w:rsidR="00843CDD" w:rsidRPr="009169EB" w:rsidRDefault="0040372D" w:rsidP="009169EB">
            <w:pPr>
              <w:spacing w:before="60" w:after="6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Fonts w:ascii="Arial" w:hAnsi="Arial" w:cs="Arial"/>
                <w:sz w:val="20"/>
                <w:szCs w:val="20"/>
              </w:rPr>
              <w:t>Wnioski o pozwolenia na przywóz i na wywóz, których ważność rozpoczyna się z dniem 1 stycznia, składa się między 23 i 30 listopada roku poprzedzającego</w:t>
            </w:r>
          </w:p>
        </w:tc>
      </w:tr>
      <w:tr w:rsidR="00843CDD" w:rsidRPr="009169EB" w:rsidTr="009169EB">
        <w:trPr>
          <w:trHeight w:hRule="exact" w:val="509"/>
          <w:jc w:val="center"/>
        </w:trPr>
        <w:tc>
          <w:tcPr>
            <w:tcW w:w="2835" w:type="dxa"/>
            <w:shd w:val="clear" w:color="auto" w:fill="FFFFFF"/>
            <w:vAlign w:val="center"/>
          </w:tcPr>
          <w:p w:rsidR="00843CDD" w:rsidRPr="009169EB" w:rsidRDefault="00843CDD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>Opis produktu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843CDD" w:rsidRPr="009169EB" w:rsidRDefault="00843CDD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Style w:val="Teksttreci295ptBezpogrubienia"/>
                <w:rFonts w:ascii="Arial" w:hAnsi="Arial" w:cs="Arial"/>
                <w:b w:val="0"/>
                <w:spacing w:val="0"/>
                <w:sz w:val="20"/>
                <w:szCs w:val="20"/>
              </w:rPr>
              <w:t>Czosnek świeży lub chłodzony objęty kodem CN 0703 20 00</w:t>
            </w:r>
          </w:p>
        </w:tc>
      </w:tr>
      <w:tr w:rsidR="00522A20" w:rsidRPr="009169EB" w:rsidTr="009169EB">
        <w:trPr>
          <w:trHeight w:hRule="exact" w:val="509"/>
          <w:jc w:val="center"/>
        </w:trPr>
        <w:tc>
          <w:tcPr>
            <w:tcW w:w="2835" w:type="dxa"/>
            <w:shd w:val="clear" w:color="auto" w:fill="FFFFFF"/>
            <w:vAlign w:val="center"/>
          </w:tcPr>
          <w:p w:rsidR="00522A20" w:rsidRPr="009169EB" w:rsidRDefault="00522A20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>Pochodzenie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522A20" w:rsidRPr="009169EB" w:rsidRDefault="00443E87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Style w:val="Teksttreci295ptBezpogrubienia"/>
                <w:rFonts w:ascii="Arial" w:hAnsi="Arial" w:cs="Arial"/>
                <w:b w:val="0"/>
                <w:spacing w:val="0"/>
                <w:sz w:val="20"/>
                <w:szCs w:val="20"/>
              </w:rPr>
              <w:t>Inne państwa trzecie (z wyjątkiem Chin, Argentyny i Zjednoczonego Królestwa)</w:t>
            </w:r>
          </w:p>
        </w:tc>
      </w:tr>
      <w:tr w:rsidR="00522A20" w:rsidRPr="009169EB" w:rsidTr="009169EB">
        <w:trPr>
          <w:trHeight w:hRule="exact" w:val="1668"/>
          <w:jc w:val="center"/>
        </w:trPr>
        <w:tc>
          <w:tcPr>
            <w:tcW w:w="2835" w:type="dxa"/>
            <w:shd w:val="clear" w:color="auto" w:fill="FFFFFF"/>
            <w:vAlign w:val="center"/>
          </w:tcPr>
          <w:p w:rsidR="00522A20" w:rsidRPr="009169EB" w:rsidRDefault="00522A20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Style w:val="Teksttreci295ptBezpogrubienia"/>
                <w:rFonts w:ascii="Arial" w:hAnsi="Arial" w:cs="Arial"/>
                <w:b w:val="0"/>
                <w:spacing w:val="0"/>
                <w:sz w:val="20"/>
                <w:szCs w:val="20"/>
              </w:rPr>
              <w:t>Dowód pochodzenia przy składaniu wniosku o pozwolenie.</w:t>
            </w:r>
          </w:p>
          <w:p w:rsidR="00522A20" w:rsidRPr="009169EB" w:rsidRDefault="00522A20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Style w:val="Teksttreci295ptBezpogrubienia"/>
                <w:rFonts w:ascii="Arial" w:hAnsi="Arial" w:cs="Arial"/>
                <w:b w:val="0"/>
                <w:spacing w:val="0"/>
                <w:sz w:val="20"/>
                <w:szCs w:val="20"/>
              </w:rPr>
              <w:t>Jeżeli „tak”, organ upoważniony do jego wydania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522A20" w:rsidRPr="009169EB" w:rsidRDefault="00522A20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Style w:val="Teksttreci295ptBezpogrubienia"/>
                <w:rFonts w:ascii="Arial" w:hAnsi="Arial" w:cs="Arial"/>
                <w:b w:val="0"/>
                <w:spacing w:val="0"/>
                <w:sz w:val="20"/>
                <w:szCs w:val="20"/>
              </w:rPr>
              <w:t>Nie</w:t>
            </w:r>
          </w:p>
        </w:tc>
      </w:tr>
      <w:tr w:rsidR="00522A20" w:rsidRPr="009169EB" w:rsidTr="009169EB">
        <w:trPr>
          <w:trHeight w:hRule="exact" w:val="858"/>
          <w:jc w:val="center"/>
        </w:trPr>
        <w:tc>
          <w:tcPr>
            <w:tcW w:w="2835" w:type="dxa"/>
            <w:shd w:val="clear" w:color="auto" w:fill="FFFFFF"/>
            <w:vAlign w:val="center"/>
          </w:tcPr>
          <w:p w:rsidR="00522A20" w:rsidRPr="009169EB" w:rsidRDefault="00522A20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>Dowód pochodzenia do celów dopuszczenia do obrotu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522A20" w:rsidRPr="009169EB" w:rsidRDefault="00ED7432" w:rsidP="009169EB">
            <w:pPr>
              <w:spacing w:before="60" w:after="6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Style w:val="Teksttreci295ptBezpogrubienia"/>
                <w:rFonts w:ascii="Arial" w:hAnsi="Arial" w:cs="Arial"/>
                <w:b w:val="0"/>
                <w:spacing w:val="0"/>
                <w:sz w:val="20"/>
                <w:szCs w:val="20"/>
              </w:rPr>
              <w:t>Świadectwo pochodzenia z Iranu, Libanu, Malezji, Tajwanu, Zjednoczonych Emiratów Arabskich, Wietnamu, wydane przez właściwe organy krajowe jednego z tych państw zgodnie z art. 57, 58 i 59 rozporządzenia (UE) 2015/2447</w:t>
            </w:r>
          </w:p>
        </w:tc>
      </w:tr>
      <w:tr w:rsidR="00522A20" w:rsidRPr="009169EB" w:rsidTr="009169EB">
        <w:trPr>
          <w:trHeight w:val="1252"/>
          <w:jc w:val="center"/>
        </w:trPr>
        <w:tc>
          <w:tcPr>
            <w:tcW w:w="2835" w:type="dxa"/>
            <w:shd w:val="clear" w:color="auto" w:fill="FFFFFF"/>
            <w:vAlign w:val="center"/>
          </w:tcPr>
          <w:p w:rsidR="00522A20" w:rsidRPr="009169EB" w:rsidRDefault="00522A20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>Ilość w kilogramach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793C97" w:rsidRPr="009169EB" w:rsidRDefault="00793C97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Fonts w:ascii="Arial" w:hAnsi="Arial" w:cs="Arial"/>
                <w:sz w:val="20"/>
                <w:szCs w:val="20"/>
              </w:rPr>
              <w:t>3 711 000 kg, w następującym podziale:</w:t>
            </w:r>
          </w:p>
          <w:p w:rsidR="00793C97" w:rsidRPr="009169EB" w:rsidRDefault="00793C97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Fonts w:ascii="Arial" w:hAnsi="Arial" w:cs="Arial"/>
                <w:sz w:val="20"/>
                <w:szCs w:val="20"/>
              </w:rPr>
              <w:t>822 000 kg przypadające na podokres od 1 czerwca do 31 sierpnia</w:t>
            </w:r>
          </w:p>
          <w:p w:rsidR="00793C97" w:rsidRPr="009169EB" w:rsidRDefault="00793C97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Fonts w:ascii="Arial" w:hAnsi="Arial" w:cs="Arial"/>
                <w:sz w:val="20"/>
                <w:szCs w:val="20"/>
              </w:rPr>
              <w:t>1 726 000 kg przypadające na podokres od 1 września do 30 listopada</w:t>
            </w:r>
          </w:p>
          <w:p w:rsidR="00793C97" w:rsidRPr="009169EB" w:rsidRDefault="00793C97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Fonts w:ascii="Arial" w:hAnsi="Arial" w:cs="Arial"/>
                <w:sz w:val="20"/>
                <w:szCs w:val="20"/>
              </w:rPr>
              <w:t>822 000 kg przypadające na podokres od 1 grudnia do 28/29 lutego</w:t>
            </w:r>
          </w:p>
          <w:p w:rsidR="00793C97" w:rsidRPr="009169EB" w:rsidRDefault="00793C97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Fonts w:ascii="Arial" w:hAnsi="Arial" w:cs="Arial"/>
                <w:sz w:val="20"/>
                <w:szCs w:val="20"/>
              </w:rPr>
              <w:t>341 000 kg przypadające na podokres od 1 marca do 31 maja</w:t>
            </w:r>
          </w:p>
        </w:tc>
      </w:tr>
      <w:tr w:rsidR="00522A20" w:rsidRPr="009169EB" w:rsidTr="009169EB">
        <w:trPr>
          <w:trHeight w:hRule="exact" w:val="514"/>
          <w:jc w:val="center"/>
        </w:trPr>
        <w:tc>
          <w:tcPr>
            <w:tcW w:w="2835" w:type="dxa"/>
            <w:shd w:val="clear" w:color="auto" w:fill="FFFFFF"/>
            <w:vAlign w:val="center"/>
          </w:tcPr>
          <w:p w:rsidR="00522A20" w:rsidRPr="009169EB" w:rsidRDefault="00522A20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>Kody CN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522A20" w:rsidRPr="009169EB" w:rsidRDefault="009167D4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Style w:val="Teksttreci295ptBezpogrubienia"/>
                <w:rFonts w:ascii="Arial" w:hAnsi="Arial" w:cs="Arial"/>
                <w:b w:val="0"/>
                <w:spacing w:val="0"/>
                <w:sz w:val="20"/>
                <w:szCs w:val="20"/>
              </w:rPr>
              <w:t>0703 20 00</w:t>
            </w:r>
          </w:p>
        </w:tc>
      </w:tr>
      <w:tr w:rsidR="009167D4" w:rsidRPr="009169EB" w:rsidTr="009169EB">
        <w:trPr>
          <w:trHeight w:hRule="exact" w:val="509"/>
          <w:jc w:val="center"/>
        </w:trPr>
        <w:tc>
          <w:tcPr>
            <w:tcW w:w="2835" w:type="dxa"/>
            <w:shd w:val="clear" w:color="auto" w:fill="FFFFFF"/>
            <w:vAlign w:val="center"/>
          </w:tcPr>
          <w:p w:rsidR="009167D4" w:rsidRPr="009169EB" w:rsidRDefault="009167D4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lastRenderedPageBreak/>
              <w:t>Cło w ramach kontyngentu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9167D4" w:rsidRPr="009169EB" w:rsidRDefault="009167D4" w:rsidP="009169EB">
            <w:pPr>
              <w:spacing w:before="60" w:after="60" w:line="240" w:lineRule="auto"/>
              <w:ind w:left="57" w:right="57"/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</w:pPr>
            <w:r w:rsidRPr="009169EB">
              <w:rPr>
                <w:rStyle w:val="Teksttreci2BezpogrubieniaKursywaOdstpy1pt"/>
                <w:rFonts w:ascii="Arial" w:hAnsi="Arial" w:cs="Arial"/>
                <w:b w:val="0"/>
                <w:i w:val="0"/>
                <w:spacing w:val="0"/>
                <w:sz w:val="20"/>
                <w:szCs w:val="20"/>
              </w:rPr>
              <w:t>9,6%</w:t>
            </w:r>
            <w:r w:rsidRPr="009169EB">
              <w:rPr>
                <w:rStyle w:val="Teksttreci2BezpogrubieniaKursywa"/>
                <w:rFonts w:ascii="Arial" w:hAnsi="Arial" w:cs="Arial"/>
                <w:b w:val="0"/>
                <w:i w:val="0"/>
                <w:spacing w:val="0"/>
                <w:sz w:val="20"/>
                <w:szCs w:val="20"/>
              </w:rPr>
              <w:t xml:space="preserve"> ad valorem</w:t>
            </w:r>
          </w:p>
        </w:tc>
      </w:tr>
      <w:tr w:rsidR="009167D4" w:rsidRPr="009169EB" w:rsidTr="009169EB">
        <w:trPr>
          <w:trHeight w:hRule="exact" w:val="614"/>
          <w:jc w:val="center"/>
        </w:trPr>
        <w:tc>
          <w:tcPr>
            <w:tcW w:w="2835" w:type="dxa"/>
            <w:shd w:val="clear" w:color="auto" w:fill="FFFFFF"/>
            <w:vAlign w:val="center"/>
          </w:tcPr>
          <w:p w:rsidR="009167D4" w:rsidRPr="009169EB" w:rsidRDefault="009167D4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>Dowód handlu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9167D4" w:rsidRPr="009169EB" w:rsidRDefault="0061157D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Style w:val="Teksttreci295ptBezpogrubienia"/>
                <w:rFonts w:ascii="Arial" w:hAnsi="Arial" w:cs="Arial"/>
                <w:b w:val="0"/>
                <w:spacing w:val="0"/>
                <w:sz w:val="20"/>
                <w:szCs w:val="20"/>
              </w:rPr>
              <w:t>Tak. 25 ton</w:t>
            </w:r>
          </w:p>
        </w:tc>
      </w:tr>
      <w:tr w:rsidR="009167D4" w:rsidRPr="009169EB" w:rsidTr="009169EB">
        <w:trPr>
          <w:trHeight w:hRule="exact" w:val="864"/>
          <w:jc w:val="center"/>
        </w:trPr>
        <w:tc>
          <w:tcPr>
            <w:tcW w:w="2835" w:type="dxa"/>
            <w:shd w:val="clear" w:color="auto" w:fill="FFFFFF"/>
            <w:vAlign w:val="center"/>
          </w:tcPr>
          <w:p w:rsidR="009167D4" w:rsidRPr="009169EB" w:rsidRDefault="009167D4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>Zabezpieczenie na potrzeby pozwolenia na przywóz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9167D4" w:rsidRPr="009169EB" w:rsidRDefault="009167D4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Style w:val="Teksttreci295ptBezpogrubienia"/>
                <w:rFonts w:ascii="Arial" w:hAnsi="Arial" w:cs="Arial"/>
                <w:b w:val="0"/>
                <w:spacing w:val="0"/>
                <w:sz w:val="20"/>
                <w:szCs w:val="20"/>
              </w:rPr>
              <w:t>60 EUR za 1 000 kg</w:t>
            </w:r>
          </w:p>
        </w:tc>
      </w:tr>
      <w:tr w:rsidR="009167D4" w:rsidRPr="009169EB" w:rsidTr="009169EB">
        <w:trPr>
          <w:trHeight w:hRule="exact" w:val="1323"/>
          <w:jc w:val="center"/>
        </w:trPr>
        <w:tc>
          <w:tcPr>
            <w:tcW w:w="2835" w:type="dxa"/>
            <w:shd w:val="clear" w:color="auto" w:fill="FFFFFF"/>
            <w:vAlign w:val="center"/>
          </w:tcPr>
          <w:p w:rsidR="009167D4" w:rsidRPr="009169EB" w:rsidRDefault="009167D4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>Szczegółowe adnotacje dokonywane we wniosku o pozwolenie i w pozwoleniu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9167D4" w:rsidRPr="009169EB" w:rsidRDefault="009167D4" w:rsidP="009169EB">
            <w:pPr>
              <w:spacing w:before="60" w:after="60" w:line="240" w:lineRule="auto"/>
              <w:ind w:left="57" w:right="57"/>
              <w:rPr>
                <w:rStyle w:val="Teksttreci295ptBezpogrubienia"/>
                <w:rFonts w:ascii="Arial" w:hAnsi="Arial" w:cs="Arial"/>
                <w:b w:val="0"/>
                <w:spacing w:val="0"/>
                <w:sz w:val="20"/>
                <w:szCs w:val="20"/>
              </w:rPr>
            </w:pPr>
            <w:r w:rsidRPr="009169EB">
              <w:rPr>
                <w:rStyle w:val="Teksttreci295ptBezpogrubienia"/>
                <w:rFonts w:ascii="Arial" w:hAnsi="Arial" w:cs="Arial"/>
                <w:b w:val="0"/>
                <w:spacing w:val="0"/>
                <w:sz w:val="20"/>
                <w:szCs w:val="20"/>
              </w:rPr>
              <w:t>Sekcja 8 wniosku o pozwolenie na przywóz i pozwolenia na przywóz wskazuje kraj pochodzenia; należy zaznaczyć pole „tak” w tej sekcji.</w:t>
            </w:r>
          </w:p>
          <w:p w:rsidR="0081776A" w:rsidRPr="009169EB" w:rsidRDefault="007066DE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Fonts w:ascii="Arial" w:hAnsi="Arial" w:cs="Arial"/>
                <w:sz w:val="20"/>
                <w:szCs w:val="20"/>
              </w:rPr>
              <w:t>Pozwolenia muszą zawierać w sekcji 24 sformułowanie „Nie stosować w odniesieniu do produktów pochodzących z Chin, Argentyny i Zjednoczonego Królestwa”</w:t>
            </w:r>
          </w:p>
        </w:tc>
      </w:tr>
      <w:tr w:rsidR="009167D4" w:rsidRPr="009169EB" w:rsidTr="009169EB">
        <w:trPr>
          <w:trHeight w:hRule="exact" w:val="684"/>
          <w:jc w:val="center"/>
        </w:trPr>
        <w:tc>
          <w:tcPr>
            <w:tcW w:w="2835" w:type="dxa"/>
            <w:shd w:val="clear" w:color="auto" w:fill="FFFFFF" w:themeFill="background1"/>
            <w:vAlign w:val="center"/>
          </w:tcPr>
          <w:p w:rsidR="009167D4" w:rsidRPr="009169EB" w:rsidRDefault="009167D4" w:rsidP="009169EB">
            <w:pPr>
              <w:spacing w:before="60" w:after="60" w:line="240" w:lineRule="auto"/>
              <w:ind w:left="57" w:right="57"/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</w:pPr>
            <w:r w:rsidRPr="009169EB"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>Termin wydania pozwolenia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9167D4" w:rsidRPr="009169EB" w:rsidRDefault="009167D4" w:rsidP="009169EB">
            <w:pPr>
              <w:spacing w:before="60" w:after="60" w:line="240" w:lineRule="auto"/>
              <w:ind w:left="57" w:right="57"/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</w:pPr>
            <w:r w:rsidRPr="009169EB">
              <w:rPr>
                <w:rStyle w:val="Teksttreci295ptBezpogrubienia"/>
                <w:rFonts w:ascii="Arial" w:hAnsi="Arial" w:cs="Arial"/>
                <w:b w:val="0"/>
                <w:spacing w:val="0"/>
                <w:sz w:val="20"/>
                <w:szCs w:val="20"/>
              </w:rPr>
              <w:t>Pozwolenia na przywóz wydawane są po opublikowaniu przez KE (na stronie EUROPA) współczynnika przydziału i przed końcem miesiąca.</w:t>
            </w:r>
          </w:p>
        </w:tc>
      </w:tr>
      <w:tr w:rsidR="009167D4" w:rsidRPr="009169EB" w:rsidTr="009169EB">
        <w:trPr>
          <w:trHeight w:hRule="exact" w:val="1262"/>
          <w:jc w:val="center"/>
        </w:trPr>
        <w:tc>
          <w:tcPr>
            <w:tcW w:w="2835" w:type="dxa"/>
            <w:shd w:val="clear" w:color="auto" w:fill="FFFFFF"/>
            <w:vAlign w:val="center"/>
          </w:tcPr>
          <w:p w:rsidR="009167D4" w:rsidRPr="009169EB" w:rsidRDefault="009167D4" w:rsidP="009169EB">
            <w:pPr>
              <w:spacing w:before="60" w:after="60" w:line="240" w:lineRule="auto"/>
              <w:ind w:left="57" w:right="57"/>
              <w:rPr>
                <w:rStyle w:val="Teksttreci295ptBezpogrubienia"/>
                <w:rFonts w:ascii="Arial" w:hAnsi="Arial" w:cs="Arial"/>
                <w:b w:val="0"/>
                <w:spacing w:val="0"/>
                <w:sz w:val="20"/>
                <w:szCs w:val="20"/>
              </w:rPr>
            </w:pPr>
            <w:r w:rsidRPr="009169EB"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>Okres ważności pozwolenia</w:t>
            </w:r>
            <w:r w:rsidRPr="009169EB">
              <w:rPr>
                <w:rStyle w:val="Teksttreci295ptBezpogrubienia"/>
                <w:rFonts w:ascii="Arial" w:hAnsi="Arial" w:cs="Arial"/>
                <w:b w:val="0"/>
                <w:spacing w:val="0"/>
                <w:sz w:val="20"/>
                <w:szCs w:val="20"/>
              </w:rPr>
              <w:t xml:space="preserve"> </w:t>
            </w:r>
          </w:p>
          <w:p w:rsidR="009167D4" w:rsidRPr="009169EB" w:rsidRDefault="009167D4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Style w:val="Teksttreci295ptBezpogrubienia"/>
                <w:rFonts w:ascii="Arial" w:hAnsi="Arial" w:cs="Arial"/>
                <w:b w:val="0"/>
                <w:spacing w:val="0"/>
                <w:sz w:val="20"/>
                <w:szCs w:val="20"/>
              </w:rPr>
              <w:t>Zgodnie z art. 13 niniejszego rozporządzenia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9167D4" w:rsidRPr="009169EB" w:rsidRDefault="001235AD" w:rsidP="009169EB">
            <w:pPr>
              <w:spacing w:before="60" w:after="6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Fonts w:ascii="Arial" w:hAnsi="Arial" w:cs="Arial"/>
                <w:color w:val="000000"/>
                <w:sz w:val="20"/>
                <w:szCs w:val="20"/>
              </w:rPr>
              <w:t>Pozwolenia na przywóz/wyciągi dla danego podokresu  są ważne do ostatniego dnia kalendarzowego miesiąca następującego po zakończeniu danego podokresu, ale nie dłużej niż do końca okresu obowiązywania kontyngentu taryfowego</w:t>
            </w:r>
            <w:r w:rsidRPr="009169E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9167D4" w:rsidRPr="009169EB" w:rsidTr="009169EB">
        <w:trPr>
          <w:trHeight w:hRule="exact" w:val="696"/>
          <w:jc w:val="center"/>
        </w:trPr>
        <w:tc>
          <w:tcPr>
            <w:tcW w:w="2835" w:type="dxa"/>
            <w:shd w:val="clear" w:color="auto" w:fill="FFFFFF"/>
            <w:vAlign w:val="center"/>
          </w:tcPr>
          <w:p w:rsidR="009167D4" w:rsidRPr="009169EB" w:rsidRDefault="009167D4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>Możliwość przeniesienia pozwolenia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9167D4" w:rsidRPr="009169EB" w:rsidRDefault="002F1E2D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Style w:val="Teksttreci295ptBezpogrubienia"/>
                <w:rFonts w:ascii="Arial" w:hAnsi="Arial" w:cs="Arial"/>
                <w:b w:val="0"/>
                <w:spacing w:val="0"/>
                <w:sz w:val="20"/>
                <w:szCs w:val="20"/>
              </w:rPr>
              <w:t>Tak</w:t>
            </w:r>
          </w:p>
        </w:tc>
      </w:tr>
      <w:tr w:rsidR="009167D4" w:rsidRPr="009169EB" w:rsidTr="009169EB">
        <w:trPr>
          <w:trHeight w:hRule="exact" w:val="581"/>
          <w:jc w:val="center"/>
        </w:trPr>
        <w:tc>
          <w:tcPr>
            <w:tcW w:w="2835" w:type="dxa"/>
            <w:shd w:val="clear" w:color="auto" w:fill="FFFFFF"/>
            <w:vAlign w:val="center"/>
          </w:tcPr>
          <w:p w:rsidR="009167D4" w:rsidRPr="009169EB" w:rsidRDefault="009167D4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>Ilość referencyjna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9167D4" w:rsidRPr="009169EB" w:rsidRDefault="0061157D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9167D4" w:rsidRPr="009169EB" w:rsidTr="009169EB">
        <w:trPr>
          <w:trHeight w:hRule="exact" w:val="702"/>
          <w:jc w:val="center"/>
        </w:trPr>
        <w:tc>
          <w:tcPr>
            <w:tcW w:w="2835" w:type="dxa"/>
            <w:shd w:val="clear" w:color="auto" w:fill="FFFFFF"/>
            <w:vAlign w:val="center"/>
          </w:tcPr>
          <w:p w:rsidR="009167D4" w:rsidRPr="009169EB" w:rsidRDefault="009167D4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>Podmiot zarejestrowany w bazie danych LORI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9167D4" w:rsidRPr="009169EB" w:rsidRDefault="003829DC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Fonts w:ascii="Arial" w:hAnsi="Arial" w:cs="Arial"/>
                <w:color w:val="000000"/>
                <w:sz w:val="20"/>
                <w:szCs w:val="20"/>
                <w:lang w:eastAsia="pl-PL" w:bidi="pl-PL"/>
              </w:rPr>
              <w:t>Nie</w:t>
            </w:r>
          </w:p>
        </w:tc>
      </w:tr>
      <w:tr w:rsidR="009167D4" w:rsidRPr="009169EB" w:rsidTr="009169EB">
        <w:trPr>
          <w:trHeight w:hRule="exact" w:val="466"/>
          <w:jc w:val="center"/>
        </w:trPr>
        <w:tc>
          <w:tcPr>
            <w:tcW w:w="2835" w:type="dxa"/>
            <w:shd w:val="clear" w:color="auto" w:fill="FFFFFF"/>
            <w:vAlign w:val="center"/>
          </w:tcPr>
          <w:p w:rsidR="009167D4" w:rsidRPr="009169EB" w:rsidRDefault="009167D4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>Warunki szczególne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9167D4" w:rsidRPr="009169EB" w:rsidRDefault="009167D4" w:rsidP="009169EB">
            <w:pPr>
              <w:spacing w:before="60" w:after="6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169EB"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>Nie</w:t>
            </w:r>
          </w:p>
        </w:tc>
      </w:tr>
      <w:tr w:rsidR="009167D4" w:rsidRPr="009169EB" w:rsidTr="009169EB">
        <w:trPr>
          <w:trHeight w:hRule="exact" w:val="585"/>
          <w:jc w:val="center"/>
        </w:trPr>
        <w:tc>
          <w:tcPr>
            <w:tcW w:w="2835" w:type="dxa"/>
            <w:shd w:val="clear" w:color="auto" w:fill="FFFFFF"/>
            <w:vAlign w:val="center"/>
          </w:tcPr>
          <w:p w:rsidR="009167D4" w:rsidRPr="009169EB" w:rsidRDefault="009167D4" w:rsidP="009169EB">
            <w:pPr>
              <w:spacing w:before="60" w:after="60" w:line="240" w:lineRule="auto"/>
              <w:ind w:left="57" w:right="57"/>
              <w:rPr>
                <w:rFonts w:ascii="Arial" w:eastAsia="Cambria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9169EB">
              <w:rPr>
                <w:rFonts w:ascii="Arial" w:eastAsia="Cambria" w:hAnsi="Arial" w:cs="Arial"/>
                <w:color w:val="000000"/>
                <w:sz w:val="20"/>
                <w:szCs w:val="20"/>
                <w:lang w:eastAsia="pl-PL" w:bidi="pl-PL"/>
              </w:rPr>
              <w:t>Termin na zwrot pozwolenia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9167D4" w:rsidRPr="009169EB" w:rsidRDefault="009167D4" w:rsidP="009169EB">
            <w:pPr>
              <w:spacing w:before="60" w:after="60" w:line="240" w:lineRule="auto"/>
              <w:ind w:left="57" w:right="57"/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</w:pPr>
            <w:r w:rsidRPr="009169EB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60 dni od daty wygaśnięcia ważności pozwolenia</w:t>
            </w:r>
          </w:p>
        </w:tc>
      </w:tr>
    </w:tbl>
    <w:p w:rsidR="00291C58" w:rsidRPr="009169EB" w:rsidRDefault="00291C58" w:rsidP="00291C58">
      <w:pPr>
        <w:tabs>
          <w:tab w:val="left" w:pos="4066"/>
        </w:tabs>
        <w:spacing w:after="0" w:line="240" w:lineRule="auto"/>
        <w:jc w:val="both"/>
        <w:rPr>
          <w:rFonts w:ascii="Arial" w:eastAsia="Cambria" w:hAnsi="Arial" w:cs="Arial"/>
          <w:bCs/>
          <w:color w:val="000000"/>
          <w:sz w:val="20"/>
          <w:szCs w:val="20"/>
          <w:lang w:eastAsia="pl-PL" w:bidi="pl-PL"/>
        </w:rPr>
      </w:pPr>
    </w:p>
    <w:sectPr w:rsidR="00291C58" w:rsidRPr="009169EB" w:rsidSect="00391F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582" w:rsidRDefault="00BB6582" w:rsidP="00431E26">
      <w:pPr>
        <w:spacing w:after="0" w:line="240" w:lineRule="auto"/>
      </w:pPr>
      <w:r>
        <w:separator/>
      </w:r>
    </w:p>
  </w:endnote>
  <w:endnote w:type="continuationSeparator" w:id="0">
    <w:p w:rsidR="00BB6582" w:rsidRDefault="00BB6582" w:rsidP="0043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582" w:rsidRDefault="00BB6582" w:rsidP="00431E26">
      <w:pPr>
        <w:spacing w:after="0" w:line="240" w:lineRule="auto"/>
      </w:pPr>
      <w:r>
        <w:separator/>
      </w:r>
    </w:p>
  </w:footnote>
  <w:footnote w:type="continuationSeparator" w:id="0">
    <w:p w:rsidR="00BB6582" w:rsidRDefault="00BB6582" w:rsidP="00431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68A"/>
    <w:multiLevelType w:val="hybridMultilevel"/>
    <w:tmpl w:val="A874149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1D5B8E"/>
    <w:multiLevelType w:val="hybridMultilevel"/>
    <w:tmpl w:val="34BC5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4768C"/>
    <w:multiLevelType w:val="multilevel"/>
    <w:tmpl w:val="636CB124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79636A"/>
    <w:multiLevelType w:val="hybridMultilevel"/>
    <w:tmpl w:val="BDCE2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560E1"/>
    <w:multiLevelType w:val="multilevel"/>
    <w:tmpl w:val="CF86CE2C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4D3C7D"/>
    <w:multiLevelType w:val="hybridMultilevel"/>
    <w:tmpl w:val="11D80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58"/>
    <w:rsid w:val="000125EC"/>
    <w:rsid w:val="00070C64"/>
    <w:rsid w:val="00093EAF"/>
    <w:rsid w:val="001235AD"/>
    <w:rsid w:val="00144380"/>
    <w:rsid w:val="0017590E"/>
    <w:rsid w:val="00217143"/>
    <w:rsid w:val="00287114"/>
    <w:rsid w:val="00291C58"/>
    <w:rsid w:val="002F1E2D"/>
    <w:rsid w:val="00300D86"/>
    <w:rsid w:val="00315211"/>
    <w:rsid w:val="00326510"/>
    <w:rsid w:val="00345B9E"/>
    <w:rsid w:val="00370595"/>
    <w:rsid w:val="003829DC"/>
    <w:rsid w:val="00391F0D"/>
    <w:rsid w:val="003E23FA"/>
    <w:rsid w:val="003E2A72"/>
    <w:rsid w:val="0040372D"/>
    <w:rsid w:val="00404E6B"/>
    <w:rsid w:val="00431E26"/>
    <w:rsid w:val="00443E87"/>
    <w:rsid w:val="004810C5"/>
    <w:rsid w:val="004C04F8"/>
    <w:rsid w:val="004E495A"/>
    <w:rsid w:val="0051732E"/>
    <w:rsid w:val="00522A20"/>
    <w:rsid w:val="005C0724"/>
    <w:rsid w:val="005F083A"/>
    <w:rsid w:val="005F0F59"/>
    <w:rsid w:val="006033C7"/>
    <w:rsid w:val="0061157D"/>
    <w:rsid w:val="006907DD"/>
    <w:rsid w:val="006C516C"/>
    <w:rsid w:val="006C648B"/>
    <w:rsid w:val="006E4A11"/>
    <w:rsid w:val="006F050B"/>
    <w:rsid w:val="007066DE"/>
    <w:rsid w:val="0072614C"/>
    <w:rsid w:val="007404D0"/>
    <w:rsid w:val="007504A6"/>
    <w:rsid w:val="00785CAB"/>
    <w:rsid w:val="00793C97"/>
    <w:rsid w:val="0081776A"/>
    <w:rsid w:val="00843CDD"/>
    <w:rsid w:val="00846278"/>
    <w:rsid w:val="008A2790"/>
    <w:rsid w:val="008F3AB8"/>
    <w:rsid w:val="009167D4"/>
    <w:rsid w:val="009169EB"/>
    <w:rsid w:val="00917A6B"/>
    <w:rsid w:val="009463E5"/>
    <w:rsid w:val="00977BDC"/>
    <w:rsid w:val="009D29E2"/>
    <w:rsid w:val="009E5A77"/>
    <w:rsid w:val="00A94507"/>
    <w:rsid w:val="00AD0B6F"/>
    <w:rsid w:val="00AF0E52"/>
    <w:rsid w:val="00B243BD"/>
    <w:rsid w:val="00B314B9"/>
    <w:rsid w:val="00B77549"/>
    <w:rsid w:val="00B85CFC"/>
    <w:rsid w:val="00BB6582"/>
    <w:rsid w:val="00C27CAD"/>
    <w:rsid w:val="00C578AE"/>
    <w:rsid w:val="00C8134F"/>
    <w:rsid w:val="00CB7214"/>
    <w:rsid w:val="00CD0AEC"/>
    <w:rsid w:val="00CE2C6F"/>
    <w:rsid w:val="00CF2D60"/>
    <w:rsid w:val="00D02B79"/>
    <w:rsid w:val="00D30768"/>
    <w:rsid w:val="00D35806"/>
    <w:rsid w:val="00DE28BB"/>
    <w:rsid w:val="00DE622E"/>
    <w:rsid w:val="00E67856"/>
    <w:rsid w:val="00ED7432"/>
    <w:rsid w:val="00EE69C7"/>
    <w:rsid w:val="00EF7573"/>
    <w:rsid w:val="00F25DFB"/>
    <w:rsid w:val="00F61CA9"/>
    <w:rsid w:val="00F8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7940B-3896-4BCD-9A5E-BDCEF0DB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E2A72"/>
    <w:rPr>
      <w:color w:val="0000FF"/>
      <w:u w:val="single"/>
    </w:rPr>
  </w:style>
  <w:style w:type="character" w:customStyle="1" w:styleId="Teksttreci295ptBezpogrubienia">
    <w:name w:val="Tekst treści (2) + 9;5 pt;Bez pogrubienia"/>
    <w:basedOn w:val="Domylnaczcionkaakapitu"/>
    <w:rsid w:val="0072614C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61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61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785CAB"/>
    <w:pPr>
      <w:ind w:left="720"/>
      <w:contextualSpacing/>
    </w:pPr>
    <w:rPr>
      <w:rFonts w:ascii="Cambria" w:hAnsi="Cambria"/>
      <w:sz w:val="20"/>
    </w:rPr>
  </w:style>
  <w:style w:type="character" w:customStyle="1" w:styleId="Teksttreci29">
    <w:name w:val="Tekst treści (2) + 9"/>
    <w:aliases w:val="5 pt,Bez pogrubienia"/>
    <w:basedOn w:val="Domylnaczcionkaakapitu"/>
    <w:rsid w:val="00CF2D60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E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E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E26"/>
    <w:rPr>
      <w:vertAlign w:val="superscript"/>
    </w:rPr>
  </w:style>
  <w:style w:type="character" w:customStyle="1" w:styleId="Nagwek1">
    <w:name w:val="Nagłówek #1_"/>
    <w:basedOn w:val="Domylnaczcionkaakapitu"/>
    <w:link w:val="Nagwek10"/>
    <w:rsid w:val="00843CDD"/>
    <w:rPr>
      <w:rFonts w:eastAsia="Cambria" w:cs="Cambria"/>
      <w:spacing w:val="-10"/>
      <w:sz w:val="34"/>
      <w:szCs w:val="34"/>
      <w:shd w:val="clear" w:color="auto" w:fill="FFFFFF"/>
    </w:rPr>
  </w:style>
  <w:style w:type="character" w:customStyle="1" w:styleId="Teksttreci485pt">
    <w:name w:val="Tekst treści (4) + 8;5 pt"/>
    <w:basedOn w:val="Domylnaczcionkaakapitu"/>
    <w:rsid w:val="00843CDD"/>
    <w:rPr>
      <w:rFonts w:ascii="Cambria" w:eastAsia="Cambria" w:hAnsi="Cambria" w:cs="Cambri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843CDD"/>
    <w:pPr>
      <w:widowControl w:val="0"/>
      <w:shd w:val="clear" w:color="auto" w:fill="FFFFFF"/>
      <w:spacing w:before="840" w:after="840" w:line="0" w:lineRule="atLeast"/>
      <w:jc w:val="center"/>
      <w:outlineLvl w:val="0"/>
    </w:pPr>
    <w:rPr>
      <w:rFonts w:eastAsia="Cambria" w:cs="Cambria"/>
      <w:spacing w:val="-10"/>
      <w:sz w:val="34"/>
      <w:szCs w:val="34"/>
    </w:rPr>
  </w:style>
  <w:style w:type="character" w:customStyle="1" w:styleId="Teksttreci295ptBezpogrubieniaOdstpy0pt">
    <w:name w:val="Tekst treści (2) + 9;5 pt;Bez pogrubienia;Odstępy 0 pt"/>
    <w:basedOn w:val="Domylnaczcionkaakapitu"/>
    <w:rsid w:val="00843CDD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BezpogrubieniaKursywa">
    <w:name w:val="Tekst treści (2) + Bez pogrubienia;Kursywa"/>
    <w:basedOn w:val="Domylnaczcionkaakapitu"/>
    <w:rsid w:val="009167D4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BezpogrubieniaKursywaOdstpy1pt">
    <w:name w:val="Tekst treści (2) + Bez pogrubienia;Kursywa;Odstępy 1 pt"/>
    <w:basedOn w:val="Domylnaczcionkaakapitu"/>
    <w:rsid w:val="009167D4"/>
    <w:rPr>
      <w:rFonts w:ascii="Cambria" w:eastAsia="Cambria" w:hAnsi="Cambria" w:cs="Cambria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2F1E2D"/>
    <w:rPr>
      <w:rFonts w:eastAsia="Cambria" w:cs="Cambria"/>
      <w:b/>
      <w:bCs/>
      <w:sz w:val="17"/>
      <w:szCs w:val="1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2F1E2D"/>
    <w:pPr>
      <w:widowControl w:val="0"/>
      <w:shd w:val="clear" w:color="auto" w:fill="FFFFFF"/>
      <w:spacing w:before="300" w:after="300" w:line="0" w:lineRule="atLeast"/>
      <w:jc w:val="center"/>
      <w:outlineLvl w:val="2"/>
    </w:pPr>
    <w:rPr>
      <w:rFonts w:eastAsia="Cambria" w:cs="Cambria"/>
      <w:b/>
      <w:bCs/>
      <w:sz w:val="17"/>
      <w:szCs w:val="17"/>
    </w:rPr>
  </w:style>
  <w:style w:type="character" w:customStyle="1" w:styleId="Stopka">
    <w:name w:val="Stopka_"/>
    <w:basedOn w:val="Domylnaczcionkaakapitu"/>
    <w:link w:val="Stopka1"/>
    <w:rsid w:val="002F1E2D"/>
    <w:rPr>
      <w:rFonts w:eastAsia="Cambria" w:cs="Cambria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"/>
    <w:rsid w:val="002F1E2D"/>
    <w:pPr>
      <w:widowControl w:val="0"/>
      <w:shd w:val="clear" w:color="auto" w:fill="FFFFFF"/>
      <w:spacing w:after="0" w:line="197" w:lineRule="exact"/>
      <w:ind w:hanging="320"/>
      <w:jc w:val="both"/>
    </w:pPr>
    <w:rPr>
      <w:rFonts w:eastAsia="Cambria" w:cs="Cambria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Wawrenty Beata</dc:creator>
  <cp:lastModifiedBy>Śliwska Dorota</cp:lastModifiedBy>
  <cp:revision>2</cp:revision>
  <dcterms:created xsi:type="dcterms:W3CDTF">2023-03-08T15:34:00Z</dcterms:created>
  <dcterms:modified xsi:type="dcterms:W3CDTF">2023-03-08T15:34:00Z</dcterms:modified>
</cp:coreProperties>
</file>