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417"/>
        <w:gridCol w:w="5954"/>
        <w:gridCol w:w="4643"/>
      </w:tblGrid>
      <w:tr w:rsidR="00B7452C" w:rsidRPr="004D3872" w:rsidTr="00B7452C">
        <w:trPr>
          <w:jc w:val="center"/>
        </w:trPr>
        <w:tc>
          <w:tcPr>
            <w:tcW w:w="13994" w:type="dxa"/>
            <w:gridSpan w:val="5"/>
            <w:shd w:val="clear" w:color="auto" w:fill="auto"/>
            <w:vAlign w:val="center"/>
          </w:tcPr>
          <w:p w:rsidR="000D0B14" w:rsidRDefault="00B7452C" w:rsidP="000D0B14">
            <w:pPr>
              <w:jc w:val="center"/>
              <w:rPr>
                <w:rFonts w:cstheme="minorHAnsi"/>
                <w:b/>
              </w:rPr>
            </w:pPr>
            <w:r w:rsidRPr="004D3872">
              <w:rPr>
                <w:rFonts w:cstheme="minorHAnsi"/>
                <w:b/>
              </w:rPr>
              <w:t>Tabela uwag</w:t>
            </w:r>
          </w:p>
          <w:p w:rsidR="000D0B14" w:rsidRDefault="00B7452C" w:rsidP="000D0B14">
            <w:pPr>
              <w:jc w:val="center"/>
              <w:rPr>
                <w:rFonts w:cstheme="minorHAnsi"/>
                <w:b/>
              </w:rPr>
            </w:pPr>
            <w:r w:rsidRPr="004D3872">
              <w:rPr>
                <w:rFonts w:cstheme="minorHAnsi"/>
                <w:b/>
              </w:rPr>
              <w:t xml:space="preserve">zgłoszonych do projektu </w:t>
            </w:r>
            <w:r w:rsidR="00C022DB">
              <w:rPr>
                <w:rFonts w:cstheme="minorHAnsi"/>
                <w:b/>
              </w:rPr>
              <w:t>rozporządzenia</w:t>
            </w:r>
            <w:r w:rsidR="00C022DB" w:rsidRPr="00C022DB">
              <w:rPr>
                <w:rFonts w:cstheme="minorHAnsi"/>
                <w:b/>
              </w:rPr>
              <w:t xml:space="preserve"> Ministra Cyfryzacji w sprawie prowadzenia Rejestru Dowodów Osobistych</w:t>
            </w:r>
          </w:p>
          <w:p w:rsidR="00B7452C" w:rsidRPr="004D3872" w:rsidRDefault="000C16CF" w:rsidP="007C4A5C">
            <w:pPr>
              <w:spacing w:after="120"/>
              <w:jc w:val="center"/>
              <w:rPr>
                <w:rFonts w:cstheme="minorHAnsi"/>
                <w:b/>
              </w:rPr>
            </w:pPr>
            <w:r w:rsidRPr="004D3872">
              <w:rPr>
                <w:rFonts w:cstheme="minorHAnsi"/>
                <w:b/>
              </w:rPr>
              <w:t>w</w:t>
            </w:r>
            <w:r w:rsidR="00B7452C" w:rsidRPr="004D3872">
              <w:rPr>
                <w:rFonts w:cstheme="minorHAnsi"/>
                <w:b/>
              </w:rPr>
              <w:t xml:space="preserve"> ramach </w:t>
            </w:r>
            <w:r w:rsidR="002A318B">
              <w:rPr>
                <w:rFonts w:cstheme="minorHAnsi"/>
                <w:b/>
              </w:rPr>
              <w:t>opiniowania</w:t>
            </w:r>
            <w:bookmarkStart w:id="0" w:name="_GoBack"/>
            <w:bookmarkEnd w:id="0"/>
          </w:p>
        </w:tc>
      </w:tr>
      <w:tr w:rsidR="00D5337F" w:rsidRPr="004D3872" w:rsidTr="00D5337F">
        <w:trPr>
          <w:jc w:val="center"/>
        </w:trPr>
        <w:tc>
          <w:tcPr>
            <w:tcW w:w="846" w:type="dxa"/>
            <w:shd w:val="clear" w:color="auto" w:fill="E7E6E6" w:themeFill="background2"/>
            <w:vAlign w:val="center"/>
          </w:tcPr>
          <w:p w:rsidR="00D5337F" w:rsidRPr="004D3872" w:rsidRDefault="00D5337F" w:rsidP="00397129">
            <w:pPr>
              <w:rPr>
                <w:rFonts w:cstheme="minorHAnsi"/>
                <w:b/>
              </w:rPr>
            </w:pPr>
            <w:r w:rsidRPr="004D3872">
              <w:rPr>
                <w:rFonts w:cstheme="minorHAnsi"/>
              </w:rPr>
              <w:t>lp.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D5337F" w:rsidRPr="004D3872" w:rsidRDefault="00D5337F" w:rsidP="00397129">
            <w:pPr>
              <w:rPr>
                <w:rFonts w:cstheme="minorHAnsi"/>
                <w:b/>
              </w:rPr>
            </w:pPr>
            <w:r w:rsidRPr="004D3872">
              <w:rPr>
                <w:rFonts w:cstheme="minorHAnsi"/>
                <w:b/>
              </w:rPr>
              <w:t>Podmiot wnoszący uwagi</w:t>
            </w:r>
          </w:p>
        </w:tc>
        <w:tc>
          <w:tcPr>
            <w:tcW w:w="1417" w:type="dxa"/>
            <w:shd w:val="clear" w:color="auto" w:fill="E7E6E6" w:themeFill="background2"/>
            <w:vAlign w:val="center"/>
          </w:tcPr>
          <w:p w:rsidR="00D5337F" w:rsidRPr="004D3872" w:rsidRDefault="00D5337F" w:rsidP="00397129">
            <w:pPr>
              <w:rPr>
                <w:rFonts w:cstheme="minorHAnsi"/>
                <w:b/>
              </w:rPr>
            </w:pPr>
            <w:r w:rsidRPr="004D3872">
              <w:rPr>
                <w:rFonts w:cstheme="minorHAnsi"/>
                <w:b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E7E6E6" w:themeFill="background2"/>
            <w:vAlign w:val="center"/>
          </w:tcPr>
          <w:p w:rsidR="00D5337F" w:rsidRPr="004D3872" w:rsidRDefault="00D5337F" w:rsidP="00397129">
            <w:pPr>
              <w:rPr>
                <w:rFonts w:cstheme="minorHAnsi"/>
                <w:b/>
              </w:rPr>
            </w:pPr>
            <w:r w:rsidRPr="004D3872">
              <w:rPr>
                <w:rFonts w:cstheme="minorHAnsi"/>
                <w:b/>
              </w:rPr>
              <w:t>Zgłoszone uwagi</w:t>
            </w:r>
          </w:p>
        </w:tc>
        <w:tc>
          <w:tcPr>
            <w:tcW w:w="4643" w:type="dxa"/>
            <w:shd w:val="clear" w:color="auto" w:fill="E7E6E6" w:themeFill="background2"/>
            <w:vAlign w:val="center"/>
          </w:tcPr>
          <w:p w:rsidR="00D5337F" w:rsidRPr="004D3872" w:rsidRDefault="00C21C84" w:rsidP="00397129">
            <w:pPr>
              <w:rPr>
                <w:rFonts w:cstheme="minorHAnsi"/>
                <w:b/>
              </w:rPr>
            </w:pPr>
            <w:r w:rsidRPr="004D3872">
              <w:rPr>
                <w:rFonts w:cstheme="minorHAnsi"/>
                <w:b/>
              </w:rPr>
              <w:t>Stanowisko</w:t>
            </w:r>
          </w:p>
        </w:tc>
      </w:tr>
      <w:tr w:rsidR="003C11BC" w:rsidRPr="004D3872" w:rsidTr="00D5337F">
        <w:trPr>
          <w:jc w:val="center"/>
        </w:trPr>
        <w:tc>
          <w:tcPr>
            <w:tcW w:w="846" w:type="dxa"/>
            <w:vAlign w:val="center"/>
          </w:tcPr>
          <w:p w:rsidR="003C11BC" w:rsidRPr="004D3872" w:rsidRDefault="003C11BC" w:rsidP="00B7452C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3C11BC" w:rsidRPr="004D3872" w:rsidRDefault="00156D61" w:rsidP="0039712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PKN</w:t>
            </w:r>
          </w:p>
        </w:tc>
        <w:tc>
          <w:tcPr>
            <w:tcW w:w="1417" w:type="dxa"/>
            <w:vAlign w:val="center"/>
          </w:tcPr>
          <w:p w:rsidR="003C11BC" w:rsidRPr="004D3872" w:rsidRDefault="00156D61" w:rsidP="00397129">
            <w:pPr>
              <w:rPr>
                <w:rFonts w:cstheme="minorHAnsi"/>
                <w:b/>
              </w:rPr>
            </w:pPr>
            <w:r w:rsidRPr="00156D61">
              <w:rPr>
                <w:rFonts w:cstheme="minorHAnsi"/>
              </w:rPr>
              <w:t>§4 ust</w:t>
            </w:r>
            <w:r w:rsidRPr="00156D61">
              <w:rPr>
                <w:rFonts w:cstheme="minorHAnsi"/>
                <w:b/>
              </w:rPr>
              <w:t xml:space="preserve">. </w:t>
            </w:r>
            <w:r w:rsidR="00CF1385">
              <w:rPr>
                <w:rFonts w:cstheme="minorHAnsi"/>
              </w:rPr>
              <w:t xml:space="preserve">3 </w:t>
            </w:r>
          </w:p>
        </w:tc>
        <w:tc>
          <w:tcPr>
            <w:tcW w:w="5954" w:type="dxa"/>
            <w:vAlign w:val="center"/>
          </w:tcPr>
          <w:p w:rsidR="003C11BC" w:rsidRPr="00CF1385" w:rsidRDefault="00156D61" w:rsidP="00CF1385">
            <w:pPr>
              <w:jc w:val="both"/>
              <w:rPr>
                <w:rFonts w:cstheme="minorHAnsi"/>
                <w:lang w:bidi="pl-PL"/>
              </w:rPr>
            </w:pPr>
            <w:r w:rsidRPr="00CF1385">
              <w:rPr>
                <w:rFonts w:cstheme="minorHAnsi"/>
                <w:lang w:bidi="pl-PL"/>
              </w:rPr>
              <w:t>W § 4 ust. 3 projektu rozporządzenia została powołana norma PN-EN 419211-2:2013. Należy pamiętać, że zgodnie z art. 5 ust. 3 ustawy o normalizacji z dnia 12 września 2002 r. stosowanie Polskich Norm jest dobrowolne. Nakładanie obowiązku stosowania Polskich Norm w drodze rozporządzenia jest niezgodne z ustawą o normalizacji jak i rozporządzeniem o normalizacji europejskiej1 oraz z regułami legislacyjnymi. Odniesienie się do normy w akcie prawnym niższego rzędu niż ustawa nie jest wystarczającą przesłanką do stwierdzenia obowiązku jej stosowania.</w:t>
            </w:r>
          </w:p>
          <w:p w:rsidR="00156D61" w:rsidRPr="00156D61" w:rsidRDefault="00156D61" w:rsidP="00156D61">
            <w:pPr>
              <w:jc w:val="both"/>
              <w:rPr>
                <w:rFonts w:cstheme="minorHAnsi"/>
                <w:lang w:bidi="pl-PL"/>
              </w:rPr>
            </w:pPr>
            <w:r w:rsidRPr="00156D61">
              <w:rPr>
                <w:rFonts w:cstheme="minorHAnsi"/>
                <w:lang w:bidi="pl-PL"/>
              </w:rPr>
              <w:t>Jednocześnie informuję, że prawidłowy nr referencyjny powołanej w par. 4. ust. 3 normy to PN-EN 419211-2:2013-11.</w:t>
            </w:r>
          </w:p>
          <w:p w:rsidR="00617899" w:rsidRPr="004D3872" w:rsidRDefault="00617899" w:rsidP="00156D61">
            <w:pPr>
              <w:jc w:val="both"/>
              <w:rPr>
                <w:rFonts w:cstheme="minorHAnsi"/>
                <w:lang w:bidi="pl-PL"/>
              </w:rPr>
            </w:pPr>
          </w:p>
        </w:tc>
        <w:tc>
          <w:tcPr>
            <w:tcW w:w="4643" w:type="dxa"/>
            <w:vAlign w:val="center"/>
          </w:tcPr>
          <w:p w:rsidR="003C11BC" w:rsidRDefault="00156D61" w:rsidP="00397129">
            <w:pPr>
              <w:spacing w:after="120"/>
              <w:rPr>
                <w:rFonts w:cstheme="minorHAnsi"/>
                <w:b/>
              </w:rPr>
            </w:pPr>
            <w:r w:rsidRPr="00156D61">
              <w:rPr>
                <w:rFonts w:cstheme="minorHAnsi"/>
                <w:b/>
              </w:rPr>
              <w:t>Uwaga wyjaśniona</w:t>
            </w:r>
          </w:p>
          <w:p w:rsidR="00156D61" w:rsidRPr="00156D61" w:rsidRDefault="00156D61" w:rsidP="00156D61">
            <w:pPr>
              <w:spacing w:after="120"/>
              <w:jc w:val="both"/>
              <w:rPr>
                <w:rFonts w:cstheme="minorHAnsi"/>
              </w:rPr>
            </w:pPr>
            <w:r w:rsidRPr="00156D61">
              <w:rPr>
                <w:rFonts w:cstheme="minorHAnsi"/>
              </w:rPr>
              <w:t>W przepisach rozporządzenia, które dotyczą kwestii związanych z szyfrowaniem danych biometrycznych w zakresie odcisków palców przywołane zostały normy ETSI, których stosowanie ma wprawdzie charakter dobrowolny, jednakże ich przywołanie w niniejszym projekcie wynikało z wymagań artykułu 11 ust.1 rozporządzenia PE i Rady (UE) 2019/1157 „Bez uszczerbku dla rozporządzenia (UE) 2016/679 państwa członkowskie zapewniają bezpieczeństwo, integralność, autentyczność i poufność danych gromadzonych i przechowywanych na użytek niniejszego rozporządzenia”. Zgodnie z rozporządzeniem wprowadzono mechanizmy ochrony danych nie tylko w samym nośniku (warstwie elektronicznej) dowodu osobistego, ale również w systemach, w których są one przetwarzane.</w:t>
            </w:r>
          </w:p>
          <w:p w:rsidR="00156D61" w:rsidRPr="00156D61" w:rsidRDefault="00156D61" w:rsidP="00156D61">
            <w:pPr>
              <w:spacing w:after="120"/>
              <w:jc w:val="both"/>
              <w:rPr>
                <w:rFonts w:cstheme="minorHAnsi"/>
              </w:rPr>
            </w:pPr>
            <w:r w:rsidRPr="00156D61">
              <w:rPr>
                <w:rFonts w:cstheme="minorHAnsi"/>
              </w:rPr>
              <w:t xml:space="preserve">Norma EN 419211-2: 2013 – Profile zabezpieczeń dla bezpiecznego urządzenia do składania podpisu – Część 2: Urządzenie z generowaniem kluczy, jest technicznym opisem profilu wymagań dla urządzenia, które powinno być zastosowane w </w:t>
            </w:r>
            <w:r w:rsidRPr="00156D61">
              <w:rPr>
                <w:rFonts w:cstheme="minorHAnsi"/>
              </w:rPr>
              <w:lastRenderedPageBreak/>
              <w:t xml:space="preserve">celu zagwarantowania właściwego poziomu ochrony i poufności przetwarzanych danych w systemie. Poziom bezpieczeństwa wynikający z zapisów normatywnych jest przywołany np. w decyzji wykonawczej Komisji (UE) 2016/650 do rozporządzenia Parlamentu Europejskiego i Rady (UE) nr 910/2014. </w:t>
            </w:r>
          </w:p>
          <w:p w:rsidR="00156D61" w:rsidRPr="00156D61" w:rsidRDefault="00156D61" w:rsidP="00156D61">
            <w:pPr>
              <w:spacing w:after="120"/>
              <w:jc w:val="both"/>
              <w:rPr>
                <w:rFonts w:cstheme="minorHAnsi"/>
              </w:rPr>
            </w:pPr>
            <w:r w:rsidRPr="00156D61">
              <w:rPr>
                <w:rFonts w:cstheme="minorHAnsi"/>
              </w:rPr>
              <w:t xml:space="preserve">Norma ETSI EN 319 411 </w:t>
            </w:r>
            <w:proofErr w:type="spellStart"/>
            <w:r w:rsidRPr="00156D61">
              <w:rPr>
                <w:rFonts w:cstheme="minorHAnsi"/>
              </w:rPr>
              <w:t>Electronic</w:t>
            </w:r>
            <w:proofErr w:type="spellEnd"/>
            <w:r w:rsidRPr="00156D61">
              <w:rPr>
                <w:rFonts w:cstheme="minorHAnsi"/>
              </w:rPr>
              <w:t xml:space="preserve"> </w:t>
            </w:r>
            <w:proofErr w:type="spellStart"/>
            <w:r w:rsidRPr="00156D61">
              <w:rPr>
                <w:rFonts w:cstheme="minorHAnsi"/>
              </w:rPr>
              <w:t>Signatures</w:t>
            </w:r>
            <w:proofErr w:type="spellEnd"/>
            <w:r w:rsidRPr="00156D61">
              <w:rPr>
                <w:rFonts w:cstheme="minorHAnsi"/>
              </w:rPr>
              <w:t xml:space="preserve"> and </w:t>
            </w:r>
            <w:proofErr w:type="spellStart"/>
            <w:r w:rsidRPr="00156D61">
              <w:rPr>
                <w:rFonts w:cstheme="minorHAnsi"/>
              </w:rPr>
              <w:t>Infrastructures</w:t>
            </w:r>
            <w:proofErr w:type="spellEnd"/>
            <w:r w:rsidRPr="00156D61">
              <w:rPr>
                <w:rFonts w:cstheme="minorHAnsi"/>
              </w:rPr>
              <w:t xml:space="preserve"> (ESI); Policy and </w:t>
            </w:r>
            <w:proofErr w:type="spellStart"/>
            <w:r w:rsidRPr="00156D61">
              <w:rPr>
                <w:rFonts w:cstheme="minorHAnsi"/>
              </w:rPr>
              <w:t>security</w:t>
            </w:r>
            <w:proofErr w:type="spellEnd"/>
            <w:r w:rsidRPr="00156D61">
              <w:rPr>
                <w:rFonts w:cstheme="minorHAnsi"/>
              </w:rPr>
              <w:t xml:space="preserve"> </w:t>
            </w:r>
            <w:proofErr w:type="spellStart"/>
            <w:r w:rsidRPr="00156D61">
              <w:rPr>
                <w:rFonts w:cstheme="minorHAnsi"/>
              </w:rPr>
              <w:t>requirements</w:t>
            </w:r>
            <w:proofErr w:type="spellEnd"/>
            <w:r w:rsidRPr="00156D61">
              <w:rPr>
                <w:rFonts w:cstheme="minorHAnsi"/>
              </w:rPr>
              <w:t xml:space="preserve"> for Trust Service Providers </w:t>
            </w:r>
            <w:proofErr w:type="spellStart"/>
            <w:r w:rsidRPr="00156D61">
              <w:rPr>
                <w:rFonts w:cstheme="minorHAnsi"/>
              </w:rPr>
              <w:t>issuing</w:t>
            </w:r>
            <w:proofErr w:type="spellEnd"/>
            <w:r w:rsidRPr="00156D61">
              <w:rPr>
                <w:rFonts w:cstheme="minorHAnsi"/>
              </w:rPr>
              <w:t xml:space="preserve"> </w:t>
            </w:r>
            <w:proofErr w:type="spellStart"/>
            <w:r w:rsidRPr="00156D61">
              <w:rPr>
                <w:rFonts w:cstheme="minorHAnsi"/>
              </w:rPr>
              <w:t>certificates</w:t>
            </w:r>
            <w:proofErr w:type="spellEnd"/>
            <w:r w:rsidRPr="00156D61">
              <w:rPr>
                <w:rFonts w:cstheme="minorHAnsi"/>
              </w:rPr>
              <w:t>, reguluje zasady wydawania certyfikatów, które są elementem mechanizmów bezpieczeństwa (potwierdzenia pochodzenia i przynależności kluczy), bez których utrzymanie oczekiwanego poziomu poufności danych nie byłoby możliwe.</w:t>
            </w:r>
          </w:p>
          <w:p w:rsidR="00156D61" w:rsidRPr="00156D61" w:rsidRDefault="00156D61" w:rsidP="00397129">
            <w:pPr>
              <w:spacing w:after="120"/>
              <w:rPr>
                <w:rFonts w:cstheme="minorHAnsi"/>
                <w:b/>
              </w:rPr>
            </w:pPr>
          </w:p>
        </w:tc>
      </w:tr>
      <w:tr w:rsidR="006D0174" w:rsidRPr="004D3872" w:rsidTr="00D5337F">
        <w:trPr>
          <w:jc w:val="center"/>
        </w:trPr>
        <w:tc>
          <w:tcPr>
            <w:tcW w:w="846" w:type="dxa"/>
            <w:vAlign w:val="center"/>
          </w:tcPr>
          <w:p w:rsidR="006D0174" w:rsidRPr="004D3872" w:rsidRDefault="006D0174" w:rsidP="00B7452C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6D0174" w:rsidRPr="004D3872" w:rsidRDefault="00CF1385" w:rsidP="0039712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PKN</w:t>
            </w:r>
          </w:p>
        </w:tc>
        <w:tc>
          <w:tcPr>
            <w:tcW w:w="1417" w:type="dxa"/>
            <w:vAlign w:val="center"/>
          </w:tcPr>
          <w:p w:rsidR="006D0174" w:rsidRPr="004D3872" w:rsidRDefault="00CF1385" w:rsidP="0039712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§4 ust. 4</w:t>
            </w:r>
          </w:p>
        </w:tc>
        <w:tc>
          <w:tcPr>
            <w:tcW w:w="5954" w:type="dxa"/>
            <w:vAlign w:val="center"/>
          </w:tcPr>
          <w:p w:rsidR="00CF1385" w:rsidRPr="00CF1385" w:rsidRDefault="00CF1385" w:rsidP="00156317">
            <w:pPr>
              <w:ind w:left="34" w:hanging="34"/>
              <w:jc w:val="both"/>
              <w:rPr>
                <w:rFonts w:cstheme="minorHAnsi"/>
              </w:rPr>
            </w:pPr>
            <w:r w:rsidRPr="00CF1385">
              <w:rPr>
                <w:rFonts w:cstheme="minorHAnsi"/>
              </w:rPr>
              <w:t>Powołana w par. 4. ust. 4 norma ETSI EN 319 411 to w rzeczywistości seria norm:</w:t>
            </w:r>
          </w:p>
          <w:p w:rsidR="00CF1385" w:rsidRPr="00CF1385" w:rsidRDefault="00CF1385" w:rsidP="00156317">
            <w:pPr>
              <w:ind w:left="176" w:hanging="176"/>
              <w:jc w:val="both"/>
              <w:rPr>
                <w:rFonts w:cstheme="minorHAnsi"/>
              </w:rPr>
            </w:pPr>
            <w:r w:rsidRPr="00CF1385">
              <w:rPr>
                <w:rFonts w:cstheme="minorHAnsi"/>
              </w:rPr>
              <w:t>ETSI EN 319 411-1 V1.2.2:2018</w:t>
            </w:r>
          </w:p>
          <w:p w:rsidR="00CF1385" w:rsidRPr="00CF1385" w:rsidRDefault="00CF1385" w:rsidP="00156317">
            <w:pPr>
              <w:ind w:left="176" w:hanging="176"/>
              <w:jc w:val="both"/>
              <w:rPr>
                <w:rFonts w:cstheme="minorHAnsi"/>
              </w:rPr>
            </w:pPr>
            <w:r w:rsidRPr="00CF1385">
              <w:rPr>
                <w:rFonts w:cstheme="minorHAnsi"/>
              </w:rPr>
              <w:t>ETSI EN 319 411-2 V2.2.2:2018</w:t>
            </w:r>
          </w:p>
          <w:p w:rsidR="00CF1385" w:rsidRPr="00CF1385" w:rsidRDefault="00CF1385" w:rsidP="00156317">
            <w:pPr>
              <w:ind w:left="176" w:hanging="176"/>
              <w:jc w:val="both"/>
              <w:rPr>
                <w:rFonts w:cstheme="minorHAnsi"/>
              </w:rPr>
            </w:pPr>
            <w:r w:rsidRPr="00CF1385">
              <w:rPr>
                <w:rFonts w:cstheme="minorHAnsi"/>
              </w:rPr>
              <w:t>ETSI EN 319 411-3 V1.1.1:2013</w:t>
            </w:r>
          </w:p>
          <w:p w:rsidR="006D0174" w:rsidRPr="004D3872" w:rsidRDefault="00CF1385" w:rsidP="00156317">
            <w:pPr>
              <w:jc w:val="both"/>
              <w:rPr>
                <w:rFonts w:cstheme="minorHAnsi"/>
              </w:rPr>
            </w:pPr>
            <w:r w:rsidRPr="00CF1385">
              <w:rPr>
                <w:rFonts w:cstheme="minorHAnsi"/>
              </w:rPr>
              <w:t>Proponowany zapis: „Potwierdzenie wiarygodności kluczy jest realizowane z wykorzystaniem certyfikatu klucza publicznego wydanego w ramach polityki certyfikacji spełniającej wymagania określone w normach wprowadzających serię norm ETSI EN 319 411.”</w:t>
            </w:r>
          </w:p>
        </w:tc>
        <w:tc>
          <w:tcPr>
            <w:tcW w:w="4643" w:type="dxa"/>
            <w:vAlign w:val="center"/>
          </w:tcPr>
          <w:p w:rsidR="000E0F96" w:rsidRDefault="000E0F96" w:rsidP="000E0F96">
            <w:pPr>
              <w:contextualSpacing/>
              <w:rPr>
                <w:rFonts w:cs="Calibri"/>
                <w:b/>
                <w:bCs/>
              </w:rPr>
            </w:pPr>
            <w:r w:rsidRPr="001B40D3">
              <w:rPr>
                <w:rFonts w:cs="Calibri"/>
                <w:b/>
                <w:bCs/>
              </w:rPr>
              <w:t>Uwaga uwzględniona</w:t>
            </w:r>
          </w:p>
          <w:p w:rsidR="000E0F96" w:rsidRPr="000E0F96" w:rsidRDefault="000E0F96" w:rsidP="000E0F96">
            <w:pPr>
              <w:contextualSpacing/>
              <w:rPr>
                <w:rFonts w:cs="Calibri"/>
                <w:bCs/>
              </w:rPr>
            </w:pPr>
            <w:r w:rsidRPr="000E0F96">
              <w:rPr>
                <w:rFonts w:cs="Calibri"/>
                <w:bCs/>
              </w:rPr>
              <w:t xml:space="preserve">§ 4 ust. 4 </w:t>
            </w:r>
            <w:r>
              <w:rPr>
                <w:rFonts w:cs="Calibri"/>
                <w:bCs/>
              </w:rPr>
              <w:t>nadano</w:t>
            </w:r>
            <w:r w:rsidRPr="000E0F96">
              <w:rPr>
                <w:rFonts w:cs="Calibri"/>
                <w:bCs/>
              </w:rPr>
              <w:t xml:space="preserve"> brzmienie proponowane przez Polski Komitet Normalizacyjny</w:t>
            </w:r>
          </w:p>
          <w:p w:rsidR="00130B6D" w:rsidRPr="000E0F96" w:rsidRDefault="00130B6D" w:rsidP="000E0F96">
            <w:pPr>
              <w:pStyle w:val="USTustnpkodeksu"/>
              <w:rPr>
                <w:rFonts w:cstheme="minorHAnsi"/>
              </w:rPr>
            </w:pPr>
          </w:p>
        </w:tc>
      </w:tr>
      <w:tr w:rsidR="003C11BC" w:rsidRPr="004D3872" w:rsidTr="00D5337F">
        <w:trPr>
          <w:jc w:val="center"/>
        </w:trPr>
        <w:tc>
          <w:tcPr>
            <w:tcW w:w="846" w:type="dxa"/>
            <w:vAlign w:val="center"/>
          </w:tcPr>
          <w:p w:rsidR="003C11BC" w:rsidRPr="004D3872" w:rsidRDefault="003C11BC" w:rsidP="00B7452C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3C11BC" w:rsidRPr="004D3872" w:rsidRDefault="009432CB" w:rsidP="0039712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UODO</w:t>
            </w:r>
          </w:p>
        </w:tc>
        <w:tc>
          <w:tcPr>
            <w:tcW w:w="1417" w:type="dxa"/>
            <w:vAlign w:val="center"/>
          </w:tcPr>
          <w:p w:rsidR="003C11BC" w:rsidRPr="004D3872" w:rsidRDefault="009432CB" w:rsidP="00397129">
            <w:pPr>
              <w:rPr>
                <w:rFonts w:cstheme="minorHAnsi"/>
                <w:b/>
              </w:rPr>
            </w:pPr>
            <w:r w:rsidRPr="009432CB">
              <w:rPr>
                <w:rFonts w:cstheme="minorHAnsi"/>
                <w:b/>
              </w:rPr>
              <w:t>§ 4 ust. 5</w:t>
            </w:r>
          </w:p>
        </w:tc>
        <w:tc>
          <w:tcPr>
            <w:tcW w:w="5954" w:type="dxa"/>
            <w:vAlign w:val="center"/>
          </w:tcPr>
          <w:p w:rsidR="003C11BC" w:rsidRPr="004D3872" w:rsidRDefault="009432CB" w:rsidP="009432CB">
            <w:pPr>
              <w:ind w:left="34" w:hanging="34"/>
              <w:jc w:val="both"/>
              <w:rPr>
                <w:rFonts w:cstheme="minorHAnsi"/>
              </w:rPr>
            </w:pPr>
            <w:r w:rsidRPr="009432CB">
              <w:rPr>
                <w:rFonts w:cstheme="minorHAnsi"/>
              </w:rPr>
              <w:t>dane biometryczne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w zakresie odcisków palców mogą być przetwarzane w postaci niezaszyfrowanej w trakcie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procesu ich pobierania oraz personalizacji dowodu osobistego nie określa mechanizmów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ochrony procesów przetwarzania danych biometrycznych w takiej formie. Projektodawca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 xml:space="preserve">powinien </w:t>
            </w:r>
            <w:r w:rsidRPr="009432CB">
              <w:rPr>
                <w:rFonts w:cstheme="minorHAnsi"/>
              </w:rPr>
              <w:lastRenderedPageBreak/>
              <w:t>przewidzieć, choćby kierunkowo, jakie mechanizmy zostaną zastosowane w celu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zapewnienia skutecznej ochrony przed nieuprawnionym dostępem do niezaszyfrowanych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danych. Zgodnie z opinią Grupy Roboczej Art. 29 w sprawie zmian sytuacji w dziedzinie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technologii biometrycznych „Administratorzy danych muszą wprowadzić odpowiednie środki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techniczne i organizacyjne w celu ochrony danych osobowych przed przypadkowym lub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nielegalnym zniszczeniem lub przypadkową utratą, zmianą, niedozwolonym ujawnieniem lub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dostępem, jak również przed wszelkimi innymi nielegalnymi formami przetwarzania”. Brak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uregulowania powyższych kwestii budzi obawy zw</w:t>
            </w:r>
            <w:r>
              <w:rPr>
                <w:rFonts w:cstheme="minorHAnsi"/>
              </w:rPr>
              <w:t>i</w:t>
            </w:r>
            <w:r w:rsidRPr="009432CB">
              <w:rPr>
                <w:rFonts w:cstheme="minorHAnsi"/>
              </w:rPr>
              <w:t>ązane z ryzykiem nienależytego</w:t>
            </w:r>
            <w:r>
              <w:rPr>
                <w:rFonts w:cstheme="minorHAnsi"/>
              </w:rPr>
              <w:t xml:space="preserve"> </w:t>
            </w:r>
            <w:r w:rsidRPr="009432CB">
              <w:rPr>
                <w:rFonts w:cstheme="minorHAnsi"/>
              </w:rPr>
              <w:t>zabezpieczeniem przetwarzanych danych osobowych biometrycznych.</w:t>
            </w:r>
          </w:p>
        </w:tc>
        <w:tc>
          <w:tcPr>
            <w:tcW w:w="4643" w:type="dxa"/>
            <w:vAlign w:val="center"/>
          </w:tcPr>
          <w:p w:rsidR="009432CB" w:rsidRPr="00915819" w:rsidRDefault="000D0B14" w:rsidP="000019E2">
            <w:pPr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Uwaga wyjaśniona</w:t>
            </w:r>
          </w:p>
          <w:p w:rsidR="00915819" w:rsidRPr="009432CB" w:rsidRDefault="00915819" w:rsidP="00F61753">
            <w:pPr>
              <w:jc w:val="both"/>
              <w:rPr>
                <w:rFonts w:eastAsia="Times New Roman" w:cstheme="minorHAnsi"/>
                <w:lang w:eastAsia="pl-PL"/>
              </w:rPr>
            </w:pPr>
            <w:r w:rsidRPr="00915819">
              <w:rPr>
                <w:rFonts w:eastAsia="Times New Roman" w:cstheme="minorHAnsi"/>
                <w:lang w:eastAsia="pl-PL"/>
              </w:rPr>
              <w:t>Z uwagi na fakt, że nie ma możliwości zapisania odcisków palców na żadnym znanym w chwili obecnej nośniku informatycznym, celem przeniesieni</w:t>
            </w:r>
            <w:r w:rsidR="001C2540">
              <w:rPr>
                <w:rFonts w:eastAsia="Times New Roman" w:cstheme="minorHAnsi"/>
                <w:lang w:eastAsia="pl-PL"/>
              </w:rPr>
              <w:t>a</w:t>
            </w:r>
            <w:r w:rsidRPr="00915819">
              <w:rPr>
                <w:rFonts w:eastAsia="Times New Roman" w:cstheme="minorHAnsi"/>
                <w:lang w:eastAsia="pl-PL"/>
              </w:rPr>
              <w:t xml:space="preserve"> ich w sposób bezpieczny i integralny </w:t>
            </w:r>
            <w:r w:rsidRPr="00915819">
              <w:rPr>
                <w:rFonts w:eastAsia="Times New Roman" w:cstheme="minorHAnsi"/>
                <w:lang w:eastAsia="pl-PL"/>
              </w:rPr>
              <w:lastRenderedPageBreak/>
              <w:t>przez organ do RDO, przepis został wykreślony</w:t>
            </w:r>
            <w:r w:rsidR="00F61753">
              <w:rPr>
                <w:rFonts w:eastAsia="Times New Roman" w:cstheme="minorHAnsi"/>
                <w:lang w:eastAsia="pl-PL"/>
              </w:rPr>
              <w:t>. Powyższe jest również konsekwencją zastosowanych przy pobieraniu odcisków palców mechanizmów, o czym mowa w wyjaśnieniu do §4 ust. 6.</w:t>
            </w:r>
          </w:p>
        </w:tc>
      </w:tr>
      <w:tr w:rsidR="003C11BC" w:rsidRPr="004D3872" w:rsidTr="00D5337F">
        <w:trPr>
          <w:jc w:val="center"/>
        </w:trPr>
        <w:tc>
          <w:tcPr>
            <w:tcW w:w="846" w:type="dxa"/>
            <w:vAlign w:val="center"/>
          </w:tcPr>
          <w:p w:rsidR="003C11BC" w:rsidRPr="004D3872" w:rsidRDefault="003C11BC" w:rsidP="00B7452C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3C11BC" w:rsidRPr="004D3872" w:rsidRDefault="00784F00" w:rsidP="0039712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UODO</w:t>
            </w:r>
          </w:p>
        </w:tc>
        <w:tc>
          <w:tcPr>
            <w:tcW w:w="1417" w:type="dxa"/>
            <w:vAlign w:val="center"/>
          </w:tcPr>
          <w:p w:rsidR="003C11BC" w:rsidRPr="004D3872" w:rsidRDefault="00784F00" w:rsidP="00397129">
            <w:pPr>
              <w:rPr>
                <w:rFonts w:cstheme="minorHAnsi"/>
                <w:b/>
              </w:rPr>
            </w:pPr>
            <w:r w:rsidRPr="00784F00">
              <w:rPr>
                <w:rFonts w:cstheme="minorHAnsi"/>
                <w:b/>
              </w:rPr>
              <w:t>§ 4 ust. 6</w:t>
            </w:r>
          </w:p>
        </w:tc>
        <w:tc>
          <w:tcPr>
            <w:tcW w:w="5954" w:type="dxa"/>
            <w:vAlign w:val="center"/>
          </w:tcPr>
          <w:p w:rsidR="003C11BC" w:rsidRPr="004D3872" w:rsidRDefault="00784F00" w:rsidP="00784F00">
            <w:pPr>
              <w:ind w:left="34" w:hanging="34"/>
              <w:jc w:val="both"/>
              <w:rPr>
                <w:rFonts w:cstheme="minorHAnsi"/>
                <w:color w:val="000000"/>
              </w:rPr>
            </w:pPr>
            <w:r w:rsidRPr="00784F00">
              <w:rPr>
                <w:rFonts w:cstheme="minorHAnsi"/>
                <w:color w:val="000000"/>
              </w:rPr>
              <w:t>Minister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84F00">
              <w:rPr>
                <w:rFonts w:cstheme="minorHAnsi"/>
                <w:color w:val="000000"/>
              </w:rPr>
              <w:t xml:space="preserve">właściwy do spraw informatyzacji zapewnia </w:t>
            </w:r>
            <w:r>
              <w:rPr>
                <w:rFonts w:cstheme="minorHAnsi"/>
                <w:color w:val="000000"/>
              </w:rPr>
              <w:t>s</w:t>
            </w:r>
            <w:r w:rsidRPr="00784F00">
              <w:rPr>
                <w:rFonts w:cstheme="minorHAnsi"/>
                <w:color w:val="000000"/>
              </w:rPr>
              <w:t>tosowanie mechanizmów, które zapewniają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84F00">
              <w:rPr>
                <w:rFonts w:cstheme="minorHAnsi"/>
                <w:color w:val="000000"/>
              </w:rPr>
              <w:t>ochronę przed nieuprawnionym dostępem do tych danych, w tym w szczególności ich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84F00">
              <w:rPr>
                <w:rFonts w:cstheme="minorHAnsi"/>
                <w:color w:val="000000"/>
              </w:rPr>
              <w:t>kopiowanie, oraz zapewniają rejestrowanie wszelkich działań dokonywanych na tych danych”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84F00">
              <w:rPr>
                <w:rFonts w:cstheme="minorHAnsi"/>
                <w:color w:val="000000"/>
              </w:rPr>
              <w:t>wymaga dookreślenia poprzez wskazanie zamkniętego katalogu mechanizmów</w:t>
            </w:r>
            <w:r>
              <w:rPr>
                <w:rFonts w:cstheme="minorHAnsi"/>
                <w:color w:val="000000"/>
              </w:rPr>
              <w:t xml:space="preserve"> </w:t>
            </w:r>
            <w:r w:rsidRPr="00784F00">
              <w:rPr>
                <w:rFonts w:cstheme="minorHAnsi"/>
                <w:color w:val="000000"/>
              </w:rPr>
              <w:t>zapewniających danym osobowym należyte zabezpieczenie.</w:t>
            </w:r>
          </w:p>
        </w:tc>
        <w:tc>
          <w:tcPr>
            <w:tcW w:w="4643" w:type="dxa"/>
            <w:vAlign w:val="center"/>
          </w:tcPr>
          <w:p w:rsidR="00784F00" w:rsidRDefault="00784F00" w:rsidP="00784F00">
            <w:pPr>
              <w:rPr>
                <w:rFonts w:eastAsia="Times New Roman" w:cstheme="minorHAnsi"/>
                <w:b/>
                <w:lang w:eastAsia="pl-PL"/>
              </w:rPr>
            </w:pPr>
            <w:r w:rsidRPr="009432CB">
              <w:rPr>
                <w:rFonts w:eastAsia="Times New Roman" w:cstheme="minorHAnsi"/>
                <w:b/>
                <w:lang w:eastAsia="pl-PL"/>
              </w:rPr>
              <w:t>Uwaga wyjaśniona</w:t>
            </w:r>
          </w:p>
          <w:p w:rsidR="00784F00" w:rsidRDefault="00784F00" w:rsidP="00784F00">
            <w:pPr>
              <w:jc w:val="both"/>
              <w:rPr>
                <w:rFonts w:eastAsia="Times New Roman" w:cstheme="minorHAnsi"/>
                <w:lang w:eastAsia="pl-PL"/>
              </w:rPr>
            </w:pPr>
            <w:r w:rsidRPr="009432CB">
              <w:rPr>
                <w:rFonts w:eastAsia="Times New Roman" w:cstheme="minorHAnsi"/>
                <w:lang w:eastAsia="pl-PL"/>
              </w:rPr>
              <w:t xml:space="preserve">Na wstępie wskazać należy, ze przepis został zmodyfikowany z uwagi na fakt, </w:t>
            </w:r>
            <w:r w:rsidR="001C2540">
              <w:rPr>
                <w:rFonts w:eastAsia="Times New Roman" w:cstheme="minorHAnsi"/>
                <w:lang w:eastAsia="pl-PL"/>
              </w:rPr>
              <w:t>ż</w:t>
            </w:r>
            <w:r w:rsidRPr="009432CB">
              <w:rPr>
                <w:rFonts w:eastAsia="Times New Roman" w:cstheme="minorHAnsi"/>
                <w:lang w:eastAsia="pl-PL"/>
              </w:rPr>
              <w:t xml:space="preserve">e za przetwarzanie danych biometrycznych w procesie wydawania dowodów osobistych, na różnych etapach tego procesu (pobieranie odcisków palców oraz personalizacja dokumentów) odpowiedzialność ponosi dwóch ministrów: minister właściwy do spraw informatyzacji oraz minister właściwy do spraw wewnętrznych. </w:t>
            </w:r>
            <w:r>
              <w:rPr>
                <w:rFonts w:eastAsia="Times New Roman" w:cstheme="minorHAnsi"/>
                <w:lang w:eastAsia="pl-PL"/>
              </w:rPr>
              <w:t>Zaproponowano zatem następujące brzmienie przepisu: „</w:t>
            </w:r>
            <w:r w:rsidRPr="009432CB">
              <w:rPr>
                <w:rFonts w:eastAsia="Times New Roman" w:cstheme="minorHAnsi"/>
                <w:i/>
                <w:lang w:eastAsia="pl-PL"/>
              </w:rPr>
              <w:t xml:space="preserve">W przypadku, o którym mowa w ust. 5, minister właściwy do spraw informatyzacji oraz minister właściwy do spraw wewnętrznych, każdy w zakresie swojej właściwości, zapewniają </w:t>
            </w:r>
            <w:r w:rsidRPr="009432CB">
              <w:rPr>
                <w:rFonts w:eastAsia="Times New Roman" w:cstheme="minorHAnsi"/>
                <w:b/>
                <w:i/>
                <w:lang w:eastAsia="pl-PL"/>
              </w:rPr>
              <w:t>stosowanie mechanizmów</w:t>
            </w:r>
            <w:r w:rsidRPr="009432CB">
              <w:rPr>
                <w:rFonts w:eastAsia="Times New Roman" w:cstheme="minorHAnsi"/>
                <w:i/>
                <w:lang w:eastAsia="pl-PL"/>
              </w:rPr>
              <w:t xml:space="preserve">, które gwarantują ochronę przed nieuprawnionym dostępem do tych danych, w tym w szczególności ich kopiowanie, </w:t>
            </w:r>
            <w:r w:rsidRPr="009432CB">
              <w:rPr>
                <w:rFonts w:eastAsia="Times New Roman" w:cstheme="minorHAnsi"/>
                <w:i/>
                <w:lang w:eastAsia="pl-PL"/>
              </w:rPr>
              <w:lastRenderedPageBreak/>
              <w:t>oraz zapewniają rejestrowanie wszelkich działań dokonywanych na tych danych</w:t>
            </w:r>
            <w:r w:rsidRPr="009432CB">
              <w:rPr>
                <w:rFonts w:eastAsia="Times New Roman" w:cstheme="minorHAnsi"/>
                <w:lang w:eastAsia="pl-PL"/>
              </w:rPr>
              <w:t>.</w:t>
            </w:r>
            <w:r>
              <w:rPr>
                <w:rFonts w:eastAsia="Times New Roman" w:cstheme="minorHAnsi"/>
                <w:lang w:eastAsia="pl-PL"/>
              </w:rPr>
              <w:t>”.</w:t>
            </w:r>
          </w:p>
          <w:p w:rsidR="003C11BC" w:rsidRPr="004D3872" w:rsidRDefault="00784F00" w:rsidP="001C2540">
            <w:pPr>
              <w:rPr>
                <w:rFonts w:cstheme="minorHAnsi"/>
                <w:color w:val="000000"/>
              </w:rPr>
            </w:pPr>
            <w:r>
              <w:rPr>
                <w:rFonts w:eastAsia="Times New Roman" w:cstheme="minorHAnsi"/>
                <w:lang w:eastAsia="pl-PL"/>
              </w:rPr>
              <w:t xml:space="preserve">Odnosząc się już bezpośrednio do uwagi UODO wskazać należy, że owe </w:t>
            </w:r>
            <w:r w:rsidRPr="009432CB">
              <w:rPr>
                <w:rFonts w:eastAsia="Times New Roman" w:cstheme="minorHAnsi"/>
                <w:b/>
                <w:lang w:eastAsia="pl-PL"/>
              </w:rPr>
              <w:t>mechanizmy</w:t>
            </w:r>
            <w:r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9432CB">
              <w:rPr>
                <w:rFonts w:eastAsia="Times New Roman" w:cstheme="minorHAnsi"/>
                <w:lang w:eastAsia="pl-PL"/>
              </w:rPr>
              <w:t>dotyczą</w:t>
            </w:r>
            <w:r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9432CB">
              <w:rPr>
                <w:rFonts w:eastAsia="Times New Roman" w:cstheme="minorHAnsi"/>
                <w:lang w:eastAsia="pl-PL"/>
              </w:rPr>
              <w:t xml:space="preserve">kwestii technicznych jak i </w:t>
            </w:r>
            <w:r>
              <w:rPr>
                <w:rFonts w:eastAsia="Times New Roman" w:cstheme="minorHAnsi"/>
                <w:lang w:eastAsia="pl-PL"/>
              </w:rPr>
              <w:t>organizacyjnych le</w:t>
            </w:r>
            <w:r w:rsidR="001C2540">
              <w:rPr>
                <w:rFonts w:eastAsia="Times New Roman" w:cstheme="minorHAnsi"/>
                <w:lang w:eastAsia="pl-PL"/>
              </w:rPr>
              <w:t>ż</w:t>
            </w:r>
            <w:r>
              <w:rPr>
                <w:rFonts w:eastAsia="Times New Roman" w:cstheme="minorHAnsi"/>
                <w:lang w:eastAsia="pl-PL"/>
              </w:rPr>
              <w:t xml:space="preserve">ących po stronie podmiotów które biorą czynny udział w </w:t>
            </w:r>
            <w:r w:rsidRPr="000019E2">
              <w:rPr>
                <w:rFonts w:eastAsia="Times New Roman" w:cstheme="minorHAnsi"/>
                <w:lang w:eastAsia="pl-PL"/>
              </w:rPr>
              <w:t xml:space="preserve">procesie wydawania dowodów osobistych. Kwestie techniczne to zakup przez Ministra Cyfryzacji skanera linii papilarnych, który </w:t>
            </w:r>
            <w:r>
              <w:rPr>
                <w:rFonts w:eastAsia="Times New Roman" w:cstheme="minorHAnsi"/>
                <w:lang w:eastAsia="pl-PL"/>
              </w:rPr>
              <w:t>umożliwia bezpieczne pobranie odcisków palców, natomiast kwestie organizacyjne to chociażby zapewnienie takiej lokalizacji stanowisk</w:t>
            </w:r>
            <w:r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0019E2">
              <w:rPr>
                <w:rFonts w:eastAsia="Times New Roman" w:cstheme="minorHAnsi"/>
                <w:lang w:eastAsia="pl-PL"/>
              </w:rPr>
              <w:t>obsługujących</w:t>
            </w:r>
            <w:r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0019E2">
              <w:rPr>
                <w:rFonts w:eastAsia="Times New Roman" w:cstheme="minorHAnsi"/>
                <w:lang w:eastAsia="pl-PL"/>
              </w:rPr>
              <w:t>sprawy dowodowe aby uniemożliwić dostęp osób nieuprawnionych.</w:t>
            </w:r>
            <w:r>
              <w:rPr>
                <w:rFonts w:eastAsia="Times New Roman" w:cstheme="minorHAnsi"/>
                <w:lang w:eastAsia="pl-PL"/>
              </w:rPr>
              <w:t xml:space="preserve"> Wydaje się niecelowym tworzenie w przepisach rangi rozporządzenia zamkniętego katalogu takich mechanizmów, chociażby z uwagi na fakt, że zmiana poszczególnych elementów zastosowanych mechanizmów powodowałaby konieczność zmiany aktu prawnego. Ponadto należy wskazać, ze w obecnie funkcjonujących przepisach prawa mamy do czynienia właśnie w zakresie grupy przepisów dot. przetwarzania danych osobowych podobnie sformułowane przepisy w zakresie wymagań, które musza spełnić podmioty aby otrzymać dostęp do danych w trybie teletransmisji. Przepis mówi o konieczności spełnienia przez nie warunków technicznych i organizacyjnych, bez wskazani na konkretny katalog tych warunków.</w:t>
            </w:r>
          </w:p>
        </w:tc>
      </w:tr>
      <w:tr w:rsidR="005A511A" w:rsidRPr="004D3872" w:rsidTr="00D5337F">
        <w:trPr>
          <w:jc w:val="center"/>
        </w:trPr>
        <w:tc>
          <w:tcPr>
            <w:tcW w:w="846" w:type="dxa"/>
            <w:vAlign w:val="center"/>
          </w:tcPr>
          <w:p w:rsidR="005A511A" w:rsidRPr="004D3872" w:rsidRDefault="005A511A" w:rsidP="00B7452C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5A511A" w:rsidRDefault="005A511A" w:rsidP="00397129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Wielkopolski Urząd </w:t>
            </w:r>
            <w:r>
              <w:rPr>
                <w:rFonts w:cstheme="minorHAnsi"/>
                <w:b/>
              </w:rPr>
              <w:lastRenderedPageBreak/>
              <w:t>Wojewódzki</w:t>
            </w:r>
          </w:p>
        </w:tc>
        <w:tc>
          <w:tcPr>
            <w:tcW w:w="1417" w:type="dxa"/>
            <w:vAlign w:val="center"/>
          </w:tcPr>
          <w:p w:rsidR="005A511A" w:rsidRPr="001B40D3" w:rsidRDefault="005A511A" w:rsidP="005A511A">
            <w:pPr>
              <w:rPr>
                <w:b/>
              </w:rPr>
            </w:pPr>
            <w:r w:rsidRPr="001B40D3">
              <w:rPr>
                <w:b/>
              </w:rPr>
              <w:lastRenderedPageBreak/>
              <w:t xml:space="preserve">§ 5 pkt 2 </w:t>
            </w:r>
          </w:p>
          <w:p w:rsidR="005A511A" w:rsidRPr="001B40D3" w:rsidRDefault="005A511A" w:rsidP="00397129">
            <w:pPr>
              <w:rPr>
                <w:rFonts w:cstheme="minorHAnsi"/>
                <w:b/>
              </w:rPr>
            </w:pPr>
          </w:p>
        </w:tc>
        <w:tc>
          <w:tcPr>
            <w:tcW w:w="5954" w:type="dxa"/>
            <w:vAlign w:val="center"/>
          </w:tcPr>
          <w:p w:rsidR="005A511A" w:rsidRPr="00251305" w:rsidRDefault="005A511A" w:rsidP="005A511A">
            <w:r w:rsidRPr="00251305">
              <w:t>Wyjaśnienia wymaga:</w:t>
            </w:r>
          </w:p>
          <w:p w:rsidR="005A511A" w:rsidRPr="00251305" w:rsidRDefault="005A511A" w:rsidP="005A511A">
            <w:pPr>
              <w:numPr>
                <w:ilvl w:val="0"/>
                <w:numId w:val="8"/>
              </w:numPr>
              <w:suppressAutoHyphens/>
            </w:pPr>
            <w:r w:rsidRPr="00251305">
              <w:t>Tryb</w:t>
            </w:r>
            <w:r>
              <w:t>/sposób</w:t>
            </w:r>
            <w:r w:rsidRPr="00251305">
              <w:t xml:space="preserve"> przekazywania danych (w szczególności odcisków palców)  do ministra właściwego do spraw </w:t>
            </w:r>
            <w:r w:rsidRPr="00251305">
              <w:lastRenderedPageBreak/>
              <w:t>wewnętrznych na bezpiecznym nośniku informatycznym;</w:t>
            </w:r>
          </w:p>
          <w:p w:rsidR="005A511A" w:rsidRPr="00784F00" w:rsidRDefault="005A511A" w:rsidP="005A511A">
            <w:pPr>
              <w:ind w:left="34" w:hanging="34"/>
              <w:jc w:val="both"/>
              <w:rPr>
                <w:rFonts w:cstheme="minorHAnsi"/>
                <w:color w:val="000000"/>
              </w:rPr>
            </w:pPr>
            <w:r>
              <w:t>C</w:t>
            </w:r>
            <w:r w:rsidRPr="00251305">
              <w:t>zy brak dostępu do RDO nie będzie uniemożliwiać przyjmowania wniosków o dowód osobisty i wydawania dokumentów</w:t>
            </w:r>
            <w:r>
              <w:t>?</w:t>
            </w:r>
          </w:p>
        </w:tc>
        <w:tc>
          <w:tcPr>
            <w:tcW w:w="4643" w:type="dxa"/>
            <w:vAlign w:val="center"/>
          </w:tcPr>
          <w:p w:rsidR="00D76AFE" w:rsidRPr="001B40D3" w:rsidRDefault="00D76AFE" w:rsidP="00D76AFE">
            <w:pPr>
              <w:contextualSpacing/>
              <w:rPr>
                <w:rFonts w:cs="Calibri"/>
                <w:b/>
                <w:bCs/>
              </w:rPr>
            </w:pPr>
            <w:r w:rsidRPr="001B40D3">
              <w:rPr>
                <w:rFonts w:cs="Calibri"/>
                <w:b/>
                <w:bCs/>
              </w:rPr>
              <w:lastRenderedPageBreak/>
              <w:t>Uwaga uwzględniona</w:t>
            </w:r>
          </w:p>
          <w:p w:rsidR="005A511A" w:rsidRPr="009432CB" w:rsidRDefault="00D76AFE" w:rsidP="00D76AFE">
            <w:pPr>
              <w:rPr>
                <w:rFonts w:eastAsia="Times New Roman" w:cstheme="minorHAnsi"/>
                <w:b/>
                <w:lang w:eastAsia="pl-PL"/>
              </w:rPr>
            </w:pPr>
            <w:r w:rsidRPr="00F52922">
              <w:rPr>
                <w:rFonts w:cs="Calibri"/>
                <w:bCs/>
              </w:rPr>
              <w:t>Wskazane przepisy zostały zmienione</w:t>
            </w:r>
          </w:p>
        </w:tc>
      </w:tr>
      <w:tr w:rsidR="00D76AFE" w:rsidRPr="004D3872" w:rsidTr="00D5337F">
        <w:trPr>
          <w:jc w:val="center"/>
        </w:trPr>
        <w:tc>
          <w:tcPr>
            <w:tcW w:w="846" w:type="dxa"/>
            <w:vAlign w:val="center"/>
          </w:tcPr>
          <w:p w:rsidR="00D76AFE" w:rsidRPr="004D3872" w:rsidRDefault="00D76AFE" w:rsidP="00B7452C">
            <w:pPr>
              <w:pStyle w:val="Akapitzlist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:rsidR="00D76AFE" w:rsidRDefault="00D76AFE" w:rsidP="00397129">
            <w:pPr>
              <w:rPr>
                <w:rFonts w:cstheme="minorHAnsi"/>
                <w:b/>
              </w:rPr>
            </w:pPr>
            <w:r w:rsidRPr="00D76AFE">
              <w:rPr>
                <w:rFonts w:cstheme="minorHAnsi"/>
                <w:b/>
              </w:rPr>
              <w:t>Wojewoda Warmińsko - Mazurski</w:t>
            </w:r>
          </w:p>
        </w:tc>
        <w:tc>
          <w:tcPr>
            <w:tcW w:w="1417" w:type="dxa"/>
            <w:vAlign w:val="center"/>
          </w:tcPr>
          <w:p w:rsidR="00D76AFE" w:rsidRPr="001B40D3" w:rsidRDefault="00D76AFE" w:rsidP="00D76AFE">
            <w:pPr>
              <w:rPr>
                <w:b/>
              </w:rPr>
            </w:pPr>
            <w:r w:rsidRPr="001B40D3">
              <w:rPr>
                <w:b/>
              </w:rPr>
              <w:t xml:space="preserve">§ 5 pkt 2 </w:t>
            </w:r>
          </w:p>
          <w:p w:rsidR="00D76AFE" w:rsidRPr="001B40D3" w:rsidRDefault="00D76AFE" w:rsidP="005A511A">
            <w:pPr>
              <w:rPr>
                <w:b/>
              </w:rPr>
            </w:pPr>
          </w:p>
        </w:tc>
        <w:tc>
          <w:tcPr>
            <w:tcW w:w="5954" w:type="dxa"/>
            <w:vAlign w:val="center"/>
          </w:tcPr>
          <w:p w:rsidR="00D76AFE" w:rsidRPr="00251305" w:rsidRDefault="00D76AFE" w:rsidP="005A511A">
            <w:r w:rsidRPr="00F52922">
              <w:rPr>
                <w:rFonts w:cs="Calibri"/>
                <w:bCs/>
                <w:color w:val="000000"/>
              </w:rPr>
              <w:t>Należałoby rozważyć zmianę użytych w projekcie sformułowań: zawieszenie/cofnięcie zawieszenia dowodu osobistego, bowiem ustawa z dnia z 6 sierpnia 2010 r. o dowodach osobistych, stanowiąca podstawę do wydania projektowanego rozporządzenie Ministra Cyfryzacji nie posługuje się takimi pojęciami. W ustawie o dowodach osobistych użyto określenia „zawieszanie/cofanie zawieszenia certyfikatów zamieszczonych w warstwie elektronicznej dowodu osobistego”.  Powyższe oznacza, że zawieszeniu podlegają nie dowody osobiste, a certyfikaty zamieszczone w warstwie elektronicznej dowodu osobistego</w:t>
            </w:r>
          </w:p>
        </w:tc>
        <w:tc>
          <w:tcPr>
            <w:tcW w:w="4643" w:type="dxa"/>
            <w:vAlign w:val="center"/>
          </w:tcPr>
          <w:p w:rsidR="00D76AFE" w:rsidRPr="001B40D3" w:rsidRDefault="00D76AFE" w:rsidP="00D76AFE">
            <w:pPr>
              <w:contextualSpacing/>
              <w:rPr>
                <w:rFonts w:cs="Calibri"/>
                <w:b/>
                <w:bCs/>
              </w:rPr>
            </w:pPr>
            <w:r w:rsidRPr="001B40D3">
              <w:rPr>
                <w:rFonts w:cs="Calibri"/>
                <w:b/>
                <w:bCs/>
              </w:rPr>
              <w:t>Uwaga uwzględniona</w:t>
            </w:r>
          </w:p>
          <w:p w:rsidR="00D76AFE" w:rsidRDefault="00D76AFE" w:rsidP="00D76AFE">
            <w:pPr>
              <w:rPr>
                <w:rFonts w:cs="Calibri"/>
                <w:sz w:val="20"/>
                <w:szCs w:val="20"/>
              </w:rPr>
            </w:pPr>
            <w:r w:rsidRPr="00F52922">
              <w:rPr>
                <w:rFonts w:cs="Calibri"/>
                <w:bCs/>
              </w:rPr>
              <w:t>Wskazane przepisy zostały zmienione</w:t>
            </w:r>
          </w:p>
        </w:tc>
      </w:tr>
    </w:tbl>
    <w:p w:rsidR="00313026" w:rsidRPr="004D3872" w:rsidRDefault="00313026" w:rsidP="00397129">
      <w:pPr>
        <w:spacing w:line="240" w:lineRule="auto"/>
        <w:rPr>
          <w:rFonts w:cstheme="minorHAnsi"/>
        </w:rPr>
      </w:pPr>
    </w:p>
    <w:sectPr w:rsidR="00313026" w:rsidRPr="004D3872" w:rsidSect="00D5337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70759"/>
    <w:multiLevelType w:val="hybridMultilevel"/>
    <w:tmpl w:val="1F86D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33DE3"/>
    <w:multiLevelType w:val="multilevel"/>
    <w:tmpl w:val="09905506"/>
    <w:lvl w:ilvl="0">
      <w:start w:val="1"/>
      <w:numFmt w:val="decimal"/>
      <w:lvlText w:val="%1)"/>
      <w:lvlJc w:val="left"/>
      <w:rPr>
        <w:rFonts w:asciiTheme="minorHAnsi" w:eastAsia="Times New Roman" w:hAnsiTheme="minorHAnsi" w:cstheme="minorHAnsi" w:hint="default"/>
        <w:b w:val="0"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D51F64"/>
    <w:multiLevelType w:val="hybridMultilevel"/>
    <w:tmpl w:val="FD344F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87DA9"/>
    <w:multiLevelType w:val="hybridMultilevel"/>
    <w:tmpl w:val="000AF7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EA30E9"/>
    <w:multiLevelType w:val="hybridMultilevel"/>
    <w:tmpl w:val="19A66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36B14"/>
    <w:multiLevelType w:val="hybridMultilevel"/>
    <w:tmpl w:val="347A9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976DC"/>
    <w:multiLevelType w:val="hybridMultilevel"/>
    <w:tmpl w:val="4978D7A4"/>
    <w:lvl w:ilvl="0" w:tplc="22D0E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13775"/>
    <w:multiLevelType w:val="hybridMultilevel"/>
    <w:tmpl w:val="67FCC2A0"/>
    <w:lvl w:ilvl="0" w:tplc="64B4D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F97"/>
    <w:rsid w:val="000019E2"/>
    <w:rsid w:val="000C16CF"/>
    <w:rsid w:val="000D01DA"/>
    <w:rsid w:val="000D0B14"/>
    <w:rsid w:val="000E0F96"/>
    <w:rsid w:val="000E3DC4"/>
    <w:rsid w:val="001036BB"/>
    <w:rsid w:val="0010608F"/>
    <w:rsid w:val="00130B6D"/>
    <w:rsid w:val="00130B95"/>
    <w:rsid w:val="001430D4"/>
    <w:rsid w:val="00156317"/>
    <w:rsid w:val="00156D61"/>
    <w:rsid w:val="00193BC8"/>
    <w:rsid w:val="001A53F2"/>
    <w:rsid w:val="001B40D3"/>
    <w:rsid w:val="001B5FDA"/>
    <w:rsid w:val="001C2540"/>
    <w:rsid w:val="001E3A93"/>
    <w:rsid w:val="001F11D7"/>
    <w:rsid w:val="002247C9"/>
    <w:rsid w:val="002378A9"/>
    <w:rsid w:val="002A318B"/>
    <w:rsid w:val="002C1BDC"/>
    <w:rsid w:val="002D5112"/>
    <w:rsid w:val="00313026"/>
    <w:rsid w:val="00326197"/>
    <w:rsid w:val="00327FF3"/>
    <w:rsid w:val="00332005"/>
    <w:rsid w:val="00393F23"/>
    <w:rsid w:val="00397129"/>
    <w:rsid w:val="003C11BC"/>
    <w:rsid w:val="003D11A5"/>
    <w:rsid w:val="00404045"/>
    <w:rsid w:val="00452BA3"/>
    <w:rsid w:val="00486FE0"/>
    <w:rsid w:val="004C28F9"/>
    <w:rsid w:val="004D3872"/>
    <w:rsid w:val="00506A0F"/>
    <w:rsid w:val="005149C5"/>
    <w:rsid w:val="00540022"/>
    <w:rsid w:val="005670D8"/>
    <w:rsid w:val="00581A83"/>
    <w:rsid w:val="005A511A"/>
    <w:rsid w:val="005D0F97"/>
    <w:rsid w:val="005F43E1"/>
    <w:rsid w:val="005F5656"/>
    <w:rsid w:val="0060451D"/>
    <w:rsid w:val="006117B2"/>
    <w:rsid w:val="00617899"/>
    <w:rsid w:val="00657681"/>
    <w:rsid w:val="00697A3F"/>
    <w:rsid w:val="006C7A10"/>
    <w:rsid w:val="006D0174"/>
    <w:rsid w:val="007215E0"/>
    <w:rsid w:val="007247F7"/>
    <w:rsid w:val="00784F00"/>
    <w:rsid w:val="007C4A5C"/>
    <w:rsid w:val="007D0337"/>
    <w:rsid w:val="007F6E41"/>
    <w:rsid w:val="0082747C"/>
    <w:rsid w:val="00845E2C"/>
    <w:rsid w:val="0088090F"/>
    <w:rsid w:val="008A48BE"/>
    <w:rsid w:val="008D0663"/>
    <w:rsid w:val="008E5A98"/>
    <w:rsid w:val="00915819"/>
    <w:rsid w:val="009432CB"/>
    <w:rsid w:val="009854F8"/>
    <w:rsid w:val="00A25165"/>
    <w:rsid w:val="00A51CB9"/>
    <w:rsid w:val="00A81F33"/>
    <w:rsid w:val="00B371FF"/>
    <w:rsid w:val="00B7452C"/>
    <w:rsid w:val="00B96FC5"/>
    <w:rsid w:val="00C022DB"/>
    <w:rsid w:val="00C074CB"/>
    <w:rsid w:val="00C21C84"/>
    <w:rsid w:val="00C224B3"/>
    <w:rsid w:val="00CC03C7"/>
    <w:rsid w:val="00CC765E"/>
    <w:rsid w:val="00CF1385"/>
    <w:rsid w:val="00D03A9F"/>
    <w:rsid w:val="00D13F1C"/>
    <w:rsid w:val="00D5337F"/>
    <w:rsid w:val="00D535B6"/>
    <w:rsid w:val="00D60A09"/>
    <w:rsid w:val="00D708CD"/>
    <w:rsid w:val="00D76AFE"/>
    <w:rsid w:val="00DF048A"/>
    <w:rsid w:val="00E35161"/>
    <w:rsid w:val="00E748B7"/>
    <w:rsid w:val="00E76736"/>
    <w:rsid w:val="00E95E50"/>
    <w:rsid w:val="00ED6A4D"/>
    <w:rsid w:val="00F10F58"/>
    <w:rsid w:val="00F110AD"/>
    <w:rsid w:val="00F61753"/>
    <w:rsid w:val="00F7166F"/>
    <w:rsid w:val="00FC75D5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64CBB-9605-4CF3-8ECC-E39C6755E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3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3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USTzmustartykuempunktem">
    <w:name w:val="Z/UST(§) – zm. ust. (§) artykułem (punktem)"/>
    <w:basedOn w:val="Normalny"/>
    <w:uiPriority w:val="30"/>
    <w:qFormat/>
    <w:rsid w:val="0088090F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117B2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2">
    <w:name w:val="Body Text 2"/>
    <w:basedOn w:val="Normalny"/>
    <w:link w:val="Tekstpodstawowy2Znak"/>
    <w:semiHidden/>
    <w:rsid w:val="008A48B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48BE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0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0AD"/>
    <w:rPr>
      <w:rFonts w:ascii="Segoe UI" w:hAnsi="Segoe UI" w:cs="Segoe UI"/>
      <w:sz w:val="18"/>
      <w:szCs w:val="18"/>
    </w:rPr>
  </w:style>
  <w:style w:type="paragraph" w:customStyle="1" w:styleId="USTustnpkodeksu">
    <w:name w:val="UST(§) – ust. (§ np. kodeksu)"/>
    <w:basedOn w:val="Normalny"/>
    <w:uiPriority w:val="12"/>
    <w:qFormat/>
    <w:rsid w:val="000E0F9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Idzikowski Piotr</dc:creator>
  <cp:keywords/>
  <dc:description/>
  <cp:lastModifiedBy>Witkowska-Krzymowska Magdalena</cp:lastModifiedBy>
  <cp:revision>13</cp:revision>
  <dcterms:created xsi:type="dcterms:W3CDTF">2021-05-14T13:12:00Z</dcterms:created>
  <dcterms:modified xsi:type="dcterms:W3CDTF">2021-05-24T09:44:00Z</dcterms:modified>
</cp:coreProperties>
</file>