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41510924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1D392F" w:rsidRPr="001D392F" w:rsidP="001D392F">
      <w:pPr>
        <w:tabs>
          <w:tab w:val="left" w:pos="5103"/>
        </w:tabs>
        <w:spacing w:after="0" w:line="360" w:lineRule="auto"/>
        <w:rPr>
          <w:rFonts w:ascii="Arial" w:eastAsia="Calibri" w:hAnsi="Arial" w:cs="Arial"/>
          <w:bCs/>
          <w:lang w:eastAsia="en-US"/>
        </w:rPr>
      </w:pPr>
      <w:r w:rsidRPr="001D392F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1D392F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1D392F">
        <w:rPr>
          <w:rFonts w:ascii="Arial" w:eastAsia="Calibri" w:hAnsi="Arial" w:cs="Arial"/>
          <w:bCs/>
          <w:lang w:eastAsia="en-US"/>
        </w:rPr>
        <w:t>28 marca 2023</w:t>
      </w:r>
      <w:bookmarkEnd w:id="0"/>
      <w:r w:rsidRPr="001D392F">
        <w:rPr>
          <w:rFonts w:ascii="Arial" w:eastAsia="Calibri" w:hAnsi="Arial" w:cs="Arial"/>
          <w:bCs/>
          <w:lang w:eastAsia="en-US"/>
        </w:rPr>
        <w:t xml:space="preserve"> r.</w:t>
      </w:r>
    </w:p>
    <w:p w:rsidR="008455C8" w:rsidRPr="008455C8" w:rsidP="008455C8">
      <w:pPr>
        <w:tabs>
          <w:tab w:val="left" w:pos="5103"/>
        </w:tabs>
        <w:spacing w:after="0" w:line="360" w:lineRule="auto"/>
        <w:rPr>
          <w:rFonts w:ascii="Arial" w:eastAsia="Times New Roman" w:hAnsi="Arial" w:cs="Arial"/>
          <w:bCs/>
          <w:lang w:eastAsia="en-US"/>
        </w:rPr>
      </w:pPr>
      <w:r w:rsidRPr="008455C8">
        <w:rPr>
          <w:rFonts w:ascii="Arial" w:eastAsia="Times New Roman" w:hAnsi="Arial" w:cs="Arial"/>
          <w:bCs/>
          <w:lang w:eastAsia="en-US"/>
        </w:rPr>
        <w:tab/>
      </w:r>
      <w:r>
        <w:rPr>
          <w:rFonts w:ascii="Arial" w:eastAsia="Times New Roman" w:hAnsi="Arial" w:cs="Arial"/>
          <w:bCs/>
          <w:lang w:eastAsia="en-US"/>
        </w:rPr>
        <w:t>PN.I.431.2.6.2023</w:t>
      </w:r>
      <w:r w:rsidRPr="008455C8">
        <w:rPr>
          <w:rFonts w:ascii="Arial" w:eastAsia="Times New Roman" w:hAnsi="Arial" w:cs="Arial"/>
          <w:bCs/>
          <w:lang w:eastAsia="en-US"/>
        </w:rPr>
        <w:t>.</w:t>
      </w:r>
      <w:bookmarkStart w:id="1" w:name="ezdAutorInicjaly"/>
      <w:r w:rsidRPr="008455C8">
        <w:rPr>
          <w:rFonts w:ascii="Arial" w:eastAsia="Times New Roman" w:hAnsi="Arial" w:cs="Arial"/>
          <w:bCs/>
          <w:lang w:eastAsia="en-US"/>
        </w:rPr>
        <w:t>MJ</w:t>
      </w:r>
      <w:bookmarkEnd w:id="1"/>
    </w:p>
    <w:p w:rsidR="005E4DEB" w:rsidRPr="00F9166A" w:rsidP="003B6AEF">
      <w:pPr>
        <w:spacing w:before="72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AE7E52" w:rsidRPr="00F9166A" w:rsidP="006702BC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bookmarkStart w:id="2" w:name="_GoBack"/>
      <w:bookmarkEnd w:id="2"/>
      <w:r>
        <w:rPr>
          <w:rFonts w:ascii="Arial" w:eastAsia="Calibri" w:hAnsi="Arial" w:cs="Arial"/>
          <w:b/>
          <w:bCs/>
          <w:sz w:val="24"/>
          <w:szCs w:val="24"/>
        </w:rPr>
        <w:t>Tatiana Fert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rosyjskiego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ul. 1 Maja 11, Żyrowa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47-330 Zdzieszowice</w:t>
      </w:r>
    </w:p>
    <w:p w:rsidR="005E4DEB" w:rsidRPr="00F9166A" w:rsidP="003B6AEF">
      <w:pPr>
        <w:spacing w:before="60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I. Dane </w:t>
      </w:r>
      <w:r w:rsidRPr="00F9166A">
        <w:rPr>
          <w:rFonts w:ascii="Arial" w:hAnsi="Arial" w:cs="Arial"/>
          <w:b/>
          <w:sz w:val="24"/>
          <w:szCs w:val="24"/>
        </w:rPr>
        <w:t>identyfikacyjne kontroli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Tatiana Fert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rosyjskiego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ul. 1 Maja 11, Żyrowa, 47-330 Zdzieszowice.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 </w:t>
      </w:r>
      <w:r w:rsidRPr="00F9166A">
        <w:rPr>
          <w:rFonts w:ascii="Arial" w:hAnsi="Arial" w:cs="Arial"/>
          <w:sz w:val="24"/>
        </w:rPr>
        <w:t>zawodzie tłumacza przysięgłego (tj.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</w:t>
      </w:r>
      <w:r w:rsidRPr="00F9166A">
        <w:rPr>
          <w:rFonts w:ascii="Arial" w:hAnsi="Arial" w:cs="Arial"/>
          <w:sz w:val="24"/>
        </w:rPr>
        <w:t>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do dnia kontroli tj.: 13 marca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46771" w:rsidP="0000431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13 marca 2023 r. – 24 marca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Natalia </w:t>
      </w:r>
      <w:r>
        <w:rPr>
          <w:rFonts w:ascii="Arial" w:hAnsi="Arial" w:cs="Arial"/>
          <w:sz w:val="24"/>
          <w:szCs w:val="24"/>
        </w:rPr>
        <w:t>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Starszy Inspektor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– Członek zespołu kontrolnego</w:t>
      </w:r>
      <w:r>
        <w:rPr>
          <w:rFonts w:ascii="Arial" w:hAnsi="Arial" w:cs="Arial"/>
          <w:sz w:val="24"/>
          <w:szCs w:val="24"/>
        </w:rPr>
        <w:t>.</w:t>
      </w:r>
    </w:p>
    <w:p w:rsidR="005E4DEB" w:rsidRPr="00B715E7" w:rsidP="00004311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Tatiana Fert</w:t>
      </w:r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B715E7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>
        <w:rPr>
          <w:rFonts w:ascii="Arial" w:eastAsia="Times New Roman" w:hAnsi="Arial" w:cs="Arial"/>
          <w:sz w:val="24"/>
          <w:szCs w:val="24"/>
        </w:rPr>
        <w:t>rosyjskiego</w:t>
      </w:r>
      <w:r w:rsidRPr="00B715E7">
        <w:rPr>
          <w:rFonts w:ascii="Arial" w:eastAsia="Times New Roman" w:hAnsi="Arial" w:cs="Arial"/>
          <w:sz w:val="24"/>
          <w:szCs w:val="24"/>
        </w:rPr>
        <w:t>. Uprawnienia do wykonywania czynności tł</w:t>
      </w:r>
      <w:r w:rsidRPr="00B715E7">
        <w:rPr>
          <w:rFonts w:ascii="Arial" w:eastAsia="Times New Roman" w:hAnsi="Arial" w:cs="Arial"/>
          <w:sz w:val="24"/>
          <w:szCs w:val="24"/>
        </w:rPr>
        <w:t xml:space="preserve">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>
        <w:rPr>
          <w:rFonts w:ascii="Arial" w:eastAsia="Times New Roman" w:hAnsi="Arial" w:cs="Arial"/>
          <w:sz w:val="24"/>
          <w:szCs w:val="24"/>
        </w:rPr>
        <w:t xml:space="preserve">rosyjskiego </w:t>
      </w:r>
      <w:r w:rsidRPr="003A042A">
        <w:rPr>
          <w:rFonts w:ascii="Arial" w:eastAsia="Times New Roman" w:hAnsi="Arial" w:cs="Arial"/>
          <w:sz w:val="24"/>
          <w:szCs w:val="24"/>
        </w:rPr>
        <w:t>nabyła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1 </w:t>
      </w:r>
      <w:r>
        <w:rPr>
          <w:rFonts w:ascii="Arial" w:eastAsia="Times New Roman" w:hAnsi="Arial" w:cs="Arial"/>
          <w:sz w:val="24"/>
          <w:szCs w:val="24"/>
        </w:rPr>
        <w:t>lutego</w:t>
      </w:r>
      <w:r w:rsidRPr="00B715E7">
        <w:rPr>
          <w:rFonts w:ascii="Arial" w:eastAsia="Times New Roman" w:hAnsi="Arial" w:cs="Arial"/>
          <w:sz w:val="24"/>
          <w:szCs w:val="24"/>
        </w:rPr>
        <w:t xml:space="preserve"> 199</w:t>
      </w:r>
      <w:r>
        <w:rPr>
          <w:rFonts w:ascii="Arial" w:eastAsia="Times New Roman" w:hAnsi="Arial" w:cs="Arial"/>
          <w:sz w:val="24"/>
          <w:szCs w:val="24"/>
        </w:rPr>
        <w:t>6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Na listę tłumaczy przysięgłych, prowadzoną przez Ministra Sprawiedliwości, został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wpisan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pod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>Nr TP/</w:t>
      </w:r>
      <w:r>
        <w:rPr>
          <w:rFonts w:ascii="Arial" w:eastAsia="Times New Roman" w:hAnsi="Arial" w:cs="Arial"/>
          <w:sz w:val="24"/>
          <w:szCs w:val="24"/>
        </w:rPr>
        <w:t>1100</w:t>
      </w:r>
      <w:r w:rsidRPr="00B715E7">
        <w:rPr>
          <w:rFonts w:ascii="Arial" w:eastAsia="Times New Roman" w:hAnsi="Arial" w:cs="Arial"/>
          <w:sz w:val="24"/>
          <w:szCs w:val="24"/>
        </w:rPr>
        <w:t>/05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 xml:space="preserve">Ocena </w:t>
      </w:r>
      <w:r w:rsidRPr="00F9166A">
        <w:rPr>
          <w:rStyle w:val="ListLabel10"/>
          <w:rFonts w:ascii="Arial" w:hAnsi="Arial" w:cs="Arial"/>
          <w:sz w:val="24"/>
          <w:szCs w:val="24"/>
        </w:rPr>
        <w:t>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DE4931" w:rsidP="00004311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Prawidłowość i rzetelność prowadzenia repertorium </w:t>
      </w:r>
      <w:r>
        <w:rPr>
          <w:rFonts w:ascii="Arial" w:hAnsi="Arial" w:cs="Arial"/>
          <w:sz w:val="24"/>
        </w:rPr>
        <w:t xml:space="preserve">oraz </w:t>
      </w:r>
      <w:r w:rsidRPr="00F571A8">
        <w:rPr>
          <w:rFonts w:ascii="Arial" w:hAnsi="Arial" w:cs="Arial"/>
          <w:sz w:val="24"/>
        </w:rPr>
        <w:t xml:space="preserve">pobierania wynagrodzenia za czynności tłumacza </w:t>
      </w:r>
      <w:r>
        <w:rPr>
          <w:rFonts w:ascii="Arial" w:hAnsi="Arial" w:cs="Arial"/>
          <w:sz w:val="24"/>
        </w:rPr>
        <w:t>p</w:t>
      </w:r>
      <w:r w:rsidRPr="00F571A8">
        <w:rPr>
          <w:rFonts w:ascii="Arial" w:hAnsi="Arial" w:cs="Arial"/>
          <w:sz w:val="24"/>
        </w:rPr>
        <w:t>rzysięgłego, wykonan</w:t>
      </w:r>
      <w:r>
        <w:rPr>
          <w:rFonts w:ascii="Arial" w:hAnsi="Arial" w:cs="Arial"/>
          <w:sz w:val="24"/>
        </w:rPr>
        <w:t>e</w:t>
      </w:r>
      <w:r w:rsidRPr="00F571A8">
        <w:rPr>
          <w:rFonts w:ascii="Arial" w:hAnsi="Arial" w:cs="Arial"/>
          <w:sz w:val="24"/>
        </w:rPr>
        <w:t xml:space="preserve"> na rzecz podmiotów, o których mowa w art. 15 </w:t>
      </w:r>
      <w:bookmarkStart w:id="3" w:name="_Hlk129074586"/>
      <w:r w:rsidRPr="00F571A8">
        <w:rPr>
          <w:rFonts w:ascii="Arial" w:hAnsi="Arial" w:cs="Arial"/>
          <w:sz w:val="24"/>
        </w:rPr>
        <w:t xml:space="preserve">ustawy o </w:t>
      </w:r>
      <w:r w:rsidRPr="00F571A8">
        <w:rPr>
          <w:rFonts w:ascii="Arial" w:hAnsi="Arial" w:cs="Arial"/>
          <w:sz w:val="24"/>
        </w:rPr>
        <w:t>zawodzie tłumacza przysięgłego</w:t>
      </w:r>
      <w:bookmarkEnd w:id="3"/>
      <w:r w:rsidRPr="00F571A8">
        <w:rPr>
          <w:rFonts w:ascii="Arial" w:hAnsi="Arial" w:cs="Arial"/>
          <w:sz w:val="24"/>
        </w:rPr>
        <w:t>, tj. sądu, prokuratora, Policji oraz organów a</w:t>
      </w:r>
      <w:r>
        <w:rPr>
          <w:rFonts w:ascii="Arial" w:hAnsi="Arial" w:cs="Arial"/>
          <w:sz w:val="24"/>
        </w:rPr>
        <w:t>dministracji publicznej</w:t>
      </w:r>
      <w:r>
        <w:rPr>
          <w:rFonts w:ascii="Arial" w:hAnsi="Arial" w:cs="Arial"/>
          <w:sz w:val="24"/>
        </w:rPr>
        <w:t>,</w:t>
      </w:r>
      <w:r w:rsidRPr="0011320F">
        <w:rPr>
          <w:rFonts w:ascii="Arial" w:hAnsi="Arial" w:cs="Arial"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 xml:space="preserve">oceniono </w:t>
      </w:r>
      <w:r w:rsidRPr="00F571A8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211B6D">
        <w:rPr>
          <w:rFonts w:ascii="Arial" w:hAnsi="Arial" w:cs="Arial"/>
          <w:b/>
          <w:sz w:val="24"/>
          <w:szCs w:val="24"/>
        </w:rPr>
        <w:t>z uchybieniami.</w:t>
      </w:r>
      <w:r w:rsidRPr="00211B6D">
        <w:rPr>
          <w:rFonts w:ascii="Arial" w:hAnsi="Arial" w:cs="Arial"/>
          <w:sz w:val="24"/>
        </w:rPr>
        <w:t xml:space="preserve">  </w:t>
      </w:r>
    </w:p>
    <w:p w:rsidR="00704DB3" w:rsidP="00004311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2938E6" w:rsidP="0000431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>elektronicznej</w:t>
      </w:r>
      <w:r w:rsidRPr="00F9166A">
        <w:rPr>
          <w:rFonts w:ascii="Arial" w:hAnsi="Arial" w:cs="Arial"/>
          <w:sz w:val="24"/>
          <w:szCs w:val="24"/>
        </w:rPr>
        <w:t xml:space="preserve">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wpisów.</w:t>
      </w:r>
      <w:r w:rsidRPr="00220816">
        <w:rPr>
          <w:rFonts w:ascii="Arial" w:hAnsi="Arial" w:cs="Arial"/>
          <w:sz w:val="24"/>
        </w:rPr>
        <w:t xml:space="preserve"> </w:t>
      </w:r>
    </w:p>
    <w:p w:rsidR="002938E6" w:rsidP="0000431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Zgodnie z założeniami do kontroli z </w:t>
      </w:r>
      <w:r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 lutego </w:t>
      </w:r>
      <w:r w:rsidRPr="00F571A8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3</w:t>
      </w:r>
      <w:r w:rsidRPr="00F571A8">
        <w:rPr>
          <w:rFonts w:ascii="Arial" w:hAnsi="Arial" w:cs="Arial"/>
          <w:sz w:val="24"/>
        </w:rPr>
        <w:t xml:space="preserve"> r</w:t>
      </w:r>
      <w:r>
        <w:rPr>
          <w:rFonts w:ascii="Arial" w:hAnsi="Arial" w:cs="Arial"/>
          <w:sz w:val="24"/>
        </w:rPr>
        <w:t>.</w:t>
      </w:r>
      <w:r w:rsidRPr="00F571A8">
        <w:rPr>
          <w:rFonts w:ascii="Arial" w:hAnsi="Arial" w:cs="Arial"/>
          <w:sz w:val="24"/>
        </w:rPr>
        <w:t>, analizie poddano ostatni</w:t>
      </w:r>
      <w:r>
        <w:rPr>
          <w:rFonts w:ascii="Arial" w:hAnsi="Arial" w:cs="Arial"/>
          <w:sz w:val="24"/>
        </w:rPr>
        <w:t>ch</w:t>
      </w:r>
      <w:r w:rsidRPr="00F571A8">
        <w:rPr>
          <w:rFonts w:ascii="Arial" w:hAnsi="Arial" w:cs="Arial"/>
          <w:sz w:val="24"/>
        </w:rPr>
        <w:t xml:space="preserve"> 50 wpisów repertorium – licząc</w:t>
      </w:r>
      <w:r w:rsidRPr="00A3046A">
        <w:rPr>
          <w:rFonts w:ascii="Arial" w:hAnsi="Arial" w:cs="Arial"/>
          <w:sz w:val="24"/>
        </w:rPr>
        <w:t xml:space="preserve"> wstecz od </w:t>
      </w:r>
      <w:r w:rsidRPr="008E14B7">
        <w:rPr>
          <w:rFonts w:ascii="Arial" w:hAnsi="Arial" w:cs="Arial"/>
          <w:color w:val="000000" w:themeColor="text1"/>
          <w:sz w:val="24"/>
        </w:rPr>
        <w:t xml:space="preserve">dnia </w:t>
      </w:r>
      <w:r>
        <w:rPr>
          <w:rFonts w:ascii="Arial" w:hAnsi="Arial" w:cs="Arial"/>
          <w:color w:val="000000" w:themeColor="text1"/>
          <w:sz w:val="24"/>
        </w:rPr>
        <w:t xml:space="preserve">rozpoczęcia </w:t>
      </w:r>
      <w:r w:rsidRPr="008E14B7">
        <w:rPr>
          <w:rFonts w:ascii="Arial" w:hAnsi="Arial" w:cs="Arial"/>
          <w:color w:val="000000" w:themeColor="text1"/>
          <w:sz w:val="24"/>
        </w:rPr>
        <w:t xml:space="preserve">kontroli, </w:t>
      </w:r>
      <w:r>
        <w:rPr>
          <w:rFonts w:ascii="Arial" w:hAnsi="Arial" w:cs="Arial"/>
          <w:color w:val="000000" w:themeColor="text1"/>
          <w:sz w:val="24"/>
        </w:rPr>
        <w:br/>
      </w:r>
      <w:r w:rsidRPr="00F571A8">
        <w:rPr>
          <w:rFonts w:ascii="Arial" w:hAnsi="Arial" w:cs="Arial"/>
          <w:sz w:val="24"/>
        </w:rPr>
        <w:t>tj.: w</w:t>
      </w:r>
      <w:r>
        <w:rPr>
          <w:rFonts w:ascii="Arial" w:hAnsi="Arial" w:cs="Arial"/>
          <w:sz w:val="24"/>
        </w:rPr>
        <w:t>pisy za 2023 rok lp.</w:t>
      </w:r>
      <w:r>
        <w:rPr>
          <w:rFonts w:ascii="Arial" w:hAnsi="Arial" w:cs="Arial"/>
          <w:sz w:val="24"/>
        </w:rPr>
        <w:t>: od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16</w:t>
      </w:r>
      <w:r w:rsidRPr="00D854F3">
        <w:rPr>
          <w:rFonts w:ascii="Arial" w:hAnsi="Arial" w:cs="Arial"/>
          <w:sz w:val="24"/>
        </w:rPr>
        <w:t xml:space="preserve"> do </w:t>
      </w:r>
      <w:r>
        <w:rPr>
          <w:rFonts w:ascii="Arial" w:hAnsi="Arial" w:cs="Arial"/>
          <w:sz w:val="24"/>
        </w:rPr>
        <w:t xml:space="preserve">1 oraz za </w:t>
      </w:r>
      <w:r>
        <w:rPr>
          <w:rFonts w:ascii="Arial" w:hAnsi="Arial" w:cs="Arial"/>
          <w:sz w:val="24"/>
        </w:rPr>
        <w:t xml:space="preserve">wpisy za </w:t>
      </w:r>
      <w:r>
        <w:rPr>
          <w:rFonts w:ascii="Arial" w:hAnsi="Arial" w:cs="Arial"/>
          <w:sz w:val="24"/>
        </w:rPr>
        <w:t>2022 r</w:t>
      </w:r>
      <w:r>
        <w:rPr>
          <w:rFonts w:ascii="Arial" w:hAnsi="Arial" w:cs="Arial"/>
          <w:sz w:val="24"/>
        </w:rPr>
        <w:t>ok</w:t>
      </w:r>
      <w:r>
        <w:rPr>
          <w:rFonts w:ascii="Arial" w:hAnsi="Arial" w:cs="Arial"/>
          <w:sz w:val="24"/>
        </w:rPr>
        <w:t xml:space="preserve"> lp.: od 41 do 7</w:t>
      </w:r>
      <w:r w:rsidRPr="00A3046A">
        <w:rPr>
          <w:rFonts w:ascii="Arial" w:hAnsi="Arial" w:cs="Arial"/>
          <w:sz w:val="24"/>
        </w:rPr>
        <w:t>.</w:t>
      </w:r>
      <w:r w:rsidRPr="002938E6">
        <w:rPr>
          <w:rFonts w:ascii="Arial" w:hAnsi="Arial" w:cs="Arial"/>
          <w:sz w:val="24"/>
        </w:rPr>
        <w:t xml:space="preserve"> </w:t>
      </w:r>
    </w:p>
    <w:p w:rsidR="00B32F07" w:rsidRPr="00384A23" w:rsidP="00004311">
      <w:pPr>
        <w:spacing w:before="120" w:after="120" w:line="360" w:lineRule="auto"/>
        <w:ind w:firstLine="709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W</w:t>
      </w:r>
      <w:r w:rsidRPr="0051744E">
        <w:rPr>
          <w:rFonts w:ascii="Arial" w:hAnsi="Arial" w:cs="Arial"/>
          <w:sz w:val="24"/>
        </w:rPr>
        <w:t xml:space="preserve"> zakresie wysokości pobieranych wynagrodzeń na rzecz ww. podmiotów określonych w art. 15 ustawy o zawodzie tłumacza przysięgłego </w:t>
      </w:r>
      <w:r>
        <w:rPr>
          <w:rFonts w:ascii="Arial" w:hAnsi="Arial" w:cs="Arial"/>
          <w:sz w:val="24"/>
        </w:rPr>
        <w:t>kontroli poddano</w:t>
      </w:r>
      <w:r w:rsidRPr="0051744E">
        <w:rPr>
          <w:rFonts w:ascii="Arial" w:hAnsi="Arial" w:cs="Arial"/>
          <w:sz w:val="24"/>
        </w:rPr>
        <w:t xml:space="preserve"> </w:t>
      </w:r>
      <w:bookmarkStart w:id="4" w:name="_Hlk130213876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10 wpisów o l</w:t>
      </w:r>
      <w:r w:rsidRPr="0051744E">
        <w:rPr>
          <w:rFonts w:ascii="Arial" w:hAnsi="Arial" w:cs="Arial"/>
          <w:sz w:val="24"/>
        </w:rPr>
        <w:t>p.:</w:t>
      </w:r>
      <w:r>
        <w:rPr>
          <w:rFonts w:ascii="Arial" w:hAnsi="Arial" w:cs="Arial"/>
          <w:sz w:val="24"/>
        </w:rPr>
        <w:t xml:space="preserve"> 3 i 16 z 2023 r. oraz o lp.: 12, 13, 28, </w:t>
      </w:r>
      <w:r>
        <w:rPr>
          <w:rFonts w:ascii="Arial" w:hAnsi="Arial" w:cs="Arial"/>
          <w:sz w:val="24"/>
        </w:rPr>
        <w:t>30, 38, 39, 40 i 41</w:t>
      </w:r>
      <w:bookmarkEnd w:id="4"/>
      <w:r>
        <w:rPr>
          <w:rFonts w:ascii="Arial" w:hAnsi="Arial" w:cs="Arial"/>
          <w:sz w:val="24"/>
        </w:rPr>
        <w:t xml:space="preserve"> z 2022 r.</w:t>
      </w:r>
    </w:p>
    <w:p w:rsidR="00B41111" w:rsidP="000043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[</w:t>
      </w:r>
      <w:r w:rsidRPr="00507CE4">
        <w:rPr>
          <w:rFonts w:ascii="Arial" w:hAnsi="Arial" w:cs="Arial"/>
          <w:sz w:val="24"/>
        </w:rPr>
        <w:t xml:space="preserve">Dowód: akta kontroli, str. </w:t>
      </w:r>
      <w:r>
        <w:rPr>
          <w:rFonts w:ascii="Arial" w:hAnsi="Arial" w:cs="Arial"/>
          <w:sz w:val="24"/>
        </w:rPr>
        <w:t>7</w:t>
      </w:r>
      <w:r w:rsidRPr="00507CE4">
        <w:rPr>
          <w:rFonts w:ascii="Arial" w:hAnsi="Arial" w:cs="Arial"/>
          <w:sz w:val="24"/>
        </w:rPr>
        <w:t xml:space="preserve"> - 1</w:t>
      </w:r>
      <w:r>
        <w:rPr>
          <w:rFonts w:ascii="Arial" w:hAnsi="Arial" w:cs="Arial"/>
          <w:sz w:val="24"/>
        </w:rPr>
        <w:t>8</w:t>
      </w:r>
      <w:r w:rsidRPr="00507CE4">
        <w:rPr>
          <w:rFonts w:ascii="Arial" w:hAnsi="Arial" w:cs="Arial"/>
          <w:sz w:val="24"/>
        </w:rPr>
        <w:t>]</w:t>
      </w:r>
    </w:p>
    <w:p w:rsidR="00D15423" w:rsidRPr="000E5079" w:rsidP="0000431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w dniu </w:t>
      </w:r>
      <w:r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marca</w:t>
      </w:r>
      <w:r>
        <w:rPr>
          <w:rFonts w:ascii="Arial" w:hAnsi="Arial" w:cs="Arial"/>
          <w:sz w:val="24"/>
        </w:rPr>
        <w:t xml:space="preserve"> 2023 r.</w:t>
      </w:r>
      <w:r>
        <w:rPr>
          <w:rFonts w:ascii="Arial" w:hAnsi="Arial" w:cs="Arial"/>
          <w:sz w:val="24"/>
        </w:rPr>
        <w:t xml:space="preserve"> i 14 marca 2023 r.</w:t>
      </w:r>
      <w:r>
        <w:rPr>
          <w:rFonts w:ascii="Arial" w:hAnsi="Arial" w:cs="Arial"/>
          <w:sz w:val="24"/>
        </w:rPr>
        <w:t xml:space="preserve">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z </w:t>
      </w:r>
      <w:r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marca 2023 r.</w:t>
      </w:r>
      <w:r w:rsidRPr="000E5079">
        <w:rPr>
          <w:rFonts w:ascii="Arial" w:hAnsi="Arial" w:cs="Arial"/>
          <w:sz w:val="24"/>
        </w:rPr>
        <w:t xml:space="preserve">, </w:t>
      </w:r>
      <w:bookmarkStart w:id="5" w:name="_Hlk101258707"/>
      <w:r w:rsidRPr="000E5079">
        <w:rPr>
          <w:rFonts w:ascii="Arial" w:hAnsi="Arial" w:cs="Arial"/>
          <w:sz w:val="24"/>
        </w:rPr>
        <w:t xml:space="preserve">w okresie objętym kontrolą nie miały miejsca </w:t>
      </w:r>
      <w:r w:rsidRPr="000E5079">
        <w:rPr>
          <w:rFonts w:ascii="Arial" w:hAnsi="Arial" w:cs="Arial"/>
          <w:sz w:val="24"/>
        </w:rPr>
        <w:t xml:space="preserve">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2938E6" w:rsidP="0000431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End w:id="5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</w:t>
      </w:r>
      <w:r w:rsidRPr="006B0F6E">
        <w:rPr>
          <w:rFonts w:ascii="Arial" w:hAnsi="Arial" w:cs="Arial"/>
          <w:sz w:val="24"/>
        </w:rPr>
        <w:t>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P="00004311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</w:t>
      </w:r>
      <w:r w:rsidRPr="00FF3DAE">
        <w:rPr>
          <w:rFonts w:ascii="Arial" w:hAnsi="Arial" w:cs="Arial"/>
          <w:sz w:val="24"/>
        </w:rPr>
        <w:t xml:space="preserve">przysięgły </w:t>
      </w:r>
      <w:r w:rsidRPr="00FF3DAE">
        <w:rPr>
          <w:rFonts w:ascii="Arial" w:hAnsi="Arial" w:cs="Arial"/>
          <w:sz w:val="24"/>
        </w:rPr>
        <w:t>nie s</w:t>
      </w:r>
      <w:r w:rsidRPr="00FF3DAE">
        <w:rPr>
          <w:rFonts w:ascii="Arial" w:hAnsi="Arial" w:cs="Arial"/>
          <w:sz w:val="24"/>
        </w:rPr>
        <w:t>pełnił ustawowego obowiązku</w:t>
      </w:r>
      <w:r w:rsidRPr="00FF3DAE">
        <w:rPr>
          <w:rFonts w:ascii="Arial" w:hAnsi="Arial" w:cs="Arial"/>
          <w:sz w:val="24"/>
        </w:rPr>
        <w:t xml:space="preserve"> </w:t>
      </w:r>
      <w:r w:rsidRPr="00FF3DAE">
        <w:rPr>
          <w:rFonts w:ascii="Arial" w:hAnsi="Arial" w:cs="Arial"/>
          <w:sz w:val="24"/>
        </w:rPr>
        <w:t xml:space="preserve">złożenia </w:t>
      </w:r>
      <w:r w:rsidRPr="00F9166A">
        <w:rPr>
          <w:rFonts w:ascii="Arial" w:hAnsi="Arial" w:cs="Arial"/>
          <w:sz w:val="24"/>
        </w:rPr>
        <w:t>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586BC8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>akta kontroli, str.</w:t>
      </w:r>
      <w:r>
        <w:rPr>
          <w:rFonts w:ascii="Arial" w:hAnsi="Arial" w:cs="Arial"/>
          <w:sz w:val="24"/>
        </w:rPr>
        <w:t xml:space="preserve"> </w:t>
      </w:r>
      <w:r w:rsidRPr="00E648E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</w:t>
      </w:r>
      <w:r w:rsidRPr="00E648E3">
        <w:rPr>
          <w:rFonts w:ascii="Arial" w:hAnsi="Arial" w:cs="Arial"/>
          <w:sz w:val="24"/>
        </w:rPr>
        <w:t>-</w:t>
      </w:r>
      <w:r w:rsidRPr="00E648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</w:t>
      </w:r>
      <w:r w:rsidRPr="00E648E3">
        <w:rPr>
          <w:rFonts w:ascii="Arial" w:hAnsi="Arial" w:cs="Arial"/>
          <w:sz w:val="24"/>
        </w:rPr>
        <w:t>]</w:t>
      </w:r>
    </w:p>
    <w:p w:rsidR="00586BC8" w:rsidP="0000431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</w:t>
      </w:r>
      <w:r>
        <w:rPr>
          <w:rFonts w:ascii="Arial" w:hAnsi="Arial" w:cs="Arial"/>
          <w:sz w:val="24"/>
        </w:rPr>
        <w:t xml:space="preserve">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ie stwierdzono nieprawidłowości stosowania</w:t>
      </w:r>
      <w:r>
        <w:rPr>
          <w:rFonts w:ascii="Arial" w:hAnsi="Arial" w:cs="Arial"/>
          <w:sz w:val="24"/>
          <w:szCs w:val="24"/>
        </w:rPr>
        <w:t xml:space="preserve"> </w:t>
      </w:r>
      <w:r w:rsidRPr="007A65DF">
        <w:rPr>
          <w:rFonts w:ascii="Arial" w:hAnsi="Arial" w:cs="Arial"/>
          <w:sz w:val="24"/>
        </w:rPr>
        <w:t>Rozporządzenia Ministra Sprawiedliwości w spraw</w:t>
      </w:r>
      <w:r w:rsidRPr="007A65DF">
        <w:rPr>
          <w:rFonts w:ascii="Arial" w:hAnsi="Arial" w:cs="Arial"/>
          <w:sz w:val="24"/>
        </w:rPr>
        <w:t>ie wynagrodzenia za czynności tłumacza przysięgłego</w:t>
      </w:r>
      <w:r>
        <w:rPr>
          <w:rStyle w:val="FootnoteReference"/>
          <w:rFonts w:ascii="Arial" w:hAnsi="Arial" w:cs="Arial"/>
          <w:sz w:val="24"/>
        </w:rPr>
        <w:footnoteReference w:id="5"/>
      </w:r>
      <w:r>
        <w:rPr>
          <w:rFonts w:ascii="Arial" w:hAnsi="Arial" w:cs="Arial"/>
          <w:sz w:val="24"/>
        </w:rPr>
        <w:t>.</w:t>
      </w:r>
    </w:p>
    <w:p w:rsidR="00DD047A" w:rsidP="00004311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A20F34">
        <w:rPr>
          <w:rFonts w:ascii="Arial" w:hAnsi="Arial" w:cs="Arial"/>
          <w:sz w:val="24"/>
        </w:rPr>
        <w:t xml:space="preserve">W zakresie poprawności prowadzenia </w:t>
      </w:r>
      <w:bookmarkStart w:id="6" w:name="_Hlk86065289"/>
      <w:r w:rsidRPr="00A20F34">
        <w:rPr>
          <w:rFonts w:ascii="Arial" w:hAnsi="Arial" w:cs="Arial"/>
          <w:sz w:val="24"/>
        </w:rPr>
        <w:t xml:space="preserve">repertorium </w:t>
      </w:r>
      <w:bookmarkEnd w:id="6"/>
      <w:r w:rsidRPr="00A20F34">
        <w:rPr>
          <w:rFonts w:ascii="Arial" w:hAnsi="Arial" w:cs="Arial"/>
          <w:sz w:val="24"/>
        </w:rPr>
        <w:t xml:space="preserve">stwierdzono następujące </w:t>
      </w:r>
      <w:r w:rsidRPr="00704DB3">
        <w:rPr>
          <w:rFonts w:ascii="Arial" w:hAnsi="Arial" w:cs="Arial"/>
          <w:sz w:val="24"/>
        </w:rPr>
        <w:t>uchybienia:</w:t>
      </w:r>
    </w:p>
    <w:p w:rsidR="00306739" w:rsidRPr="00DB6FB0" w:rsidP="00DB6FB0">
      <w:pPr>
        <w:spacing w:before="120" w:after="120" w:line="360" w:lineRule="auto"/>
        <w:rPr>
          <w:rFonts w:ascii="Arial" w:hAnsi="Arial" w:cs="Arial"/>
          <w:sz w:val="24"/>
        </w:rPr>
      </w:pPr>
      <w:r w:rsidRPr="00DB6FB0">
        <w:rPr>
          <w:rFonts w:ascii="Arial" w:hAnsi="Arial" w:cs="Arial"/>
          <w:sz w:val="24"/>
        </w:rPr>
        <w:t>N</w:t>
      </w:r>
      <w:r w:rsidRPr="00DB6FB0">
        <w:rPr>
          <w:rFonts w:ascii="Arial" w:hAnsi="Arial" w:cs="Arial"/>
          <w:sz w:val="24"/>
        </w:rPr>
        <w:t>ie</w:t>
      </w:r>
      <w:r>
        <w:rPr>
          <w:rFonts w:ascii="Arial" w:hAnsi="Arial" w:cs="Arial"/>
          <w:sz w:val="24"/>
        </w:rPr>
        <w:t>prawidłowe</w:t>
      </w:r>
      <w:r w:rsidRPr="00DB6FB0">
        <w:rPr>
          <w:rFonts w:ascii="Arial" w:hAnsi="Arial" w:cs="Arial"/>
          <w:sz w:val="24"/>
        </w:rPr>
        <w:t xml:space="preserve"> lub brak</w:t>
      </w:r>
      <w:r w:rsidRPr="00DB6FB0">
        <w:rPr>
          <w:rFonts w:ascii="Arial" w:hAnsi="Arial" w:cs="Arial"/>
          <w:sz w:val="24"/>
        </w:rPr>
        <w:t xml:space="preserve"> odnotowani</w:t>
      </w:r>
      <w:r w:rsidRPr="00DB6FB0">
        <w:rPr>
          <w:rFonts w:ascii="Arial" w:hAnsi="Arial" w:cs="Arial"/>
          <w:sz w:val="24"/>
        </w:rPr>
        <w:t>a</w:t>
      </w:r>
      <w:r w:rsidRPr="00DB6FB0">
        <w:rPr>
          <w:rFonts w:ascii="Arial" w:hAnsi="Arial" w:cs="Arial"/>
          <w:sz w:val="24"/>
        </w:rPr>
        <w:t xml:space="preserve"> w </w:t>
      </w:r>
      <w:bookmarkStart w:id="7" w:name="_Hlk129172887"/>
      <w:r w:rsidRPr="00DB6FB0">
        <w:rPr>
          <w:rFonts w:ascii="Arial" w:hAnsi="Arial" w:cs="Arial"/>
          <w:sz w:val="24"/>
        </w:rPr>
        <w:t>repertorium niektórych ustawowo wymaganych danych, tj.:</w:t>
      </w:r>
    </w:p>
    <w:p w:rsidR="00CF67B3" w:rsidP="00004311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36"/>
        <w:rPr>
          <w:rFonts w:ascii="Arial" w:hAnsi="Arial" w:cs="Arial"/>
          <w:sz w:val="24"/>
        </w:rPr>
      </w:pPr>
      <w:r w:rsidRPr="009972C8">
        <w:rPr>
          <w:rFonts w:ascii="Arial" w:hAnsi="Arial" w:cs="Arial"/>
          <w:sz w:val="24"/>
          <w:szCs w:val="24"/>
        </w:rPr>
        <w:t>N</w:t>
      </w:r>
      <w:r w:rsidRPr="009972C8">
        <w:rPr>
          <w:rFonts w:ascii="Arial" w:hAnsi="Arial" w:cs="Arial"/>
          <w:sz w:val="24"/>
          <w:szCs w:val="24"/>
        </w:rPr>
        <w:t>ie</w:t>
      </w:r>
      <w:r w:rsidRPr="009972C8">
        <w:rPr>
          <w:rFonts w:ascii="Arial" w:hAnsi="Arial" w:cs="Arial"/>
          <w:sz w:val="24"/>
          <w:szCs w:val="24"/>
        </w:rPr>
        <w:t xml:space="preserve">chronologiczne </w:t>
      </w:r>
      <w:r w:rsidRPr="009972C8">
        <w:rPr>
          <w:rFonts w:ascii="Arial" w:hAnsi="Arial" w:cs="Arial"/>
          <w:sz w:val="24"/>
          <w:szCs w:val="24"/>
        </w:rPr>
        <w:t xml:space="preserve">odnotowanie </w:t>
      </w:r>
      <w:r w:rsidRPr="00C1017D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 xml:space="preserve"> </w:t>
      </w:r>
      <w:r w:rsidRPr="00C1017D">
        <w:rPr>
          <w:rFonts w:ascii="Arial" w:hAnsi="Arial" w:cs="Arial"/>
          <w:sz w:val="24"/>
        </w:rPr>
        <w:t xml:space="preserve">w poddanych kontroli </w:t>
      </w:r>
      <w:r>
        <w:rPr>
          <w:rFonts w:ascii="Arial" w:hAnsi="Arial" w:cs="Arial"/>
          <w:sz w:val="24"/>
        </w:rPr>
        <w:t>3</w:t>
      </w:r>
      <w:r w:rsidRPr="00C1017D">
        <w:rPr>
          <w:rFonts w:ascii="Arial" w:hAnsi="Arial" w:cs="Arial"/>
          <w:sz w:val="24"/>
        </w:rPr>
        <w:t xml:space="preserve"> wpisach </w:t>
      </w:r>
      <w:r>
        <w:rPr>
          <w:rFonts w:ascii="Arial" w:hAnsi="Arial" w:cs="Arial"/>
          <w:sz w:val="24"/>
        </w:rPr>
        <w:br/>
      </w:r>
      <w:r w:rsidRPr="00C1017D">
        <w:rPr>
          <w:rFonts w:ascii="Arial" w:hAnsi="Arial" w:cs="Arial"/>
          <w:sz w:val="24"/>
        </w:rPr>
        <w:t xml:space="preserve">lp.: </w:t>
      </w:r>
      <w:r>
        <w:rPr>
          <w:rFonts w:ascii="Arial" w:hAnsi="Arial" w:cs="Arial"/>
          <w:sz w:val="24"/>
        </w:rPr>
        <w:t>12</w:t>
      </w:r>
      <w:r w:rsidRPr="00C1017D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14 z 2023 r.</w:t>
      </w:r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data zlecenia</w:t>
      </w:r>
      <w:r>
        <w:rPr>
          <w:rFonts w:ascii="Arial" w:hAnsi="Arial" w:cs="Arial"/>
          <w:sz w:val="24"/>
        </w:rPr>
        <w:t xml:space="preserve"> tłumaczenia</w:t>
      </w:r>
      <w:r>
        <w:rPr>
          <w:rFonts w:ascii="Arial" w:hAnsi="Arial" w:cs="Arial"/>
          <w:sz w:val="24"/>
        </w:rPr>
        <w:t xml:space="preserve"> 31.01.2023 r., a data zwrotu dokumentu wraz z tłumaczeniem 7.01.2023 r.</w:t>
      </w:r>
      <w:bookmarkEnd w:id="7"/>
      <w:r>
        <w:rPr>
          <w:rFonts w:ascii="Arial" w:hAnsi="Arial" w:cs="Arial"/>
          <w:sz w:val="24"/>
        </w:rPr>
        <w:t>;</w:t>
      </w:r>
    </w:p>
    <w:p w:rsidR="00C1017D" w:rsidRPr="000E5612" w:rsidP="00004311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36"/>
        <w:rPr>
          <w:rFonts w:ascii="Arial" w:hAnsi="Arial" w:cs="Arial"/>
          <w:strike/>
          <w:sz w:val="24"/>
        </w:rPr>
      </w:pPr>
      <w:r>
        <w:rPr>
          <w:rFonts w:ascii="Arial" w:hAnsi="Arial" w:cs="Arial"/>
          <w:sz w:val="24"/>
        </w:rPr>
        <w:t xml:space="preserve">brak </w:t>
      </w:r>
      <w:r>
        <w:rPr>
          <w:rFonts w:ascii="Arial" w:hAnsi="Arial" w:cs="Arial"/>
          <w:sz w:val="24"/>
        </w:rPr>
        <w:t>odnot</w:t>
      </w:r>
      <w:r>
        <w:rPr>
          <w:rFonts w:ascii="Arial" w:hAnsi="Arial" w:cs="Arial"/>
          <w:sz w:val="24"/>
        </w:rPr>
        <w:t xml:space="preserve">owania </w:t>
      </w:r>
      <w:r>
        <w:rPr>
          <w:rFonts w:ascii="Arial" w:hAnsi="Arial" w:cs="Arial"/>
          <w:sz w:val="24"/>
        </w:rPr>
        <w:t xml:space="preserve">daty zwrotu dokumentu wraz z tłumaczeniem w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wpis</w:t>
      </w:r>
      <w:r>
        <w:rPr>
          <w:rFonts w:ascii="Arial" w:hAnsi="Arial" w:cs="Arial"/>
          <w:sz w:val="24"/>
        </w:rPr>
        <w:t>ach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3064FD">
        <w:rPr>
          <w:rFonts w:ascii="Arial" w:hAnsi="Arial" w:cs="Arial"/>
          <w:sz w:val="24"/>
        </w:rPr>
        <w:t>lp.: 11</w:t>
      </w:r>
      <w:r>
        <w:rPr>
          <w:rFonts w:ascii="Arial" w:hAnsi="Arial" w:cs="Arial"/>
          <w:sz w:val="24"/>
        </w:rPr>
        <w:t xml:space="preserve"> i 14</w:t>
      </w:r>
      <w:r w:rsidRPr="003064FD">
        <w:rPr>
          <w:rFonts w:ascii="Arial" w:hAnsi="Arial" w:cs="Arial"/>
          <w:sz w:val="24"/>
        </w:rPr>
        <w:t xml:space="preserve"> z 2022 r.</w:t>
      </w:r>
      <w:r>
        <w:rPr>
          <w:rFonts w:ascii="Arial" w:hAnsi="Arial" w:cs="Arial"/>
          <w:sz w:val="24"/>
        </w:rPr>
        <w:t>;</w:t>
      </w:r>
    </w:p>
    <w:p w:rsidR="00676458" w:rsidRPr="00676458" w:rsidP="00004311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brak </w:t>
      </w:r>
      <w:r w:rsidRPr="00676458">
        <w:rPr>
          <w:rFonts w:ascii="Arial" w:hAnsi="Arial" w:cs="Arial"/>
          <w:sz w:val="24"/>
        </w:rPr>
        <w:t xml:space="preserve">daty dokumentu albo adnotacji o jej braku na tłumaczonym dokumencie – </w:t>
      </w:r>
      <w:r>
        <w:rPr>
          <w:rFonts w:ascii="Arial" w:hAnsi="Arial" w:cs="Arial"/>
          <w:sz w:val="24"/>
        </w:rPr>
        <w:br/>
      </w:r>
      <w:r w:rsidRPr="00676458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7</w:t>
      </w:r>
      <w:r w:rsidRPr="00676458">
        <w:rPr>
          <w:rFonts w:ascii="Arial" w:hAnsi="Arial" w:cs="Arial"/>
          <w:sz w:val="24"/>
        </w:rPr>
        <w:t xml:space="preserve"> wpisach</w:t>
      </w:r>
      <w:r>
        <w:rPr>
          <w:rFonts w:ascii="Arial" w:hAnsi="Arial" w:cs="Arial"/>
          <w:sz w:val="24"/>
        </w:rPr>
        <w:t xml:space="preserve"> </w:t>
      </w:r>
      <w:r w:rsidRPr="00676458">
        <w:rPr>
          <w:rFonts w:ascii="Arial" w:hAnsi="Arial" w:cs="Arial"/>
          <w:sz w:val="24"/>
        </w:rPr>
        <w:t xml:space="preserve">lp.: </w:t>
      </w:r>
      <w:r>
        <w:rPr>
          <w:rFonts w:ascii="Arial" w:hAnsi="Arial" w:cs="Arial"/>
          <w:sz w:val="24"/>
        </w:rPr>
        <w:t xml:space="preserve">7-13 </w:t>
      </w: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 2023 r. oraz w 14 wpisach lp.: 7, 14-15,18, 21-26, 29, </w:t>
      </w:r>
      <w:r>
        <w:rPr>
          <w:rFonts w:ascii="Arial" w:hAnsi="Arial" w:cs="Arial"/>
          <w:sz w:val="24"/>
        </w:rPr>
        <w:br/>
        <w:t>31-32 i 37</w:t>
      </w:r>
      <w:r>
        <w:rPr>
          <w:rFonts w:ascii="Arial" w:hAnsi="Arial" w:cs="Arial"/>
          <w:sz w:val="24"/>
        </w:rPr>
        <w:t xml:space="preserve"> z 2022 r.</w:t>
      </w:r>
      <w:r>
        <w:rPr>
          <w:rFonts w:ascii="Arial" w:hAnsi="Arial" w:cs="Arial"/>
          <w:sz w:val="24"/>
        </w:rPr>
        <w:t>;</w:t>
      </w:r>
    </w:p>
    <w:p w:rsidR="009F182C" w:rsidRPr="00327F6E" w:rsidP="00327F6E">
      <w:pPr>
        <w:pStyle w:val="ListParagraph"/>
        <w:spacing w:before="120" w:after="120" w:line="360" w:lineRule="auto"/>
        <w:ind w:left="567" w:right="-142"/>
        <w:rPr>
          <w:rFonts w:ascii="Arial" w:hAnsi="Arial" w:cs="Arial"/>
          <w:sz w:val="24"/>
        </w:rPr>
      </w:pPr>
      <w:bookmarkStart w:id="8" w:name="_Hlk130803557"/>
      <w:r w:rsidRPr="003064FD">
        <w:rPr>
          <w:rFonts w:ascii="Arial" w:hAnsi="Arial" w:cs="Arial"/>
          <w:sz w:val="24"/>
        </w:rPr>
        <w:t xml:space="preserve">Stosownie do stanowiska Komisji Odpowiedzialności Zawodowej </w:t>
      </w:r>
      <w:r w:rsidRPr="003064FD">
        <w:rPr>
          <w:rFonts w:ascii="Arial" w:hAnsi="Arial" w:cs="Arial"/>
          <w:sz w:val="24"/>
        </w:rPr>
        <w:t>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6"/>
      </w:r>
      <w:bookmarkEnd w:id="8"/>
      <w:r w:rsidRPr="0067645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br/>
      </w:r>
      <w:r w:rsidRPr="00676458">
        <w:rPr>
          <w:rFonts w:ascii="Arial" w:hAnsi="Arial" w:cs="Arial"/>
          <w:sz w:val="24"/>
        </w:rPr>
        <w:t xml:space="preserve">„data dokumentu podobnie jak w innych rubrykach, powinna być pełna i podana zgodnie ze zwyczajem zapisu dat </w:t>
      </w:r>
      <w:r w:rsidRPr="00327F6E">
        <w:rPr>
          <w:rFonts w:ascii="Arial" w:hAnsi="Arial" w:cs="Arial"/>
          <w:sz w:val="24"/>
        </w:rPr>
        <w:t xml:space="preserve">w Polsce (…). W razie braku daty lub </w:t>
      </w:r>
      <w:r w:rsidRPr="00327F6E">
        <w:rPr>
          <w:rFonts w:ascii="Arial" w:hAnsi="Arial" w:cs="Arial"/>
          <w:sz w:val="24"/>
        </w:rPr>
        <w:t>oznaczenia dokumentu, należ</w:t>
      </w:r>
      <w:r w:rsidRPr="00327F6E">
        <w:rPr>
          <w:rFonts w:ascii="Arial" w:hAnsi="Arial" w:cs="Arial"/>
          <w:sz w:val="24"/>
        </w:rPr>
        <w:t>y ten fakt odnotować zwrotem ‘bez oznaczenia’ lub skrótami ‘b.</w:t>
      </w:r>
      <w:r w:rsidRPr="00327F6E">
        <w:rPr>
          <w:rFonts w:ascii="Arial" w:hAnsi="Arial" w:cs="Arial"/>
          <w:sz w:val="24"/>
        </w:rPr>
        <w:t xml:space="preserve"> </w:t>
      </w:r>
      <w:r w:rsidRPr="00327F6E">
        <w:rPr>
          <w:rFonts w:ascii="Arial" w:hAnsi="Arial" w:cs="Arial"/>
          <w:sz w:val="24"/>
        </w:rPr>
        <w:t>d.’ lub ‘b.</w:t>
      </w:r>
      <w:r w:rsidRPr="00327F6E">
        <w:rPr>
          <w:rFonts w:ascii="Arial" w:hAnsi="Arial" w:cs="Arial"/>
          <w:sz w:val="24"/>
        </w:rPr>
        <w:t xml:space="preserve"> </w:t>
      </w:r>
      <w:r w:rsidRPr="00327F6E">
        <w:rPr>
          <w:rFonts w:ascii="Arial" w:hAnsi="Arial" w:cs="Arial"/>
          <w:sz w:val="24"/>
        </w:rPr>
        <w:t>o</w:t>
      </w:r>
      <w:r w:rsidRPr="00327F6E">
        <w:rPr>
          <w:rFonts w:ascii="Arial" w:hAnsi="Arial" w:cs="Arial"/>
          <w:sz w:val="24"/>
        </w:rPr>
        <w:t>.</w:t>
      </w:r>
      <w:r w:rsidRPr="00327F6E">
        <w:rPr>
          <w:rFonts w:ascii="Arial" w:hAnsi="Arial" w:cs="Arial"/>
          <w:sz w:val="24"/>
        </w:rPr>
        <w:t>’”.</w:t>
      </w:r>
    </w:p>
    <w:p w:rsidR="00606FCA" w:rsidP="00004311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</w:t>
      </w:r>
      <w:r>
        <w:rPr>
          <w:rFonts w:ascii="Arial" w:hAnsi="Arial" w:cs="Arial"/>
          <w:sz w:val="24"/>
        </w:rPr>
        <w:t>prawidłowe</w:t>
      </w:r>
      <w:r>
        <w:rPr>
          <w:rFonts w:ascii="Arial" w:hAnsi="Arial" w:cs="Arial"/>
          <w:sz w:val="24"/>
        </w:rPr>
        <w:t xml:space="preserve"> stosowanie liczb porządkowych - w lp. 24 omyłkowo wpisano daty oraz tą sam</w:t>
      </w:r>
      <w:r>
        <w:rPr>
          <w:rFonts w:ascii="Arial" w:hAnsi="Arial" w:cs="Arial"/>
          <w:sz w:val="24"/>
        </w:rPr>
        <w:t>ą</w:t>
      </w:r>
      <w:r>
        <w:rPr>
          <w:rFonts w:ascii="Arial" w:hAnsi="Arial" w:cs="Arial"/>
          <w:sz w:val="24"/>
        </w:rPr>
        <w:t xml:space="preserve"> treść tłumaczenia co w lp. 23 </w:t>
      </w:r>
      <w:r>
        <w:rPr>
          <w:rFonts w:ascii="Arial" w:hAnsi="Arial" w:cs="Arial"/>
          <w:sz w:val="24"/>
        </w:rPr>
        <w:t>-</w:t>
      </w:r>
      <w:r w:rsidRPr="00C45F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takie działania tłumacza przysięgłego zaburzają rzecz</w:t>
      </w:r>
      <w:r>
        <w:rPr>
          <w:rFonts w:ascii="Arial" w:hAnsi="Arial" w:cs="Arial"/>
          <w:sz w:val="24"/>
        </w:rPr>
        <w:t>ywistą liczbę wykonywanych tłumaczeń przysięgłych</w:t>
      </w:r>
      <w:r>
        <w:rPr>
          <w:rFonts w:ascii="Arial" w:hAnsi="Arial" w:cs="Arial"/>
          <w:sz w:val="24"/>
        </w:rPr>
        <w:t>.</w:t>
      </w:r>
    </w:p>
    <w:p w:rsidR="00606FCA" w:rsidRPr="00606FCA" w:rsidP="00004311">
      <w:pPr>
        <w:pStyle w:val="ListParagraph"/>
        <w:spacing w:before="120" w:after="120" w:line="360" w:lineRule="auto"/>
        <w:ind w:left="567" w:righ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Stosownie do stanowiska</w:t>
      </w:r>
      <w:r w:rsidRPr="00731F8C">
        <w:rPr>
          <w:rFonts w:ascii="Arial" w:hAnsi="Arial" w:cs="Arial"/>
          <w:sz w:val="24"/>
        </w:rPr>
        <w:t xml:space="preserve"> KOZTP: „ (…) </w:t>
      </w:r>
      <w:r>
        <w:rPr>
          <w:rFonts w:ascii="Arial" w:hAnsi="Arial" w:cs="Arial"/>
          <w:sz w:val="24"/>
        </w:rPr>
        <w:t xml:space="preserve">pozycja wpisu jest zazwyczaj poprzedzona w repertorium rubryką opatrzoną skrótem „Lp.” oznaczającym </w:t>
      </w:r>
      <w:r w:rsidRPr="00731F8C">
        <w:rPr>
          <w:rFonts w:ascii="Arial" w:hAnsi="Arial" w:cs="Arial"/>
          <w:sz w:val="24"/>
        </w:rPr>
        <w:t>liczba porządkowa</w:t>
      </w:r>
      <w:r>
        <w:rPr>
          <w:rFonts w:ascii="Arial" w:hAnsi="Arial" w:cs="Arial"/>
          <w:sz w:val="24"/>
        </w:rPr>
        <w:t>, która</w:t>
      </w:r>
      <w:r w:rsidRPr="00731F8C">
        <w:rPr>
          <w:rFonts w:ascii="Arial" w:hAnsi="Arial" w:cs="Arial"/>
          <w:sz w:val="24"/>
        </w:rPr>
        <w:t xml:space="preserve"> jest numerem kolejnym wpisu do repertorium. </w:t>
      </w:r>
      <w:r>
        <w:rPr>
          <w:rFonts w:ascii="Arial" w:hAnsi="Arial" w:cs="Arial"/>
          <w:sz w:val="24"/>
        </w:rPr>
        <w:br/>
      </w:r>
      <w:r w:rsidRPr="00731F8C">
        <w:rPr>
          <w:rFonts w:ascii="Arial" w:hAnsi="Arial" w:cs="Arial"/>
          <w:sz w:val="24"/>
        </w:rPr>
        <w:t>Zaleca się, aby liczba porządkowa była pisana cyframi arabskimi, którymi oznacza się wpisy dokonywane od pierwszego do ostatniego dnia danego roku, dla każdego roku oddzielnie</w:t>
      </w:r>
      <w:r>
        <w:rPr>
          <w:rFonts w:ascii="Arial" w:hAnsi="Arial" w:cs="Arial"/>
          <w:sz w:val="24"/>
        </w:rPr>
        <w:t>. Liczba porządkowa wpisu dotyczy z</w:t>
      </w:r>
      <w:r>
        <w:rPr>
          <w:rFonts w:ascii="Arial" w:hAnsi="Arial" w:cs="Arial"/>
          <w:sz w:val="24"/>
        </w:rPr>
        <w:t>awsze jednego dokumentu (…)</w:t>
      </w:r>
      <w:r w:rsidRPr="00731F8C">
        <w:rPr>
          <w:rFonts w:ascii="Arial" w:hAnsi="Arial" w:cs="Arial"/>
          <w:sz w:val="24"/>
        </w:rPr>
        <w:t>”.</w:t>
      </w:r>
    </w:p>
    <w:p w:rsidR="000063E1" w:rsidP="00004311">
      <w:pPr>
        <w:pStyle w:val="ListParagraph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C7775">
        <w:rPr>
          <w:rFonts w:ascii="Arial" w:hAnsi="Arial" w:cs="Arial"/>
          <w:sz w:val="24"/>
        </w:rPr>
        <w:t xml:space="preserve"> [Dowód: akta </w:t>
      </w:r>
      <w:r w:rsidRPr="00507CE4">
        <w:rPr>
          <w:rFonts w:ascii="Arial" w:hAnsi="Arial" w:cs="Arial"/>
          <w:sz w:val="24"/>
        </w:rPr>
        <w:t xml:space="preserve">kontroli, str. </w:t>
      </w:r>
      <w:r>
        <w:rPr>
          <w:rFonts w:ascii="Arial" w:hAnsi="Arial" w:cs="Arial"/>
          <w:sz w:val="24"/>
        </w:rPr>
        <w:t>7</w:t>
      </w:r>
      <w:r w:rsidRPr="00507CE4">
        <w:rPr>
          <w:rFonts w:ascii="Arial" w:hAnsi="Arial" w:cs="Arial"/>
          <w:sz w:val="24"/>
        </w:rPr>
        <w:t xml:space="preserve"> - 1</w:t>
      </w:r>
      <w:r>
        <w:rPr>
          <w:rFonts w:ascii="Arial" w:hAnsi="Arial" w:cs="Arial"/>
          <w:sz w:val="24"/>
        </w:rPr>
        <w:t>8</w:t>
      </w:r>
      <w:r w:rsidRPr="00507CE4">
        <w:rPr>
          <w:rFonts w:ascii="Arial" w:hAnsi="Arial" w:cs="Arial"/>
          <w:sz w:val="24"/>
        </w:rPr>
        <w:t>]</w:t>
      </w:r>
    </w:p>
    <w:p w:rsidR="00D63FB3" w:rsidRPr="00DA4714" w:rsidP="00D63FB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eastAsiaTheme="minorHAnsi" w:cs="Arial"/>
          <w:sz w:val="24"/>
          <w:szCs w:val="24"/>
          <w:lang w:eastAsia="en-US"/>
        </w:rPr>
      </w:pP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Reasumując, w badanym materiale, nie stwierdzono nieprawidłowości, </w:t>
      </w:r>
    </w:p>
    <w:p w:rsidR="00D63FB3" w:rsidRPr="00D63FB3" w:rsidP="00D63FB3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DA4714">
        <w:rPr>
          <w:rFonts w:ascii="Arial" w:hAnsi="Arial" w:eastAsiaTheme="minorHAnsi" w:cs="Arial"/>
          <w:sz w:val="24"/>
          <w:szCs w:val="24"/>
          <w:lang w:eastAsia="en-US"/>
        </w:rPr>
        <w:t>a występujące uchybienia miały charakter powtarzalny oraz występowały w znacznej liczbie, dlatego też zespół kontrolny sf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>ormułował ocenę pozytywną z uchybieniami.</w:t>
      </w:r>
    </w:p>
    <w:p w:rsidR="00203C29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60E5B" w:rsidRPr="00D63FB3" w:rsidP="00D63FB3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 ujawniono</w:t>
      </w:r>
      <w:r>
        <w:rPr>
          <w:rFonts w:ascii="Arial" w:hAnsi="Arial" w:cs="Arial"/>
          <w:sz w:val="24"/>
          <w:szCs w:val="24"/>
        </w:rPr>
        <w:t xml:space="preserve"> u</w:t>
      </w:r>
      <w:r w:rsidRPr="00481187">
        <w:rPr>
          <w:rFonts w:ascii="Arial" w:hAnsi="Arial" w:cs="Arial"/>
          <w:sz w:val="24"/>
          <w:szCs w:val="24"/>
        </w:rPr>
        <w:t xml:space="preserve">chybienia w prowadzeniu </w:t>
      </w:r>
      <w:r w:rsidRPr="00481187">
        <w:rPr>
          <w:rFonts w:ascii="Arial" w:hAnsi="Arial" w:cs="Arial"/>
          <w:sz w:val="24"/>
        </w:rPr>
        <w:t>repertorium</w:t>
      </w:r>
      <w:r w:rsidRPr="00481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81187">
        <w:rPr>
          <w:rFonts w:ascii="Arial" w:hAnsi="Arial" w:cs="Arial"/>
          <w:sz w:val="24"/>
          <w:szCs w:val="24"/>
        </w:rPr>
        <w:t xml:space="preserve">w zakresie stosowania </w:t>
      </w:r>
      <w:r w:rsidRPr="00481187">
        <w:rPr>
          <w:rFonts w:ascii="Arial" w:hAnsi="Arial" w:cs="Arial"/>
          <w:sz w:val="24"/>
        </w:rPr>
        <w:t xml:space="preserve">art. 17 ust. 2 pkt 1 </w:t>
      </w:r>
      <w:r>
        <w:rPr>
          <w:rFonts w:ascii="Arial" w:hAnsi="Arial" w:cs="Arial"/>
          <w:sz w:val="24"/>
        </w:rPr>
        <w:t>i 3</w:t>
      </w:r>
      <w:r w:rsidRPr="00481187">
        <w:rPr>
          <w:rFonts w:ascii="Arial" w:hAnsi="Arial" w:cs="Arial"/>
          <w:sz w:val="24"/>
        </w:rPr>
        <w:t xml:space="preserve"> ustawy o zawodzie tłumacza przysięgłego, tj.: </w:t>
      </w:r>
      <w:r>
        <w:rPr>
          <w:rFonts w:ascii="Arial" w:hAnsi="Arial" w:cs="Arial"/>
          <w:sz w:val="24"/>
          <w:szCs w:val="24"/>
        </w:rPr>
        <w:t>niechronologiczne lub brak</w:t>
      </w:r>
      <w:r w:rsidRPr="00481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odnotowywani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wymaganych danych</w:t>
      </w:r>
      <w:r w:rsidRPr="00481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81187">
        <w:rPr>
          <w:rFonts w:ascii="Arial" w:hAnsi="Arial" w:cs="Arial"/>
          <w:sz w:val="24"/>
        </w:rPr>
        <w:t>w</w:t>
      </w:r>
      <w:r w:rsidRPr="00481187">
        <w:rPr>
          <w:rFonts w:ascii="Arial" w:hAnsi="Arial" w:cs="Arial"/>
          <w:b/>
          <w:sz w:val="24"/>
          <w:szCs w:val="24"/>
        </w:rPr>
        <w:t xml:space="preserve"> </w:t>
      </w:r>
      <w:r w:rsidRPr="00481187">
        <w:rPr>
          <w:rFonts w:ascii="Arial" w:hAnsi="Arial" w:cs="Arial"/>
          <w:sz w:val="24"/>
          <w:szCs w:val="24"/>
        </w:rPr>
        <w:t>zapisie daty przyjęcia zlecenia i daty zwrotu dokumentu,</w:t>
      </w:r>
      <w:r w:rsidRPr="00481187">
        <w:rPr>
          <w:rFonts w:ascii="Arial" w:hAnsi="Arial" w:cs="Arial"/>
          <w:sz w:val="24"/>
        </w:rPr>
        <w:t xml:space="preserve"> </w:t>
      </w:r>
      <w:r w:rsidRPr="00F23E1C">
        <w:rPr>
          <w:rFonts w:ascii="Arial" w:hAnsi="Arial" w:cs="Arial"/>
          <w:sz w:val="24"/>
        </w:rPr>
        <w:t xml:space="preserve">datę dokumentu albo adnotację o jej braku na tłumaczonym dokumencie </w:t>
      </w:r>
      <w:r w:rsidRPr="00481187">
        <w:rPr>
          <w:rFonts w:ascii="Arial" w:hAnsi="Arial" w:cs="Arial"/>
          <w:sz w:val="24"/>
        </w:rPr>
        <w:t xml:space="preserve">oraz </w:t>
      </w:r>
      <w:r>
        <w:rPr>
          <w:rFonts w:ascii="Arial" w:hAnsi="Arial" w:cs="Arial"/>
          <w:sz w:val="24"/>
        </w:rPr>
        <w:t>nieprawidłowe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oznacz</w:t>
      </w:r>
      <w:r>
        <w:rPr>
          <w:rFonts w:ascii="Arial" w:hAnsi="Arial" w:cs="Arial"/>
          <w:sz w:val="24"/>
        </w:rPr>
        <w:t>enie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Lp.</w:t>
      </w:r>
      <w:r>
        <w:rPr>
          <w:rFonts w:ascii="Arial" w:hAnsi="Arial" w:cs="Arial"/>
          <w:sz w:val="24"/>
        </w:rPr>
        <w:t>” numerem, faktycznie tłumaczonego</w:t>
      </w:r>
      <w:r>
        <w:rPr>
          <w:rFonts w:ascii="Arial" w:hAnsi="Arial" w:cs="Arial"/>
          <w:sz w:val="24"/>
        </w:rPr>
        <w:t xml:space="preserve"> dokument</w:t>
      </w:r>
      <w:r>
        <w:rPr>
          <w:rFonts w:ascii="Arial" w:hAnsi="Arial" w:cs="Arial"/>
          <w:sz w:val="24"/>
        </w:rPr>
        <w:t>u</w:t>
      </w:r>
      <w:r w:rsidRPr="00481187">
        <w:rPr>
          <w:rFonts w:ascii="Arial" w:hAnsi="Arial" w:cs="Arial"/>
          <w:sz w:val="24"/>
        </w:rPr>
        <w:t xml:space="preserve"> </w:t>
      </w:r>
      <w:r w:rsidRPr="00481187">
        <w:rPr>
          <w:rFonts w:ascii="Arial" w:hAnsi="Arial" w:cs="Arial"/>
          <w:sz w:val="24"/>
          <w:szCs w:val="24"/>
        </w:rPr>
        <w:t xml:space="preserve">w prowadzonym </w:t>
      </w:r>
      <w:r w:rsidRPr="00481187">
        <w:rPr>
          <w:rFonts w:ascii="Arial" w:hAnsi="Arial" w:cs="Arial"/>
          <w:sz w:val="24"/>
        </w:rPr>
        <w:t>repertorium.</w:t>
      </w:r>
    </w:p>
    <w:p w:rsidR="00951FCF" w:rsidP="000043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>
        <w:rPr>
          <w:rFonts w:ascii="Arial" w:hAnsi="Arial" w:cs="Arial"/>
          <w:sz w:val="24"/>
          <w:szCs w:val="24"/>
        </w:rPr>
        <w:t xml:space="preserve"> </w:t>
      </w:r>
      <w:r w:rsidRPr="00D44855">
        <w:rPr>
          <w:rFonts w:ascii="Arial" w:hAnsi="Arial" w:cs="Arial"/>
          <w:sz w:val="24"/>
          <w:szCs w:val="24"/>
        </w:rPr>
        <w:t>uchybień</w:t>
      </w:r>
      <w:r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>
        <w:rPr>
          <w:rFonts w:ascii="Arial" w:hAnsi="Arial" w:cs="Arial"/>
          <w:sz w:val="24"/>
          <w:szCs w:val="24"/>
        </w:rPr>
        <w:t xml:space="preserve">niezachowanie należytej staranności przy odnotowywaniu wymaganych danych w prowadzonym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E662A" w:rsidRPr="00203C29" w:rsidP="000043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stwierdzonych uc</w:t>
      </w:r>
      <w:r>
        <w:rPr>
          <w:rFonts w:ascii="Arial" w:hAnsi="Arial" w:cs="Arial"/>
          <w:sz w:val="24"/>
          <w:szCs w:val="24"/>
        </w:rPr>
        <w:t xml:space="preserve">hybień jest odstępstwo od stanu pożądanego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postaci nieprawidłowego i nierzetelnego prowadzenia</w:t>
      </w:r>
      <w:r w:rsidRPr="00D63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części wpisów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poprzez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niechronologiczne </w:t>
      </w:r>
      <w:r>
        <w:rPr>
          <w:rFonts w:ascii="Arial" w:hAnsi="Arial" w:cs="Arial"/>
          <w:sz w:val="24"/>
          <w:szCs w:val="24"/>
        </w:rPr>
        <w:t>lub brak zapisu dat oraz nieprawidłowe oznaczenia liczby porządkowej</w:t>
      </w:r>
      <w:r>
        <w:rPr>
          <w:rFonts w:ascii="Arial" w:hAnsi="Arial" w:cs="Arial"/>
          <w:sz w:val="24"/>
          <w:szCs w:val="24"/>
        </w:rPr>
        <w:t>.</w:t>
      </w:r>
    </w:p>
    <w:p w:rsidR="00C55B5B" w:rsidRPr="006315FC" w:rsidP="0000431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Zalecenia lub wnioski dotyczące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usunięcia nieprawidłowości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004311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 xml:space="preserve">W związku z ustaleniami kontroli </w:t>
      </w:r>
      <w:r w:rsidRPr="003D1D2D">
        <w:rPr>
          <w:rFonts w:ascii="Arial" w:hAnsi="Arial" w:eastAsiaTheme="minorHAnsi" w:cs="Arial"/>
          <w:sz w:val="24"/>
          <w:szCs w:val="24"/>
          <w:lang w:eastAsia="en-US"/>
        </w:rPr>
        <w:t>zalecam:</w:t>
      </w:r>
    </w:p>
    <w:p w:rsidR="00C55B5B" w:rsidRPr="006747D7" w:rsidP="00004311">
      <w:pPr>
        <w:pStyle w:val="ListParagraph"/>
        <w:numPr>
          <w:ilvl w:val="0"/>
          <w:numId w:val="20"/>
        </w:numPr>
        <w:spacing w:before="120" w:after="120" w:line="360" w:lineRule="auto"/>
        <w:ind w:left="567" w:hanging="283"/>
        <w:rPr>
          <w:rFonts w:ascii="Arial" w:hAnsi="Arial" w:eastAsiaTheme="minorHAnsi" w:cs="Arial"/>
          <w:sz w:val="24"/>
          <w:szCs w:val="24"/>
          <w:lang w:eastAsia="en-US"/>
        </w:rPr>
      </w:pPr>
      <w:r w:rsidRPr="006747D7">
        <w:rPr>
          <w:rFonts w:ascii="Arial" w:hAnsi="Arial" w:eastAsiaTheme="minorHAnsi" w:cs="Arial"/>
          <w:sz w:val="24"/>
          <w:szCs w:val="24"/>
          <w:lang w:eastAsia="en-US"/>
        </w:rPr>
        <w:t xml:space="preserve">Odnotowywać w </w:t>
      </w:r>
      <w:r w:rsidRPr="006747D7">
        <w:rPr>
          <w:rFonts w:ascii="Arial" w:hAnsi="Arial" w:cs="Arial"/>
          <w:sz w:val="24"/>
        </w:rPr>
        <w:t>repertorium pełne</w:t>
      </w:r>
      <w:r w:rsidRPr="006747D7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6747D7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br/>
      </w:r>
      <w:r w:rsidRPr="006747D7">
        <w:rPr>
          <w:rFonts w:ascii="Arial" w:hAnsi="Arial" w:cs="Arial"/>
          <w:sz w:val="24"/>
        </w:rPr>
        <w:t xml:space="preserve">2 pkt </w:t>
      </w:r>
      <w:r w:rsidRPr="00D019E6"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sz w:val="24"/>
        </w:rPr>
        <w:t>i 3</w:t>
      </w:r>
      <w:r w:rsidRPr="00D019E6">
        <w:rPr>
          <w:rFonts w:ascii="Arial" w:hAnsi="Arial" w:cs="Arial"/>
          <w:sz w:val="24"/>
        </w:rPr>
        <w:t xml:space="preserve"> </w:t>
      </w:r>
      <w:r w:rsidRPr="006747D7">
        <w:rPr>
          <w:rFonts w:ascii="Arial" w:hAnsi="Arial" w:cs="Arial"/>
          <w:sz w:val="24"/>
        </w:rPr>
        <w:t xml:space="preserve"> ustawy o zawodzie tłumacza przysięgłego</w:t>
      </w:r>
      <w:r w:rsidRPr="006747D7">
        <w:rPr>
          <w:rFonts w:ascii="Arial" w:hAnsi="Arial" w:eastAsiaTheme="minorHAnsi" w:cs="Arial"/>
          <w:sz w:val="24"/>
          <w:szCs w:val="24"/>
          <w:lang w:eastAsia="en-US"/>
        </w:rPr>
        <w:t xml:space="preserve">, </w:t>
      </w:r>
      <w:r w:rsidRPr="006747D7">
        <w:rPr>
          <w:rFonts w:ascii="Arial" w:hAnsi="Arial" w:eastAsiaTheme="minorHAnsi" w:cs="Arial"/>
          <w:sz w:val="24"/>
          <w:szCs w:val="24"/>
          <w:lang w:eastAsia="en-US"/>
        </w:rPr>
        <w:t>tj.:</w:t>
      </w:r>
    </w:p>
    <w:p w:rsidR="007773EC" w:rsidP="00004311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d</w:t>
      </w:r>
      <w:r>
        <w:rPr>
          <w:rFonts w:ascii="Arial" w:hAnsi="Arial" w:eastAsiaTheme="minorHAnsi" w:cs="Arial"/>
          <w:sz w:val="24"/>
          <w:szCs w:val="24"/>
          <w:lang w:eastAsia="en-US"/>
        </w:rPr>
        <w:t>atę</w:t>
      </w:r>
      <w:r>
        <w:rPr>
          <w:rFonts w:ascii="Arial" w:hAnsi="Arial" w:eastAsiaTheme="minorHAnsi" w:cs="Arial"/>
          <w:color w:val="FF0000"/>
          <w:sz w:val="24"/>
          <w:szCs w:val="24"/>
          <w:lang w:eastAsia="en-US"/>
        </w:rPr>
        <w:t xml:space="preserve"> </w:t>
      </w:r>
      <w:r w:rsidRPr="00D52672">
        <w:rPr>
          <w:rFonts w:ascii="Arial" w:hAnsi="Arial" w:eastAsiaTheme="minorHAnsi" w:cs="Arial"/>
          <w:sz w:val="24"/>
          <w:szCs w:val="24"/>
          <w:lang w:eastAsia="en-US"/>
        </w:rPr>
        <w:t xml:space="preserve">przyjęcia i </w:t>
      </w:r>
      <w:r>
        <w:rPr>
          <w:rFonts w:ascii="Arial" w:hAnsi="Arial" w:eastAsiaTheme="minorHAnsi" w:cs="Arial"/>
          <w:sz w:val="24"/>
          <w:szCs w:val="24"/>
          <w:lang w:eastAsia="en-US"/>
        </w:rPr>
        <w:t>zwrotu dokumentu wraz z tłumaczeniem;</w:t>
      </w:r>
    </w:p>
    <w:p w:rsidR="0026266D" w:rsidRPr="0026266D" w:rsidP="00004311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004311">
        <w:rPr>
          <w:rFonts w:ascii="Arial" w:hAnsi="Arial" w:cs="Arial"/>
          <w:sz w:val="24"/>
        </w:rPr>
        <w:t>opis tłumaczonego dokumentu, wskazując nazwę, datę i oznaczenie dokumentu</w:t>
      </w:r>
      <w:r>
        <w:rPr>
          <w:rFonts w:ascii="Arial" w:hAnsi="Arial" w:cs="Arial"/>
          <w:sz w:val="24"/>
        </w:rPr>
        <w:t>.</w:t>
      </w:r>
    </w:p>
    <w:p w:rsidR="00004311" w:rsidRPr="005D61DA" w:rsidP="005D61DA">
      <w:pPr>
        <w:pStyle w:val="ListParagraph"/>
        <w:numPr>
          <w:ilvl w:val="0"/>
          <w:numId w:val="20"/>
        </w:numPr>
        <w:spacing w:before="12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06FCA">
        <w:rPr>
          <w:rFonts w:ascii="Arial" w:hAnsi="Arial" w:cs="Arial"/>
          <w:sz w:val="24"/>
          <w:szCs w:val="24"/>
        </w:rPr>
        <w:t xml:space="preserve">Wpisy w repertorium oznaczać </w:t>
      </w:r>
      <w:r>
        <w:rPr>
          <w:rFonts w:ascii="Arial" w:hAnsi="Arial" w:cs="Arial"/>
          <w:sz w:val="24"/>
          <w:szCs w:val="24"/>
        </w:rPr>
        <w:t>według kolejności</w:t>
      </w:r>
      <w:r>
        <w:rPr>
          <w:rFonts w:ascii="Arial" w:hAnsi="Arial" w:cs="Arial"/>
          <w:sz w:val="24"/>
          <w:szCs w:val="24"/>
        </w:rPr>
        <w:t xml:space="preserve"> </w:t>
      </w:r>
      <w:r w:rsidRPr="00606FCA">
        <w:rPr>
          <w:rFonts w:ascii="Arial" w:hAnsi="Arial" w:cs="Arial"/>
          <w:sz w:val="24"/>
          <w:szCs w:val="24"/>
        </w:rPr>
        <w:t>pojedynczymi liczbami porządkowymi</w:t>
      </w:r>
      <w:r>
        <w:rPr>
          <w:rFonts w:ascii="Arial" w:hAnsi="Arial" w:cs="Arial"/>
          <w:sz w:val="24"/>
          <w:szCs w:val="24"/>
        </w:rPr>
        <w:t xml:space="preserve"> faktycznie wykonanych tłumaczeń.</w:t>
      </w:r>
    </w:p>
    <w:p w:rsidR="00C55B5B" w:rsidRPr="000014DB" w:rsidP="00004311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iewykorzystania, o podjętych działaniach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6747D7" w:rsidRPr="00507CE4" w:rsidP="00507CE4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o kontroli w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5D61DA" w:rsidP="005D61DA">
      <w:pPr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5103"/>
        <w:jc w:val="center"/>
        <w:rPr>
          <w:rFonts w:eastAsia="Arial" w:cs="Arial"/>
          <w:b/>
          <w:color w:val="FF0000"/>
        </w:rPr>
      </w:pPr>
    </w:p>
    <w:p w:rsidR="001D392F" w:rsidRPr="001D392F" w:rsidP="001D392F">
      <w:pPr>
        <w:tabs>
          <w:tab w:val="left" w:pos="-7371"/>
          <w:tab w:val="center" w:pos="5387"/>
          <w:tab w:val="right" w:pos="9072"/>
        </w:tabs>
        <w:spacing w:before="120" w:after="480" w:line="360" w:lineRule="auto"/>
        <w:ind w:left="5103"/>
        <w:jc w:val="center"/>
        <w:rPr>
          <w:rFonts w:eastAsia="Arial" w:cs="Arial"/>
          <w:b/>
          <w:color w:val="FF0000"/>
        </w:rPr>
      </w:pPr>
      <w:r w:rsidRPr="001D392F">
        <w:rPr>
          <w:rFonts w:eastAsia="Arial" w:cs="Arial"/>
          <w:b/>
          <w:color w:val="FF0000"/>
        </w:rPr>
        <w:t>Z up. Wojewody Opolskieg</w:t>
      </w:r>
      <w:r>
        <w:rPr>
          <w:rFonts w:eastAsia="Arial" w:cs="Arial"/>
          <w:b/>
          <w:color w:val="FF0000"/>
        </w:rPr>
        <w:t>o</w:t>
      </w:r>
    </w:p>
    <w:p w:rsidR="001D392F" w:rsidRPr="001D392F" w:rsidP="001D392F">
      <w:pPr>
        <w:tabs>
          <w:tab w:val="left" w:pos="-7371"/>
          <w:tab w:val="center" w:pos="5387"/>
          <w:tab w:val="right" w:pos="9072"/>
        </w:tabs>
        <w:spacing w:after="0" w:line="240" w:lineRule="auto"/>
        <w:ind w:left="5103"/>
        <w:jc w:val="center"/>
        <w:rPr>
          <w:rFonts w:eastAsia="Arial" w:cs="Arial"/>
          <w:b/>
          <w:color w:val="FF0000"/>
        </w:rPr>
      </w:pPr>
      <w:r w:rsidRPr="001D392F">
        <w:rPr>
          <w:rFonts w:eastAsia="Arial" w:cs="Arial"/>
          <w:b/>
          <w:color w:val="FF0000"/>
        </w:rPr>
        <w:t>Katarzyna Piasecka</w:t>
      </w:r>
    </w:p>
    <w:p w:rsidR="001D392F" w:rsidRPr="001D392F" w:rsidP="001D392F">
      <w:pPr>
        <w:tabs>
          <w:tab w:val="left" w:pos="-7371"/>
          <w:tab w:val="center" w:pos="5387"/>
          <w:tab w:val="right" w:pos="9072"/>
        </w:tabs>
        <w:spacing w:after="0" w:line="240" w:lineRule="auto"/>
        <w:ind w:left="5103"/>
        <w:jc w:val="center"/>
        <w:rPr>
          <w:rFonts w:eastAsia="Arial" w:cs="Arial"/>
          <w:b/>
          <w:color w:val="FF0000"/>
        </w:rPr>
      </w:pPr>
      <w:r w:rsidRPr="001D392F">
        <w:rPr>
          <w:rFonts w:eastAsia="Arial" w:cs="Arial"/>
          <w:b/>
          <w:color w:val="FF0000"/>
        </w:rPr>
        <w:t>Zastępca Dyrektora Wydziału</w:t>
      </w:r>
    </w:p>
    <w:p w:rsidR="001D392F" w:rsidRPr="005D61DA" w:rsidP="001D392F">
      <w:pPr>
        <w:tabs>
          <w:tab w:val="left" w:pos="-7371"/>
          <w:tab w:val="center" w:pos="5387"/>
          <w:tab w:val="right" w:pos="9072"/>
        </w:tabs>
        <w:spacing w:after="480" w:line="240" w:lineRule="auto"/>
        <w:ind w:left="5103"/>
        <w:jc w:val="center"/>
        <w:rPr>
          <w:rFonts w:eastAsia="Arial" w:cs="Arial"/>
          <w:b/>
          <w:color w:val="FF0000"/>
        </w:rPr>
      </w:pPr>
      <w:r w:rsidRPr="001D392F">
        <w:rPr>
          <w:rFonts w:eastAsia="Arial" w:cs="Arial"/>
          <w:b/>
          <w:color w:val="FF0000"/>
        </w:rPr>
        <w:t>Prawnego i Nadzoru</w:t>
      </w:r>
    </w:p>
    <w:p w:rsidR="00507CE4" w:rsidRPr="0034094E" w:rsidP="00507CE4">
      <w:pPr>
        <w:spacing w:before="120" w:after="12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sectPr w:rsidSect="003B6AE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5245E" w:rsidP="005E4DEB">
      <w:pPr>
        <w:spacing w:after="0" w:line="240" w:lineRule="auto"/>
      </w:pPr>
      <w:r>
        <w:separator/>
      </w:r>
    </w:p>
  </w:footnote>
  <w:footnote w:type="continuationSeparator" w:id="1">
    <w:p w:rsidR="0045245E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2938E6" w:rsidRPr="0011756B" w:rsidP="002938E6">
      <w:pPr>
        <w:pStyle w:val="FootnoteText"/>
        <w:rPr>
          <w:rFonts w:ascii="Arial" w:hAnsi="Arial" w:cs="Arial"/>
          <w:strike/>
          <w:color w:val="FF0000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</w:t>
      </w:r>
      <w:r w:rsidRPr="00A81205">
        <w:rPr>
          <w:rFonts w:ascii="Arial" w:hAnsi="Arial" w:cs="Arial"/>
          <w:shd w:val="clear" w:color="auto" w:fill="FFFFFF"/>
        </w:rPr>
        <w:t>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5">
    <w:p w:rsidR="00586BC8" w:rsidRPr="00D15423" w:rsidP="00586BC8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</w:t>
      </w:r>
      <w:r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>
        <w:rPr>
          <w:rFonts w:ascii="Arial" w:hAnsi="Arial" w:cs="Arial"/>
        </w:rPr>
        <w:t>. Dalej: Rozporządzenie.</w:t>
      </w:r>
    </w:p>
  </w:footnote>
  <w:footnote w:id="6">
    <w:p w:rsidR="00327F6E" w:rsidRPr="00544F0D" w:rsidP="00327F6E">
      <w:pPr>
        <w:pStyle w:val="FootnoteText"/>
        <w:rPr>
          <w:rFonts w:ascii="Arial" w:hAnsi="Arial" w:cs="Arial"/>
          <w:sz w:val="18"/>
          <w:szCs w:val="18"/>
        </w:rPr>
      </w:pPr>
      <w:r w:rsidRPr="00DF489A">
        <w:rPr>
          <w:rStyle w:val="FootnoteReference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E7322A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75158C"/>
    <w:multiLevelType w:val="hybridMultilevel"/>
    <w:tmpl w:val="96CA3134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B2E"/>
    <w:multiLevelType w:val="hybridMultilevel"/>
    <w:tmpl w:val="A8FA234C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0">
    <w:nsid w:val="73C11040"/>
    <w:multiLevelType w:val="multilevel"/>
    <w:tmpl w:val="FDDA2FFE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6"/>
  </w:num>
  <w:num w:numId="5">
    <w:abstractNumId w:val="20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10"/>
  </w:num>
  <w:num w:numId="11">
    <w:abstractNumId w:val="18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7"/>
  </w:num>
  <w:num w:numId="19">
    <w:abstractNumId w:val="21"/>
  </w:num>
  <w:num w:numId="20">
    <w:abstractNumId w:val="1"/>
  </w:num>
  <w:num w:numId="21">
    <w:abstractNumId w:val="23"/>
  </w:num>
  <w:num w:numId="22">
    <w:abstractNumId w:val="6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DCC1-C79B-4E16-96CF-AF500E12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21</cp:revision>
  <cp:lastPrinted>2023-03-10T06:40:00Z</cp:lastPrinted>
  <dcterms:created xsi:type="dcterms:W3CDTF">2023-03-15T11:26:00Z</dcterms:created>
  <dcterms:modified xsi:type="dcterms:W3CDTF">2023-03-28T10:16:00Z</dcterms:modified>
</cp:coreProperties>
</file>