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81" w:rsidRPr="0097128D" w:rsidRDefault="00B17FED" w:rsidP="001D5581">
      <w:pPr>
        <w:tabs>
          <w:tab w:val="left" w:pos="7621"/>
        </w:tabs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Załącznik nr 2</w:t>
      </w:r>
    </w:p>
    <w:p w:rsidR="001D5581" w:rsidRPr="0097128D" w:rsidRDefault="00B17FED" w:rsidP="001D5581">
      <w:pPr>
        <w:spacing w:before="120" w:after="24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OPIS PROGRAMU</w:t>
      </w:r>
    </w:p>
    <w:p w:rsidR="001D5581" w:rsidRPr="0097128D" w:rsidRDefault="001D5581" w:rsidP="001D5581">
      <w:pPr>
        <w:spacing w:before="120" w:after="24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Opis </w:t>
      </w:r>
      <w:r w:rsidRPr="0097128D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Programu kontroli jakości opieki nad dziećmi chorymi na nowotwory ośrodkowego układu nerwowego </w:t>
      </w: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na lata 2019-2021:</w:t>
      </w:r>
    </w:p>
    <w:p w:rsidR="001D5581" w:rsidRPr="0097128D" w:rsidRDefault="001D5581" w:rsidP="001D5581">
      <w:pPr>
        <w:spacing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Cele ogólne Programu:</w:t>
      </w:r>
    </w:p>
    <w:p w:rsidR="001D5581" w:rsidRPr="0097128D" w:rsidRDefault="001D5581" w:rsidP="001D5581">
      <w:pPr>
        <w:spacing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sz w:val="24"/>
          <w:szCs w:val="24"/>
          <w:lang w:eastAsia="pl-PL"/>
        </w:rPr>
        <w:t>Poprawa wyników leczenia i jakości życia dzieci z nowotworami ośrodkowego układu nerwowego (OUN).</w:t>
      </w:r>
    </w:p>
    <w:p w:rsidR="001D5581" w:rsidRPr="0097128D" w:rsidRDefault="001D5581" w:rsidP="001D5581">
      <w:pPr>
        <w:spacing w:before="240"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Cele szczegółowe Programu:</w:t>
      </w:r>
      <w:bookmarkStart w:id="0" w:name="_GoBack"/>
      <w:bookmarkEnd w:id="0"/>
    </w:p>
    <w:p w:rsidR="001D5581" w:rsidRPr="0097128D" w:rsidRDefault="001D5581" w:rsidP="001D5581">
      <w:pPr>
        <w:widowControl w:val="0"/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128D">
        <w:rPr>
          <w:rFonts w:eastAsia="Times New Roman" w:cstheme="minorHAnsi"/>
          <w:sz w:val="24"/>
          <w:szCs w:val="24"/>
          <w:lang w:eastAsia="pl-PL"/>
        </w:rPr>
        <w:t xml:space="preserve">Wypracowanie optymalnych metod kompleksowego leczenia poszczególnych rodzajów nowotworów OUN u dzieci, obejmujących identyfikację molekularnych czynników prognostycznych oraz stratyfikację pacjentów do odpowiednich leczniczych grup ryzyka. </w:t>
      </w:r>
    </w:p>
    <w:p w:rsidR="001D5581" w:rsidRPr="0097128D" w:rsidRDefault="001D5581" w:rsidP="001D5581">
      <w:pPr>
        <w:widowControl w:val="0"/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128D">
        <w:rPr>
          <w:rFonts w:eastAsia="Times New Roman" w:cstheme="minorHAnsi"/>
          <w:sz w:val="24"/>
          <w:szCs w:val="24"/>
          <w:lang w:eastAsia="pl-PL"/>
        </w:rPr>
        <w:t>Zmniejszenie toksyczności i późnych następstw leczenia.</w:t>
      </w:r>
    </w:p>
    <w:p w:rsidR="001D5581" w:rsidRPr="0097128D" w:rsidRDefault="001D5581" w:rsidP="001D5581">
      <w:pPr>
        <w:widowControl w:val="0"/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128D">
        <w:rPr>
          <w:rFonts w:eastAsia="Times New Roman" w:cstheme="minorHAnsi"/>
          <w:sz w:val="24"/>
          <w:szCs w:val="24"/>
          <w:lang w:eastAsia="pl-PL"/>
        </w:rPr>
        <w:t>Zredukowanie kosztów leczenia.</w:t>
      </w:r>
    </w:p>
    <w:p w:rsidR="001D5581" w:rsidRPr="0097128D" w:rsidRDefault="001D5581" w:rsidP="001D5581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Opis Programu:</w:t>
      </w:r>
    </w:p>
    <w:p w:rsidR="001D5581" w:rsidRPr="0097128D" w:rsidRDefault="001D5581" w:rsidP="001D5581">
      <w:pPr>
        <w:widowControl w:val="0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128D">
        <w:rPr>
          <w:rFonts w:eastAsia="Times New Roman" w:cstheme="minorHAnsi"/>
          <w:sz w:val="24"/>
          <w:szCs w:val="24"/>
          <w:lang w:eastAsia="pl-PL"/>
        </w:rPr>
        <w:t xml:space="preserve">Nowotwory ośrodkowego układu nerwowego (OUN) są najczęstszymi guzami litymi u dzieci,  a po białaczkach najczęściej występującymi nowotworami w populacji pediatrycznej. Stanowią ponad 20% wszystkich zachorowań na nowotwory. Szacuje się że zachorowalność na nowotwory OUN w Polsce wynosi rocznie 17-29 na 1 milion populacji w wieku od 0 do 17 roku życia. Z tego względu, nowotwory OUN należą do chorób rzadkich. Jest to heterogenna grupa schorzeń często stanowiąca u dzieci problemy diagnostyczno-terapeutyczne. Wyniki leczenia w niektórych typach nowotworów OUN nie są satysfakcjonujące (np. glejaki w IV stopniu WHO). Dzięki wprowadzeniu w 2006 „Narodowego programu zwalczania chorób nowotworowych”, który swoimi działaniami objął także populację dziecięcą, możliwe było wprowadzenie i modyfikowanie ujednoliconego programu diagnostyki i kompleksowego leczenia tych schorzeń. Dzięki kompleksowemu postępowaniu, obejmującemu: centralną weryfikację badań patomorfologicznych i immunofenotypu, wykonywanie badań molekularnych wybranych onkogenów, weryfikacje przebiegu i sposobu leczenia, wyniki leczenia dzieci z nowotworami OUN w Polsce w ostatnim dziesięcioleciu uległy znacznej poprawie i nie odbiegają od wyników uzyskiwanych w najlepszych ośrodkach światowych. </w:t>
      </w:r>
    </w:p>
    <w:p w:rsidR="001D5581" w:rsidRPr="0097128D" w:rsidRDefault="001D5581" w:rsidP="001D5581">
      <w:pPr>
        <w:widowControl w:val="0"/>
        <w:spacing w:after="12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sz w:val="24"/>
          <w:szCs w:val="24"/>
          <w:lang w:eastAsia="pl-PL"/>
        </w:rPr>
        <w:t>Działania do realizacji:</w:t>
      </w:r>
    </w:p>
    <w:p w:rsidR="001D5581" w:rsidRPr="0097128D" w:rsidRDefault="001D5581" w:rsidP="001D5581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>1. Prowadzenie centralnej weryfikacji badań patomorfologicznych i immunofenotypu.</w:t>
      </w:r>
    </w:p>
    <w:p w:rsidR="001D5581" w:rsidRPr="0097128D" w:rsidRDefault="001D5581" w:rsidP="001D5581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>2. Badanie molekularne wybranych onkogenów.</w:t>
      </w:r>
    </w:p>
    <w:p w:rsidR="001D5581" w:rsidRPr="0097128D" w:rsidRDefault="001D5581" w:rsidP="001D5581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>3. Zakup przeciwciał do badań molekularnych.</w:t>
      </w:r>
    </w:p>
    <w:p w:rsidR="001D5581" w:rsidRPr="0097128D" w:rsidRDefault="001D5581" w:rsidP="001D5581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 xml:space="preserve">4. Wykrywanie uznanych markerów biologicznych dla celów diagnostycznych i leczniczych. Finansowaniu podlega: zakup odczynników do izolacji DNA, sekwencjonowanie ogółem, zakup </w:t>
      </w:r>
      <w:r w:rsidRPr="0097128D">
        <w:rPr>
          <w:rFonts w:eastAsia="Times New Roman" w:cstheme="minorHAnsi"/>
          <w:bCs/>
          <w:sz w:val="24"/>
          <w:szCs w:val="24"/>
          <w:lang w:eastAsia="pl-PL"/>
        </w:rPr>
        <w:lastRenderedPageBreak/>
        <w:t>sond i odczynników do MLPA, zakup sond i odczynników do FISH oraz zakup przeciwciał i odczynników do immunohistochemii.</w:t>
      </w:r>
    </w:p>
    <w:p w:rsidR="001D5581" w:rsidRPr="0097128D" w:rsidRDefault="001D5581" w:rsidP="001D5581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>5. Weryfikacja przebiegu i sposobu leczenia - polegająca na dokonaniu analizy dokumentacji  radiologicznej, analizy dokumentacji klinicznej oraz opracowaniu zaleceń dotyczących przebiegu i sposobu leczenia pacjenta. W skład zespołu koordynatorów programu wchodzą: pediatra onkolog, radiolog, neurochirurg.</w:t>
      </w:r>
    </w:p>
    <w:p w:rsidR="001D5581" w:rsidRPr="0097128D" w:rsidRDefault="001D5581" w:rsidP="001D5581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 xml:space="preserve">6. Organizacja 2 sesji weryfikacyjnych dla patomorfologów, radiologów, pediatrów onkologów z ośrodków współpracujących. Finansowaniu podlegać będą </w:t>
      </w:r>
      <w:r w:rsidRPr="0097128D">
        <w:rPr>
          <w:rFonts w:eastAsia="Times New Roman" w:cstheme="minorHAnsi"/>
          <w:bCs/>
          <w:sz w:val="24"/>
          <w:szCs w:val="24"/>
          <w:u w:val="single"/>
          <w:lang w:eastAsia="pl-PL"/>
        </w:rPr>
        <w:t>wyłącznie</w:t>
      </w:r>
      <w:r w:rsidRPr="0097128D">
        <w:rPr>
          <w:rFonts w:eastAsia="Times New Roman" w:cstheme="minorHAnsi"/>
          <w:bCs/>
          <w:sz w:val="24"/>
          <w:szCs w:val="24"/>
          <w:lang w:eastAsia="pl-PL"/>
        </w:rPr>
        <w:t xml:space="preserve"> następujące koszty: podróży uczestników najbardziej ekonomicznym środkiem transportu, noclegów uczestników, wynajmu sali, usługi gastronomicznej (cateringu), wynajmu sprzętu medycznego (np. mikroskopów), wydruku/zakupu materiałów konferencyjnych/ szkoleniowych, prowadzenia wykładów, obsługi administracyjnej.</w:t>
      </w:r>
    </w:p>
    <w:p w:rsidR="001D5581" w:rsidRPr="0097128D" w:rsidRDefault="001D5581" w:rsidP="001D5581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Populacja badana:</w:t>
      </w:r>
    </w:p>
    <w:p w:rsidR="001D5581" w:rsidRPr="0097128D" w:rsidRDefault="001D5581" w:rsidP="001D5581">
      <w:pPr>
        <w:spacing w:after="12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 xml:space="preserve">Dzieci i młodzież do 18 r.ż., u których zdiagnozowano nowotwór ośrodkowego układu nerwowego. </w:t>
      </w:r>
    </w:p>
    <w:p w:rsidR="001D5581" w:rsidRPr="0097128D" w:rsidRDefault="001D5581" w:rsidP="001D5581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Ogólne warunki realizacji zadania:</w:t>
      </w:r>
    </w:p>
    <w:p w:rsidR="001D5581" w:rsidRPr="0097128D" w:rsidRDefault="001D5581" w:rsidP="001D5581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highlight w:val="cyan"/>
          <w:lang w:eastAsia="pl-PL"/>
        </w:rPr>
      </w:pPr>
      <w:r w:rsidRPr="0097128D">
        <w:rPr>
          <w:rFonts w:cstheme="minorHAnsi"/>
          <w:bCs/>
          <w:sz w:val="24"/>
          <w:szCs w:val="24"/>
        </w:rPr>
        <w:t>Wykaz limitów kosztów, możliwych do rozliczania w ramach organizacji sesji weryfikacyjnych:</w:t>
      </w:r>
    </w:p>
    <w:p w:rsidR="001D5581" w:rsidRPr="0097128D" w:rsidRDefault="001D5581" w:rsidP="001D558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7128D">
        <w:rPr>
          <w:rFonts w:asciiTheme="minorHAnsi" w:hAnsiTheme="minorHAnsi" w:cstheme="minorHAnsi"/>
          <w:bCs/>
          <w:sz w:val="24"/>
          <w:szCs w:val="24"/>
        </w:rPr>
        <w:t>Koszty wynajęcia sal wykładowych (cena max. na osobę – 40 zł, jednak nie więcej niż 3 500 zł za dzień). W przypadku, gdy realizator zorganizuje spotkanie w swojej siedzibie, koszty wynajmu sali nie będą refundowane,</w:t>
      </w:r>
    </w:p>
    <w:p w:rsidR="001D5581" w:rsidRPr="0097128D" w:rsidRDefault="001D5581" w:rsidP="001D558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7128D">
        <w:rPr>
          <w:rFonts w:asciiTheme="minorHAnsi" w:hAnsiTheme="minorHAnsi" w:cstheme="minorHAnsi"/>
          <w:bCs/>
          <w:sz w:val="24"/>
          <w:szCs w:val="24"/>
        </w:rPr>
        <w:t>Koszty wynagrodzenia wykładowców – max. 500 zł dla osoby posiadającej co najmniej stopień naukowy doktora oraz max. 300 zł dla pozostałych osób (za godzinę wykładową tj. min. 45 min.),</w:t>
      </w:r>
    </w:p>
    <w:p w:rsidR="001D5581" w:rsidRPr="0097128D" w:rsidRDefault="001D5581" w:rsidP="001D558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7128D">
        <w:rPr>
          <w:rFonts w:asciiTheme="minorHAnsi" w:hAnsiTheme="minorHAnsi" w:cstheme="minorHAnsi"/>
          <w:bCs/>
          <w:sz w:val="24"/>
          <w:szCs w:val="24"/>
        </w:rPr>
        <w:t>Koszty  dojazdów (najbardziej ekonomicznym środkiem transportu):</w:t>
      </w:r>
    </w:p>
    <w:p w:rsidR="001D5581" w:rsidRPr="0097128D" w:rsidRDefault="001D5581" w:rsidP="001D5581">
      <w:pPr>
        <w:pStyle w:val="Akapitzlist"/>
        <w:tabs>
          <w:tab w:val="left" w:pos="0"/>
          <w:tab w:val="left" w:pos="284"/>
        </w:tabs>
        <w:spacing w:after="120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7128D">
        <w:rPr>
          <w:rFonts w:asciiTheme="minorHAnsi" w:hAnsiTheme="minorHAnsi" w:cstheme="minorHAnsi"/>
          <w:bCs/>
          <w:sz w:val="24"/>
          <w:szCs w:val="24"/>
        </w:rPr>
        <w:t>Pod pojęciem podróży najbardziej ekonomicznym środkiem transportu Zleceniodawca rozumie podróż za pośrednictwem PKP – 2 klasą, PKS lub miejskiego zakładu komunikacji. W przypadku braku możliwości wykorzystania powyższych środków transportu na trasie dojazdu na spotkanie, Zleceniobiorca może wykorzystać jako środek transportu samochód osobowy zgodnie z rozporządzeniem Ministra Pracy i Polityki Społecznej z dnia 29 stycznia 2013 r. w sprawie należności przysługujących pracownikowi zatrudnionemu w państwowej lub samorządowej jednostce sfery budżetowej z tytułu podróży służbowej (Dz. U. 2013 r. poz. 167). W przypadku konieczności wykorzystania innego, niż wymienione środka transportu, należy przedstawić stosowne uzasadnienie dlaczego konieczne jest jego wykorzystanie, wraz z analizą kosztów podróży pozostałymi środkami (PKP, PKS, MZK, samochód osobowy) w tym samym terminie. W przypadku, jeżeli koszty podróży środkiem transportu innym niż wskazane będzie wyższy, wówczas przysługuje rozliczenie kosztów podróży do wysokości kwoty najbardziej ekonomicznego z nich,</w:t>
      </w:r>
    </w:p>
    <w:p w:rsidR="001D5581" w:rsidRPr="0097128D" w:rsidRDefault="001D5581" w:rsidP="001D558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7128D">
        <w:rPr>
          <w:rFonts w:asciiTheme="minorHAnsi" w:hAnsiTheme="minorHAnsi" w:cstheme="minorHAnsi"/>
          <w:bCs/>
          <w:sz w:val="24"/>
          <w:szCs w:val="24"/>
        </w:rPr>
        <w:t>Koszty usługi gastronomicznej (cateringu) - max. 35 zł za osobę na dzień,</w:t>
      </w:r>
    </w:p>
    <w:p w:rsidR="001D5581" w:rsidRPr="0097128D" w:rsidRDefault="001D5581" w:rsidP="001D558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7128D">
        <w:rPr>
          <w:rFonts w:asciiTheme="minorHAnsi" w:hAnsiTheme="minorHAnsi" w:cstheme="minorHAnsi"/>
          <w:bCs/>
          <w:sz w:val="24"/>
          <w:szCs w:val="24"/>
        </w:rPr>
        <w:lastRenderedPageBreak/>
        <w:t>Koszty noclegów dla wykładowców i uczestników sesji – max. 220 zł za osobę za dzień,</w:t>
      </w:r>
    </w:p>
    <w:p w:rsidR="001D5581" w:rsidRPr="0097128D" w:rsidRDefault="001D5581" w:rsidP="001D5581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 w:rsidRPr="0097128D">
        <w:rPr>
          <w:rFonts w:eastAsia="Times New Roman" w:cstheme="minorHAnsi"/>
          <w:bCs/>
          <w:sz w:val="24"/>
          <w:szCs w:val="24"/>
        </w:rPr>
        <w:t>Koszty obsługi administracyjnej – max. 10% łącznej kwoty środków przeznaczonych na organizację sesji weryfikacyjnych,</w:t>
      </w:r>
    </w:p>
    <w:p w:rsidR="001D5581" w:rsidRPr="0097128D" w:rsidRDefault="001D5581" w:rsidP="001D5581">
      <w:pPr>
        <w:numPr>
          <w:ilvl w:val="0"/>
          <w:numId w:val="1"/>
        </w:numPr>
        <w:tabs>
          <w:tab w:val="left" w:pos="0"/>
          <w:tab w:val="left" w:pos="284"/>
        </w:tabs>
        <w:spacing w:after="120" w:line="36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 w:rsidRPr="0097128D">
        <w:rPr>
          <w:rFonts w:eastAsia="Times New Roman" w:cstheme="minorHAnsi"/>
          <w:bCs/>
          <w:sz w:val="24"/>
          <w:szCs w:val="24"/>
        </w:rPr>
        <w:t>Nie podlegają refundacji koszty wynajmu sprzętu medycznego, w przypadku, gdy jest on własnością realizatora Programu.</w:t>
      </w:r>
    </w:p>
    <w:p w:rsidR="00A62D4D" w:rsidRDefault="007A5373"/>
    <w:sectPr w:rsidR="00A62D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A7" w:rsidRDefault="009A7029">
      <w:pPr>
        <w:spacing w:after="0" w:line="240" w:lineRule="auto"/>
      </w:pPr>
      <w:r>
        <w:separator/>
      </w:r>
    </w:p>
  </w:endnote>
  <w:endnote w:type="continuationSeparator" w:id="0">
    <w:p w:rsidR="007B5AA7" w:rsidRDefault="009A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662433"/>
      <w:docPartObj>
        <w:docPartGallery w:val="Page Numbers (Bottom of Page)"/>
        <w:docPartUnique/>
      </w:docPartObj>
    </w:sdtPr>
    <w:sdtEndPr/>
    <w:sdtContent>
      <w:p w:rsidR="00401B25" w:rsidRDefault="001D55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73">
          <w:rPr>
            <w:noProof/>
          </w:rPr>
          <w:t>1</w:t>
        </w:r>
        <w:r>
          <w:fldChar w:fldCharType="end"/>
        </w:r>
      </w:p>
    </w:sdtContent>
  </w:sdt>
  <w:p w:rsidR="00401B25" w:rsidRDefault="007A5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A7" w:rsidRDefault="009A7029">
      <w:pPr>
        <w:spacing w:after="0" w:line="240" w:lineRule="auto"/>
      </w:pPr>
      <w:r>
        <w:separator/>
      </w:r>
    </w:p>
  </w:footnote>
  <w:footnote w:type="continuationSeparator" w:id="0">
    <w:p w:rsidR="007B5AA7" w:rsidRDefault="009A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B2E9F"/>
    <w:multiLevelType w:val="hybridMultilevel"/>
    <w:tmpl w:val="8D68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48"/>
    <w:rsid w:val="001D5581"/>
    <w:rsid w:val="002323D2"/>
    <w:rsid w:val="00557695"/>
    <w:rsid w:val="007A5373"/>
    <w:rsid w:val="007B5AA7"/>
    <w:rsid w:val="007F5A48"/>
    <w:rsid w:val="009434DB"/>
    <w:rsid w:val="009A7029"/>
    <w:rsid w:val="00A01B7C"/>
    <w:rsid w:val="00B1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E68A-DB68-45D3-8B15-6A3D8D6C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55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5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D55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2019-05-07T10:48:00Z</dcterms:created>
  <dcterms:modified xsi:type="dcterms:W3CDTF">2019-05-07T10:48:00Z</dcterms:modified>
</cp:coreProperties>
</file>