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314D" w14:textId="401129DD" w:rsidR="00B44907" w:rsidRDefault="004D1FEA" w:rsidP="004D1FEA">
      <w:pPr>
        <w:spacing w:after="0" w:line="28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Załącznik nr 9 do Regulaminu wyboru projektów</w:t>
      </w:r>
    </w:p>
    <w:p w14:paraId="690B475D" w14:textId="1CAAD97B" w:rsidR="00B44907" w:rsidRDefault="00B44907" w:rsidP="004A45EF">
      <w:pPr>
        <w:spacing w:after="0" w:line="280" w:lineRule="atLeast"/>
        <w:rPr>
          <w:sz w:val="24"/>
          <w:szCs w:val="24"/>
        </w:rPr>
      </w:pPr>
    </w:p>
    <w:p w14:paraId="61660385" w14:textId="77777777" w:rsidR="00FC1C0C" w:rsidRDefault="00FC1C0C" w:rsidP="004A45EF">
      <w:pPr>
        <w:spacing w:after="0" w:line="280" w:lineRule="atLeast"/>
        <w:rPr>
          <w:sz w:val="24"/>
          <w:szCs w:val="24"/>
        </w:rPr>
      </w:pPr>
    </w:p>
    <w:p w14:paraId="70BDA64E" w14:textId="77777777" w:rsidR="00B97ED1" w:rsidRPr="00A70D9E" w:rsidRDefault="00B97ED1" w:rsidP="00B97ED1">
      <w:pPr>
        <w:spacing w:line="276" w:lineRule="auto"/>
        <w:ind w:firstLine="3"/>
        <w:jc w:val="center"/>
        <w:rPr>
          <w:rFonts w:ascii="Calibri" w:hAnsi="Calibri" w:cs="Calibri"/>
          <w:color w:val="000000"/>
          <w:sz w:val="36"/>
          <w:szCs w:val="36"/>
        </w:rPr>
      </w:pPr>
      <w:r w:rsidRPr="00A70D9E">
        <w:rPr>
          <w:rFonts w:ascii="Calibri" w:hAnsi="Calibri" w:cs="Calibri"/>
          <w:color w:val="000000"/>
          <w:sz w:val="36"/>
          <w:szCs w:val="36"/>
        </w:rPr>
        <w:t>Program Operacyjny Fundusze Europejskie na Infrastrukturę, Klimat, Środowisko 2021-2027</w:t>
      </w:r>
    </w:p>
    <w:p w14:paraId="36A1F147" w14:textId="77777777" w:rsidR="00B97ED1" w:rsidRPr="00A70D9E" w:rsidRDefault="00B97ED1" w:rsidP="00B97ED1">
      <w:pPr>
        <w:spacing w:line="276" w:lineRule="auto"/>
        <w:ind w:firstLine="3"/>
        <w:jc w:val="center"/>
        <w:rPr>
          <w:rFonts w:ascii="Calibri" w:hAnsi="Calibri" w:cs="Calibri"/>
          <w:color w:val="000000"/>
          <w:sz w:val="36"/>
          <w:szCs w:val="36"/>
        </w:rPr>
      </w:pPr>
    </w:p>
    <w:p w14:paraId="7DB1FCD7" w14:textId="77777777" w:rsidR="00B97ED1" w:rsidRPr="00A70D9E" w:rsidRDefault="00B97ED1" w:rsidP="00B97ED1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t xml:space="preserve">Priorytet FENX.02 Wsparcie sektorów energetyka </w:t>
      </w: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br/>
        <w:t>i środowisko z EFRR</w:t>
      </w:r>
    </w:p>
    <w:p w14:paraId="303DD252" w14:textId="77777777" w:rsidR="00B97ED1" w:rsidRPr="00A70D9E" w:rsidRDefault="00B97ED1" w:rsidP="00B97ED1">
      <w:pPr>
        <w:spacing w:line="276" w:lineRule="auto"/>
        <w:ind w:left="426" w:hanging="423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t>Działanie FENX.02.01 Infrastruktura ciepłownicza</w:t>
      </w:r>
    </w:p>
    <w:p w14:paraId="4EBA6456" w14:textId="77777777" w:rsidR="00B97ED1" w:rsidRPr="00A70D9E" w:rsidRDefault="00B97ED1" w:rsidP="00B97ED1">
      <w:pPr>
        <w:spacing w:line="276" w:lineRule="auto"/>
        <w:ind w:left="426" w:hanging="423"/>
        <w:jc w:val="center"/>
        <w:rPr>
          <w:rFonts w:ascii="Calibri" w:hAnsi="Calibri" w:cs="Calibri"/>
          <w:sz w:val="28"/>
          <w:szCs w:val="28"/>
        </w:rPr>
      </w:pPr>
      <w:r w:rsidRPr="00A70D9E">
        <w:rPr>
          <w:rFonts w:ascii="Calibri" w:hAnsi="Calibri" w:cs="Calibri"/>
          <w:color w:val="000000"/>
          <w:sz w:val="28"/>
          <w:szCs w:val="28"/>
        </w:rPr>
        <w:t>Typ projektu:</w:t>
      </w:r>
    </w:p>
    <w:p w14:paraId="5FA81B32" w14:textId="77777777" w:rsidR="00B44907" w:rsidRDefault="00B97ED1" w:rsidP="00B97ED1">
      <w:pPr>
        <w:spacing w:after="0" w:line="280" w:lineRule="atLeast"/>
        <w:jc w:val="center"/>
        <w:rPr>
          <w:rFonts w:ascii="Calibri" w:hAnsi="Calibri" w:cs="Calibri"/>
          <w:sz w:val="28"/>
          <w:szCs w:val="28"/>
        </w:rPr>
      </w:pPr>
      <w:r w:rsidRPr="00A70D9E">
        <w:rPr>
          <w:rFonts w:ascii="Calibri" w:hAnsi="Calibri" w:cs="Calibri"/>
          <w:sz w:val="28"/>
          <w:szCs w:val="28"/>
        </w:rPr>
        <w:t>Infrastruktura ciepłownicza</w:t>
      </w:r>
    </w:p>
    <w:p w14:paraId="4F2832D7" w14:textId="77777777" w:rsidR="00B97ED1" w:rsidRDefault="00B97ED1" w:rsidP="00B97ED1">
      <w:pPr>
        <w:spacing w:after="0" w:line="280" w:lineRule="atLeast"/>
        <w:rPr>
          <w:rFonts w:ascii="Calibri" w:hAnsi="Calibri" w:cs="Calibri"/>
          <w:sz w:val="28"/>
          <w:szCs w:val="28"/>
        </w:rPr>
      </w:pPr>
    </w:p>
    <w:p w14:paraId="54334E9A" w14:textId="77777777" w:rsidR="00B97ED1" w:rsidRDefault="00B97ED1" w:rsidP="00B97ED1">
      <w:pPr>
        <w:spacing w:after="0" w:line="280" w:lineRule="atLeast"/>
        <w:rPr>
          <w:rFonts w:ascii="Calibri" w:hAnsi="Calibri" w:cs="Calibri"/>
          <w:sz w:val="28"/>
          <w:szCs w:val="28"/>
        </w:rPr>
      </w:pPr>
    </w:p>
    <w:p w14:paraId="4F5B4462" w14:textId="77777777" w:rsidR="003E57CA" w:rsidRDefault="003E57CA" w:rsidP="00B97ED1">
      <w:pPr>
        <w:spacing w:after="0" w:line="280" w:lineRule="atLeast"/>
        <w:rPr>
          <w:sz w:val="24"/>
          <w:szCs w:val="24"/>
        </w:rPr>
      </w:pPr>
    </w:p>
    <w:p w14:paraId="7B5B46A7" w14:textId="77777777" w:rsidR="00340988" w:rsidRPr="003E57CA" w:rsidRDefault="006F4444" w:rsidP="003E57CA">
      <w:pPr>
        <w:spacing w:after="0" w:line="280" w:lineRule="atLeast"/>
        <w:jc w:val="center"/>
        <w:rPr>
          <w:b/>
          <w:sz w:val="28"/>
          <w:szCs w:val="28"/>
        </w:rPr>
      </w:pPr>
      <w:r w:rsidRPr="003E57CA">
        <w:rPr>
          <w:b/>
          <w:sz w:val="28"/>
          <w:szCs w:val="28"/>
        </w:rPr>
        <w:t>Metodyka wyliczenia maksymalnej wysokości dofinansowania</w:t>
      </w:r>
    </w:p>
    <w:p w14:paraId="77B279D0" w14:textId="77777777" w:rsidR="00EB7037" w:rsidRDefault="00EB7037" w:rsidP="004A45EF">
      <w:pPr>
        <w:spacing w:after="0" w:line="280" w:lineRule="atLeast"/>
        <w:rPr>
          <w:sz w:val="24"/>
          <w:szCs w:val="24"/>
        </w:rPr>
      </w:pPr>
    </w:p>
    <w:p w14:paraId="14F8183A" w14:textId="77777777" w:rsidR="00EB7037" w:rsidRDefault="00B97ED1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obliczaniu kwoty dofinansowania należy uwzględnić poniższe warunki (1) i (2). </w:t>
      </w:r>
      <w:r w:rsidR="00EB7037">
        <w:rPr>
          <w:sz w:val="24"/>
          <w:szCs w:val="24"/>
        </w:rPr>
        <w:t xml:space="preserve"> </w:t>
      </w:r>
      <w:r>
        <w:rPr>
          <w:sz w:val="24"/>
          <w:szCs w:val="24"/>
        </w:rPr>
        <w:t>Oba te warunki muszą być spełnione</w:t>
      </w:r>
      <w:r w:rsidR="003E57CA">
        <w:rPr>
          <w:sz w:val="24"/>
          <w:szCs w:val="24"/>
        </w:rPr>
        <w:t xml:space="preserve"> łącznie</w:t>
      </w:r>
      <w:r>
        <w:rPr>
          <w:sz w:val="24"/>
          <w:szCs w:val="24"/>
        </w:rPr>
        <w:t>.</w:t>
      </w:r>
    </w:p>
    <w:p w14:paraId="0CC61FB2" w14:textId="77777777" w:rsidR="00EB7037" w:rsidRDefault="00EB7037" w:rsidP="00FA00F2">
      <w:pPr>
        <w:spacing w:after="0" w:line="280" w:lineRule="atLeast"/>
        <w:jc w:val="both"/>
        <w:rPr>
          <w:sz w:val="24"/>
          <w:szCs w:val="24"/>
        </w:rPr>
      </w:pPr>
    </w:p>
    <w:p w14:paraId="27BAB31A" w14:textId="77777777" w:rsidR="00D730CD" w:rsidRPr="00EE5E22" w:rsidRDefault="006E519C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B7037">
        <w:rPr>
          <w:sz w:val="24"/>
          <w:szCs w:val="24"/>
        </w:rPr>
        <w:t>Kwota dofinansowania nie może przekraczać</w:t>
      </w:r>
      <w:r w:rsidR="00D730CD" w:rsidRPr="00EE5E22">
        <w:rPr>
          <w:sz w:val="24"/>
          <w:szCs w:val="24"/>
        </w:rPr>
        <w:t xml:space="preserve"> 79,71% kosztów kwalifikowalnych</w:t>
      </w:r>
      <w:r w:rsidR="00EB7037">
        <w:rPr>
          <w:sz w:val="24"/>
          <w:szCs w:val="24"/>
        </w:rPr>
        <w:t>.</w:t>
      </w:r>
      <w:r w:rsidR="009936CD">
        <w:rPr>
          <w:sz w:val="24"/>
          <w:szCs w:val="24"/>
        </w:rPr>
        <w:t xml:space="preserve"> </w:t>
      </w:r>
    </w:p>
    <w:p w14:paraId="4075B234" w14:textId="77777777" w:rsidR="009936CD" w:rsidRDefault="009936CD" w:rsidP="00FA00F2">
      <w:pPr>
        <w:spacing w:after="0" w:line="280" w:lineRule="atLeast"/>
        <w:jc w:val="both"/>
        <w:rPr>
          <w:sz w:val="24"/>
          <w:szCs w:val="24"/>
        </w:rPr>
      </w:pPr>
    </w:p>
    <w:p w14:paraId="7E4252D9" w14:textId="77777777" w:rsidR="009936CD" w:rsidRDefault="009936CD" w:rsidP="00FA00F2">
      <w:pPr>
        <w:spacing w:after="0" w:line="280" w:lineRule="atLeas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Na koszt</w:t>
      </w:r>
      <w:r w:rsidR="00D730CD" w:rsidRPr="00EE5E22">
        <w:rPr>
          <w:sz w:val="24"/>
          <w:szCs w:val="24"/>
        </w:rPr>
        <w:t xml:space="preserve">y kwalifikowalne </w:t>
      </w:r>
      <w:r>
        <w:rPr>
          <w:sz w:val="24"/>
          <w:szCs w:val="24"/>
        </w:rPr>
        <w:t>składają się:</w:t>
      </w:r>
    </w:p>
    <w:p w14:paraId="5171467E" w14:textId="21811688" w:rsidR="00D730CD" w:rsidRPr="006E519C" w:rsidRDefault="00D730CD" w:rsidP="00FA00F2">
      <w:pPr>
        <w:pStyle w:val="Akapitzlist"/>
        <w:numPr>
          <w:ilvl w:val="0"/>
          <w:numId w:val="2"/>
        </w:numPr>
        <w:spacing w:after="0" w:line="280" w:lineRule="atLeast"/>
        <w:ind w:left="720"/>
        <w:jc w:val="both"/>
        <w:rPr>
          <w:sz w:val="24"/>
          <w:szCs w:val="24"/>
        </w:rPr>
      </w:pPr>
      <w:r w:rsidRPr="006E519C">
        <w:rPr>
          <w:sz w:val="24"/>
          <w:szCs w:val="24"/>
        </w:rPr>
        <w:t xml:space="preserve">koszty </w:t>
      </w:r>
      <w:r w:rsidR="00EB7037" w:rsidRPr="00EE5E22">
        <w:rPr>
          <w:sz w:val="24"/>
          <w:szCs w:val="24"/>
        </w:rPr>
        <w:t xml:space="preserve">kwalifikowalne </w:t>
      </w:r>
      <w:r w:rsidR="006E519C" w:rsidRPr="006E519C">
        <w:rPr>
          <w:sz w:val="24"/>
          <w:szCs w:val="24"/>
        </w:rPr>
        <w:t xml:space="preserve">inwestycyjne: </w:t>
      </w:r>
      <w:r w:rsidR="00414ECF" w:rsidRPr="006E519C">
        <w:rPr>
          <w:sz w:val="24"/>
          <w:szCs w:val="24"/>
        </w:rPr>
        <w:t>bezpośrednie i</w:t>
      </w:r>
      <w:r w:rsidRPr="006E519C">
        <w:rPr>
          <w:sz w:val="24"/>
          <w:szCs w:val="24"/>
        </w:rPr>
        <w:t xml:space="preserve"> pośrednie</w:t>
      </w:r>
      <w:r w:rsidR="006E519C" w:rsidRPr="006E519C">
        <w:rPr>
          <w:sz w:val="24"/>
          <w:szCs w:val="24"/>
        </w:rPr>
        <w:t xml:space="preserve"> (7% bezpośrednich kosztów inwestycyjnych)</w:t>
      </w:r>
    </w:p>
    <w:p w14:paraId="01AA2CC3" w14:textId="704A24DD" w:rsidR="006E519C" w:rsidRPr="006E519C" w:rsidRDefault="006E519C" w:rsidP="00FA00F2">
      <w:pPr>
        <w:pStyle w:val="Akapitzlist"/>
        <w:numPr>
          <w:ilvl w:val="0"/>
          <w:numId w:val="2"/>
        </w:numPr>
        <w:spacing w:after="0" w:line="280" w:lineRule="atLeast"/>
        <w:ind w:left="720"/>
        <w:jc w:val="both"/>
        <w:rPr>
          <w:sz w:val="24"/>
          <w:szCs w:val="24"/>
        </w:rPr>
      </w:pPr>
      <w:r w:rsidRPr="006E519C">
        <w:rPr>
          <w:sz w:val="24"/>
          <w:szCs w:val="24"/>
        </w:rPr>
        <w:t xml:space="preserve">koszty </w:t>
      </w:r>
      <w:r w:rsidR="00EB7037" w:rsidRPr="00EE5E22">
        <w:rPr>
          <w:sz w:val="24"/>
          <w:szCs w:val="24"/>
        </w:rPr>
        <w:t xml:space="preserve">kwalifikowalne </w:t>
      </w:r>
      <w:r w:rsidRPr="006E519C">
        <w:rPr>
          <w:sz w:val="24"/>
          <w:szCs w:val="24"/>
        </w:rPr>
        <w:t>działań edukacyjnych: bezpośredni</w:t>
      </w:r>
      <w:r w:rsidR="002D7396">
        <w:rPr>
          <w:sz w:val="24"/>
          <w:szCs w:val="24"/>
        </w:rPr>
        <w:t>e i pośrednie (7% bezpośrednich kosztów działań edukacyjnych</w:t>
      </w:r>
      <w:r w:rsidRPr="006E519C">
        <w:rPr>
          <w:sz w:val="24"/>
          <w:szCs w:val="24"/>
        </w:rPr>
        <w:t>)</w:t>
      </w:r>
    </w:p>
    <w:p w14:paraId="7883F846" w14:textId="77777777" w:rsidR="006E519C" w:rsidRDefault="006E519C" w:rsidP="004A45EF">
      <w:pPr>
        <w:spacing w:after="0" w:line="280" w:lineRule="atLeast"/>
        <w:ind w:firstLine="708"/>
        <w:rPr>
          <w:sz w:val="24"/>
          <w:szCs w:val="24"/>
        </w:rPr>
      </w:pPr>
    </w:p>
    <w:p w14:paraId="79D8818D" w14:textId="77777777" w:rsidR="00EB7037" w:rsidRPr="00B44907" w:rsidRDefault="00B44907" w:rsidP="004A45EF">
      <w:pPr>
        <w:spacing w:after="0" w:line="280" w:lineRule="atLeast"/>
        <w:ind w:firstLine="708"/>
        <w:rPr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D≤79,71%×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KK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inw.bezp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+7%×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KK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inw.bezp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KK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edu.bezp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+7%×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KK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edu.bezp</m:t>
                      </m:r>
                    </m:sub>
                  </m:sSub>
                </m:e>
              </m:d>
            </m:e>
          </m:d>
        </m:oMath>
      </m:oMathPara>
    </w:p>
    <w:p w14:paraId="01EEE7CD" w14:textId="77777777" w:rsidR="00EB7037" w:rsidRDefault="007C2E19" w:rsidP="006B395C">
      <w:pPr>
        <w:spacing w:before="120" w:after="0" w:line="280" w:lineRule="atLeast"/>
        <w:ind w:firstLine="425"/>
        <w:rPr>
          <w:sz w:val="24"/>
          <w:szCs w:val="24"/>
        </w:rPr>
      </w:pPr>
      <w:r>
        <w:rPr>
          <w:sz w:val="24"/>
          <w:szCs w:val="24"/>
        </w:rPr>
        <w:t>czyli</w:t>
      </w:r>
    </w:p>
    <w:p w14:paraId="453F5467" w14:textId="77777777" w:rsidR="006B395C" w:rsidRPr="00FA00F2" w:rsidRDefault="00136615" w:rsidP="006B395C">
      <w:pPr>
        <w:spacing w:after="0" w:line="280" w:lineRule="atLeast"/>
        <w:ind w:firstLine="708"/>
        <w:rPr>
          <w:rFonts w:eastAsiaTheme="minorEastAsia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inw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≤79,71%×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KK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inw.bezp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+7%</m:t>
                  </m:r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×KK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inw.bezp</m:t>
                      </m:r>
                    </m:sub>
                  </m:sSub>
                </m:e>
              </m:d>
            </m:e>
          </m:d>
        </m:oMath>
      </m:oMathPara>
    </w:p>
    <w:p w14:paraId="2995BE5A" w14:textId="77777777" w:rsidR="006B395C" w:rsidRPr="006B395C" w:rsidRDefault="006B395C" w:rsidP="006B395C">
      <w:pPr>
        <w:spacing w:after="0" w:line="200" w:lineRule="atLeast"/>
        <w:ind w:firstLine="709"/>
        <w:rPr>
          <w:rFonts w:eastAsiaTheme="minorEastAsia"/>
          <w:sz w:val="12"/>
          <w:szCs w:val="12"/>
        </w:rPr>
      </w:pPr>
    </w:p>
    <w:p w14:paraId="70B43F62" w14:textId="77777777" w:rsidR="006B395C" w:rsidRPr="00FA00F2" w:rsidRDefault="00136615" w:rsidP="006B395C">
      <w:pPr>
        <w:spacing w:after="0" w:line="280" w:lineRule="atLeast"/>
        <w:ind w:firstLine="708"/>
        <w:rPr>
          <w:rFonts w:eastAsiaTheme="minorEastAsia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edu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≤79,71%×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KK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edu.bezp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+7%</m:t>
                  </m:r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×KK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edu.bezp</m:t>
                      </m:r>
                    </m:sub>
                  </m:sSub>
                </m:e>
              </m:d>
            </m:e>
          </m:d>
        </m:oMath>
      </m:oMathPara>
    </w:p>
    <w:p w14:paraId="4DF097C0" w14:textId="77777777" w:rsidR="006B395C" w:rsidRPr="006B395C" w:rsidRDefault="006B395C" w:rsidP="006B395C">
      <w:pPr>
        <w:spacing w:after="0" w:line="200" w:lineRule="atLeast"/>
        <w:ind w:firstLine="709"/>
        <w:rPr>
          <w:rFonts w:eastAsiaTheme="minorEastAsia"/>
          <w:sz w:val="12"/>
          <w:szCs w:val="12"/>
        </w:rPr>
      </w:pPr>
    </w:p>
    <w:p w14:paraId="21FA720D" w14:textId="77777777" w:rsidR="006B395C" w:rsidRPr="00FA00F2" w:rsidRDefault="00FA00F2" w:rsidP="004A45EF">
      <w:pPr>
        <w:spacing w:after="0" w:line="280" w:lineRule="atLeast"/>
        <w:ind w:firstLine="708"/>
        <w:rPr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D=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inw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edu</m:t>
              </m:r>
            </m:sub>
          </m:sSub>
        </m:oMath>
      </m:oMathPara>
    </w:p>
    <w:p w14:paraId="1FF61346" w14:textId="77777777" w:rsidR="00EB7037" w:rsidRDefault="00EB7037" w:rsidP="00552EFB">
      <w:pPr>
        <w:spacing w:after="0" w:line="280" w:lineRule="atLeast"/>
        <w:ind w:firstLine="426"/>
        <w:rPr>
          <w:sz w:val="24"/>
          <w:szCs w:val="24"/>
        </w:rPr>
      </w:pPr>
      <w:r>
        <w:rPr>
          <w:sz w:val="24"/>
          <w:szCs w:val="24"/>
        </w:rPr>
        <w:t>gdzie:</w:t>
      </w:r>
    </w:p>
    <w:p w14:paraId="3E4E20E6" w14:textId="77777777" w:rsidR="00EB7037" w:rsidRDefault="00EB7037" w:rsidP="00552EFB">
      <w:pPr>
        <w:spacing w:after="0" w:line="280" w:lineRule="atLeast"/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D – kwota dofinansowania (dotacja)</w:t>
      </w:r>
      <w:r w:rsidR="006B395C">
        <w:rPr>
          <w:sz w:val="24"/>
          <w:szCs w:val="24"/>
        </w:rPr>
        <w:t>,</w:t>
      </w:r>
    </w:p>
    <w:p w14:paraId="5650E16F" w14:textId="77777777" w:rsidR="006B395C" w:rsidRDefault="006B395C" w:rsidP="00552EFB">
      <w:pPr>
        <w:spacing w:after="0" w:line="280" w:lineRule="atLeast"/>
        <w:ind w:firstLine="426"/>
        <w:rPr>
          <w:sz w:val="24"/>
          <w:szCs w:val="24"/>
        </w:rPr>
      </w:pPr>
      <w:proofErr w:type="spellStart"/>
      <w:r>
        <w:rPr>
          <w:sz w:val="24"/>
          <w:szCs w:val="24"/>
        </w:rPr>
        <w:t>D</w:t>
      </w:r>
      <w:r w:rsidRPr="006B395C">
        <w:rPr>
          <w:sz w:val="28"/>
          <w:szCs w:val="28"/>
          <w:vertAlign w:val="subscript"/>
        </w:rPr>
        <w:t>inw</w:t>
      </w:r>
      <w:proofErr w:type="spellEnd"/>
      <w:r>
        <w:rPr>
          <w:sz w:val="24"/>
          <w:szCs w:val="24"/>
        </w:rPr>
        <w:t xml:space="preserve"> – kwota dofinansowania na </w:t>
      </w:r>
      <w:r w:rsidRPr="006E519C">
        <w:rPr>
          <w:sz w:val="24"/>
          <w:szCs w:val="24"/>
        </w:rPr>
        <w:t xml:space="preserve">koszty </w:t>
      </w:r>
      <w:r w:rsidRPr="00EE5E22">
        <w:rPr>
          <w:sz w:val="24"/>
          <w:szCs w:val="24"/>
        </w:rPr>
        <w:t xml:space="preserve">kwalifikowalne </w:t>
      </w:r>
      <w:r>
        <w:rPr>
          <w:sz w:val="24"/>
          <w:szCs w:val="24"/>
        </w:rPr>
        <w:t>inwestycyjne,</w:t>
      </w:r>
    </w:p>
    <w:p w14:paraId="77E53CE8" w14:textId="77777777" w:rsidR="006B395C" w:rsidRDefault="006B395C" w:rsidP="00552EFB">
      <w:pPr>
        <w:spacing w:after="0" w:line="280" w:lineRule="atLeast"/>
        <w:ind w:firstLine="426"/>
        <w:rPr>
          <w:sz w:val="24"/>
          <w:szCs w:val="24"/>
        </w:rPr>
      </w:pPr>
      <w:proofErr w:type="spellStart"/>
      <w:r>
        <w:rPr>
          <w:sz w:val="24"/>
          <w:szCs w:val="24"/>
        </w:rPr>
        <w:t>D</w:t>
      </w:r>
      <w:r w:rsidRPr="006B395C">
        <w:rPr>
          <w:sz w:val="28"/>
          <w:szCs w:val="28"/>
          <w:vertAlign w:val="subscript"/>
        </w:rPr>
        <w:t>edu</w:t>
      </w:r>
      <w:proofErr w:type="spellEnd"/>
      <w:r>
        <w:rPr>
          <w:sz w:val="24"/>
          <w:szCs w:val="24"/>
        </w:rPr>
        <w:t xml:space="preserve"> – kwota dofinansowania na </w:t>
      </w:r>
      <w:r w:rsidRPr="006E519C">
        <w:rPr>
          <w:sz w:val="24"/>
          <w:szCs w:val="24"/>
        </w:rPr>
        <w:t xml:space="preserve">koszty </w:t>
      </w:r>
      <w:r w:rsidRPr="00EE5E22">
        <w:rPr>
          <w:sz w:val="24"/>
          <w:szCs w:val="24"/>
        </w:rPr>
        <w:t xml:space="preserve">kwalifikowalne </w:t>
      </w:r>
      <w:r w:rsidRPr="006B395C">
        <w:rPr>
          <w:sz w:val="24"/>
          <w:szCs w:val="24"/>
        </w:rPr>
        <w:t>działań edukacyjnych</w:t>
      </w:r>
      <w:r>
        <w:rPr>
          <w:sz w:val="24"/>
          <w:szCs w:val="24"/>
        </w:rPr>
        <w:t>,</w:t>
      </w:r>
    </w:p>
    <w:p w14:paraId="305E8B77" w14:textId="77777777" w:rsidR="00EB7037" w:rsidRDefault="00A36D3D" w:rsidP="00552EFB">
      <w:pPr>
        <w:spacing w:after="0" w:line="280" w:lineRule="atLeast"/>
        <w:ind w:firstLine="426"/>
        <w:rPr>
          <w:sz w:val="24"/>
          <w:szCs w:val="24"/>
        </w:rPr>
      </w:pPr>
      <w:proofErr w:type="spellStart"/>
      <w:r>
        <w:rPr>
          <w:sz w:val="24"/>
          <w:szCs w:val="24"/>
        </w:rPr>
        <w:t>KK</w:t>
      </w:r>
      <w:r w:rsidRPr="00552EFB">
        <w:rPr>
          <w:sz w:val="28"/>
          <w:szCs w:val="28"/>
          <w:vertAlign w:val="subscript"/>
        </w:rPr>
        <w:t>inw.bezp</w:t>
      </w:r>
      <w:proofErr w:type="spellEnd"/>
      <w:r w:rsidR="00552EFB">
        <w:rPr>
          <w:sz w:val="24"/>
          <w:szCs w:val="24"/>
        </w:rPr>
        <w:t xml:space="preserve"> – </w:t>
      </w:r>
      <w:r w:rsidR="00552EFB" w:rsidRPr="006E519C">
        <w:rPr>
          <w:sz w:val="24"/>
          <w:szCs w:val="24"/>
        </w:rPr>
        <w:t xml:space="preserve">bezpośrednie koszty </w:t>
      </w:r>
      <w:r w:rsidR="00552EFB" w:rsidRPr="00EE5E22">
        <w:rPr>
          <w:sz w:val="24"/>
          <w:szCs w:val="24"/>
        </w:rPr>
        <w:t xml:space="preserve">kwalifikowalne </w:t>
      </w:r>
      <w:r w:rsidR="00552EFB">
        <w:rPr>
          <w:sz w:val="24"/>
          <w:szCs w:val="24"/>
        </w:rPr>
        <w:t>inwestycyjne,</w:t>
      </w:r>
      <w:r w:rsidR="00552EFB" w:rsidRPr="006E519C">
        <w:rPr>
          <w:sz w:val="24"/>
          <w:szCs w:val="24"/>
        </w:rPr>
        <w:t xml:space="preserve"> </w:t>
      </w:r>
    </w:p>
    <w:p w14:paraId="36191F62" w14:textId="77777777" w:rsidR="00552EFB" w:rsidRDefault="00552EFB" w:rsidP="00552EFB">
      <w:pPr>
        <w:spacing w:after="0" w:line="280" w:lineRule="atLeast"/>
        <w:ind w:firstLine="426"/>
        <w:rPr>
          <w:sz w:val="24"/>
          <w:szCs w:val="24"/>
        </w:rPr>
      </w:pPr>
      <w:proofErr w:type="spellStart"/>
      <w:r>
        <w:rPr>
          <w:sz w:val="24"/>
          <w:szCs w:val="24"/>
        </w:rPr>
        <w:t>KK</w:t>
      </w:r>
      <w:r w:rsidRPr="00552EFB">
        <w:rPr>
          <w:sz w:val="28"/>
          <w:szCs w:val="28"/>
          <w:vertAlign w:val="subscript"/>
        </w:rPr>
        <w:t>edu.bezp</w:t>
      </w:r>
      <w:proofErr w:type="spellEnd"/>
      <w:r w:rsidRPr="00552E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6E519C">
        <w:rPr>
          <w:sz w:val="24"/>
          <w:szCs w:val="24"/>
        </w:rPr>
        <w:t>bezpośrednie</w:t>
      </w:r>
      <w:r>
        <w:rPr>
          <w:sz w:val="24"/>
          <w:szCs w:val="24"/>
        </w:rPr>
        <w:t xml:space="preserve"> </w:t>
      </w:r>
      <w:r w:rsidRPr="006E519C">
        <w:rPr>
          <w:sz w:val="24"/>
          <w:szCs w:val="24"/>
        </w:rPr>
        <w:t xml:space="preserve">koszty </w:t>
      </w:r>
      <w:r w:rsidRPr="00EE5E22">
        <w:rPr>
          <w:sz w:val="24"/>
          <w:szCs w:val="24"/>
        </w:rPr>
        <w:t xml:space="preserve">kwalifikowalne </w:t>
      </w:r>
      <w:r w:rsidRPr="006E519C">
        <w:rPr>
          <w:sz w:val="24"/>
          <w:szCs w:val="24"/>
        </w:rPr>
        <w:t>działań edukacyjnych</w:t>
      </w:r>
      <w:r>
        <w:rPr>
          <w:sz w:val="24"/>
          <w:szCs w:val="24"/>
        </w:rPr>
        <w:t>.</w:t>
      </w:r>
    </w:p>
    <w:p w14:paraId="7CD5D38E" w14:textId="77777777" w:rsidR="00EB7037" w:rsidRDefault="00EB7037" w:rsidP="004A45EF">
      <w:pPr>
        <w:spacing w:after="0" w:line="280" w:lineRule="atLeast"/>
        <w:ind w:firstLine="708"/>
        <w:rPr>
          <w:sz w:val="24"/>
          <w:szCs w:val="24"/>
        </w:rPr>
      </w:pPr>
    </w:p>
    <w:p w14:paraId="3221F070" w14:textId="77777777" w:rsidR="00EB7037" w:rsidRDefault="00EB7037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B97ED1">
        <w:rPr>
          <w:sz w:val="24"/>
          <w:szCs w:val="24"/>
        </w:rPr>
        <w:t xml:space="preserve">Kwota dofinansowania </w:t>
      </w:r>
      <w:r>
        <w:rPr>
          <w:sz w:val="24"/>
          <w:szCs w:val="24"/>
        </w:rPr>
        <w:t>nie może przekraczać</w:t>
      </w:r>
      <w:r w:rsidRPr="00EE5E22">
        <w:rPr>
          <w:sz w:val="24"/>
          <w:szCs w:val="24"/>
        </w:rPr>
        <w:t xml:space="preserve"> </w:t>
      </w:r>
      <w:r>
        <w:rPr>
          <w:sz w:val="24"/>
          <w:szCs w:val="24"/>
        </w:rPr>
        <w:t>sumy</w:t>
      </w:r>
      <w:r w:rsidR="00B97ED1">
        <w:rPr>
          <w:sz w:val="24"/>
          <w:szCs w:val="24"/>
        </w:rPr>
        <w:t>:</w:t>
      </w:r>
    </w:p>
    <w:p w14:paraId="5B11CA48" w14:textId="77777777" w:rsidR="00E861A0" w:rsidRDefault="00B44907" w:rsidP="00FA00F2">
      <w:pPr>
        <w:spacing w:after="0" w:line="280" w:lineRule="atLeast"/>
        <w:ind w:left="532" w:hanging="2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EB7037">
        <w:rPr>
          <w:sz w:val="24"/>
          <w:szCs w:val="24"/>
        </w:rPr>
        <w:t xml:space="preserve">maksymalnej wartości pomocy </w:t>
      </w:r>
      <w:r>
        <w:rPr>
          <w:sz w:val="24"/>
          <w:szCs w:val="24"/>
        </w:rPr>
        <w:t xml:space="preserve">publicznej na </w:t>
      </w:r>
      <w:r w:rsidR="00670BA4">
        <w:rPr>
          <w:sz w:val="24"/>
          <w:szCs w:val="24"/>
        </w:rPr>
        <w:t xml:space="preserve">koszty </w:t>
      </w:r>
      <w:r w:rsidRPr="00EE5E22">
        <w:rPr>
          <w:sz w:val="24"/>
          <w:szCs w:val="24"/>
        </w:rPr>
        <w:t xml:space="preserve">kwalifikowalne </w:t>
      </w:r>
      <w:r>
        <w:rPr>
          <w:sz w:val="24"/>
          <w:szCs w:val="24"/>
        </w:rPr>
        <w:t>inwestycyjne</w:t>
      </w:r>
      <w:r w:rsidR="006F4444">
        <w:rPr>
          <w:rStyle w:val="Odwoanieprzypisudolnego"/>
          <w:sz w:val="24"/>
          <w:szCs w:val="24"/>
        </w:rPr>
        <w:footnoteReference w:id="1"/>
      </w:r>
      <w:r w:rsidR="00E861A0">
        <w:rPr>
          <w:sz w:val="24"/>
          <w:szCs w:val="24"/>
        </w:rPr>
        <w:t xml:space="preserve"> pomniejszonej o </w:t>
      </w:r>
      <w:r w:rsidR="00B97ED1">
        <w:rPr>
          <w:sz w:val="24"/>
          <w:szCs w:val="24"/>
        </w:rPr>
        <w:t xml:space="preserve">wartość innej </w:t>
      </w:r>
      <w:r w:rsidR="00E861A0">
        <w:rPr>
          <w:sz w:val="24"/>
          <w:szCs w:val="24"/>
        </w:rPr>
        <w:t>pomoc</w:t>
      </w:r>
      <w:r w:rsidR="00B97ED1">
        <w:rPr>
          <w:sz w:val="24"/>
          <w:szCs w:val="24"/>
        </w:rPr>
        <w:t>y</w:t>
      </w:r>
      <w:r w:rsidR="00E861A0">
        <w:rPr>
          <w:sz w:val="24"/>
          <w:szCs w:val="24"/>
        </w:rPr>
        <w:t xml:space="preserve"> </w:t>
      </w:r>
      <w:r w:rsidR="006F4444">
        <w:rPr>
          <w:sz w:val="24"/>
          <w:szCs w:val="24"/>
        </w:rPr>
        <w:t xml:space="preserve">(w tym także pomocy de minimis) </w:t>
      </w:r>
      <w:r w:rsidR="00E861A0">
        <w:rPr>
          <w:sz w:val="24"/>
          <w:szCs w:val="24"/>
        </w:rPr>
        <w:t>otrzyman</w:t>
      </w:r>
      <w:r w:rsidR="00B97ED1">
        <w:rPr>
          <w:sz w:val="24"/>
          <w:szCs w:val="24"/>
        </w:rPr>
        <w:t>ej</w:t>
      </w:r>
      <w:r w:rsidR="00E861A0">
        <w:rPr>
          <w:sz w:val="24"/>
          <w:szCs w:val="24"/>
        </w:rPr>
        <w:t xml:space="preserve"> przez Wnioskodawcę na te same koszty</w:t>
      </w:r>
      <w:r w:rsidR="00B97ED1">
        <w:rPr>
          <w:sz w:val="24"/>
          <w:szCs w:val="24"/>
        </w:rPr>
        <w:t>, oraz</w:t>
      </w:r>
      <w:r w:rsidR="00E861A0">
        <w:rPr>
          <w:sz w:val="24"/>
          <w:szCs w:val="24"/>
        </w:rPr>
        <w:t xml:space="preserve"> </w:t>
      </w:r>
    </w:p>
    <w:p w14:paraId="548A24F1" w14:textId="77777777" w:rsidR="00B44907" w:rsidRDefault="00B44907" w:rsidP="00FA00F2">
      <w:pPr>
        <w:spacing w:after="0" w:line="280" w:lineRule="atLeast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 w:rsidR="00E861A0">
        <w:rPr>
          <w:sz w:val="24"/>
          <w:szCs w:val="24"/>
        </w:rPr>
        <w:t xml:space="preserve"> pomocy de minimis</w:t>
      </w:r>
      <w:r w:rsidR="001029DF">
        <w:rPr>
          <w:rStyle w:val="Odwoanieprzypisudolnego"/>
          <w:sz w:val="24"/>
          <w:szCs w:val="24"/>
        </w:rPr>
        <w:footnoteReference w:id="2"/>
      </w:r>
      <w:r w:rsidR="00E861A0">
        <w:rPr>
          <w:sz w:val="24"/>
          <w:szCs w:val="24"/>
        </w:rPr>
        <w:t xml:space="preserve"> na </w:t>
      </w:r>
      <w:r w:rsidR="00E861A0" w:rsidRPr="006E519C">
        <w:rPr>
          <w:sz w:val="24"/>
          <w:szCs w:val="24"/>
        </w:rPr>
        <w:t xml:space="preserve">koszty </w:t>
      </w:r>
      <w:r w:rsidR="00E861A0" w:rsidRPr="00EE5E22">
        <w:rPr>
          <w:sz w:val="24"/>
          <w:szCs w:val="24"/>
        </w:rPr>
        <w:t xml:space="preserve">kwalifikowalne </w:t>
      </w:r>
      <w:r w:rsidR="00E861A0" w:rsidRPr="006E519C">
        <w:rPr>
          <w:sz w:val="24"/>
          <w:szCs w:val="24"/>
        </w:rPr>
        <w:t>działań edukacyjnych</w:t>
      </w:r>
    </w:p>
    <w:p w14:paraId="52B803E5" w14:textId="77777777" w:rsidR="00E861A0" w:rsidRDefault="00E861A0" w:rsidP="00FA00F2">
      <w:pPr>
        <w:spacing w:after="0" w:line="280" w:lineRule="atLeast"/>
        <w:jc w:val="both"/>
        <w:rPr>
          <w:sz w:val="24"/>
          <w:szCs w:val="24"/>
        </w:rPr>
      </w:pPr>
    </w:p>
    <w:p w14:paraId="787A59EE" w14:textId="77777777" w:rsidR="00E861A0" w:rsidRDefault="006F4444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Aby zapewnić spełnienie powyższych warunków (1) i (2) należy przyjąć następującą sekwencję działań:</w:t>
      </w:r>
    </w:p>
    <w:p w14:paraId="08D8F554" w14:textId="77777777" w:rsidR="006F4444" w:rsidRDefault="006F4444" w:rsidP="00FA00F2">
      <w:pPr>
        <w:spacing w:after="0" w:line="280" w:lineRule="atLeast"/>
        <w:jc w:val="both"/>
        <w:rPr>
          <w:sz w:val="24"/>
          <w:szCs w:val="24"/>
        </w:rPr>
      </w:pPr>
    </w:p>
    <w:p w14:paraId="0648405B" w14:textId="77777777" w:rsidR="006F4444" w:rsidRPr="00487E79" w:rsidRDefault="006F4444" w:rsidP="00FA00F2">
      <w:pPr>
        <w:spacing w:after="0" w:line="280" w:lineRule="atLeast"/>
        <w:ind w:left="993" w:hanging="993"/>
        <w:jc w:val="both"/>
        <w:rPr>
          <w:b/>
          <w:sz w:val="24"/>
          <w:szCs w:val="24"/>
        </w:rPr>
      </w:pPr>
      <w:r w:rsidRPr="00487E79">
        <w:rPr>
          <w:b/>
          <w:sz w:val="24"/>
          <w:szCs w:val="24"/>
        </w:rPr>
        <w:t>KROK 1 – Wyliczenie maksymalnej wartości pomocy publicznej na koszty kwalifikowalne inwestycyjne</w:t>
      </w:r>
    </w:p>
    <w:p w14:paraId="1CD99650" w14:textId="77777777" w:rsidR="00ED6CEE" w:rsidRDefault="00ED6CEE" w:rsidP="00EB7037">
      <w:pPr>
        <w:spacing w:after="0" w:line="280" w:lineRule="atLeast"/>
        <w:rPr>
          <w:sz w:val="24"/>
          <w:szCs w:val="24"/>
        </w:rPr>
      </w:pPr>
    </w:p>
    <w:p w14:paraId="626837D4" w14:textId="34D4D519" w:rsidR="006F4444" w:rsidRPr="00EE5E22" w:rsidRDefault="00ED6CEE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Maksymaln</w:t>
      </w:r>
      <w:r w:rsidR="00281FE9">
        <w:rPr>
          <w:sz w:val="24"/>
          <w:szCs w:val="24"/>
        </w:rPr>
        <w:t>ą</w:t>
      </w:r>
      <w:r>
        <w:rPr>
          <w:sz w:val="24"/>
          <w:szCs w:val="24"/>
        </w:rPr>
        <w:t xml:space="preserve"> wartość </w:t>
      </w:r>
      <w:r w:rsidRPr="00281FE9">
        <w:rPr>
          <w:sz w:val="24"/>
          <w:szCs w:val="24"/>
        </w:rPr>
        <w:t xml:space="preserve">pomocy publicznej na koszty kwalifikowalne inwestycyjne </w:t>
      </w:r>
      <w:r w:rsidR="00281FE9" w:rsidRPr="00281FE9">
        <w:rPr>
          <w:sz w:val="24"/>
          <w:szCs w:val="24"/>
        </w:rPr>
        <w:t xml:space="preserve">należy obliczyć stosując </w:t>
      </w:r>
      <w:r w:rsidR="00281FE9" w:rsidRPr="00281FE9">
        <w:rPr>
          <w:sz w:val="24"/>
          <w:szCs w:val="24"/>
          <w:u w:val="single"/>
        </w:rPr>
        <w:t>metodę wskazaną w § 9 ust. 5</w:t>
      </w:r>
      <w:r w:rsidR="00281FE9" w:rsidRPr="00281FE9">
        <w:rPr>
          <w:sz w:val="24"/>
          <w:szCs w:val="24"/>
        </w:rPr>
        <w:t xml:space="preserve"> rozporządzeni</w:t>
      </w:r>
      <w:r w:rsidR="00281FE9">
        <w:rPr>
          <w:sz w:val="24"/>
          <w:szCs w:val="24"/>
        </w:rPr>
        <w:t>a</w:t>
      </w:r>
      <w:r w:rsidR="00281FE9" w:rsidRPr="00281FE9">
        <w:rPr>
          <w:sz w:val="24"/>
          <w:szCs w:val="24"/>
        </w:rPr>
        <w:t xml:space="preserve"> Ministra Klimatu i Środowiska z dnia </w:t>
      </w:r>
      <w:r w:rsidR="00C60F82" w:rsidRPr="002E7C69">
        <w:t>22 listopada 2023 r.</w:t>
      </w:r>
      <w:r w:rsidR="00281FE9" w:rsidRPr="00281FE9">
        <w:rPr>
          <w:sz w:val="24"/>
          <w:szCs w:val="24"/>
        </w:rPr>
        <w:t xml:space="preserve"> w sprawie udzielania pomocy publicznej na inwestycje w sieć dystrybucji w obszarze efektywnego energetycznie systemu ciepłowniczego i chłodniczego w ramach programu Fundusze Europejskie na Infrastrukturę, Klimat, Środowisko 2021–2027 (Dz. U. poz. </w:t>
      </w:r>
      <w:r w:rsidR="00C60F82" w:rsidRPr="00C60F82">
        <w:rPr>
          <w:sz w:val="24"/>
          <w:szCs w:val="24"/>
        </w:rPr>
        <w:t>2</w:t>
      </w:r>
      <w:r w:rsidR="00C60F82">
        <w:rPr>
          <w:sz w:val="24"/>
          <w:szCs w:val="24"/>
        </w:rPr>
        <w:t>558</w:t>
      </w:r>
      <w:r w:rsidR="00281FE9" w:rsidRPr="00281FE9">
        <w:rPr>
          <w:sz w:val="24"/>
          <w:szCs w:val="24"/>
        </w:rPr>
        <w:t>)</w:t>
      </w:r>
      <w:r w:rsidR="00281FE9">
        <w:rPr>
          <w:sz w:val="24"/>
          <w:szCs w:val="24"/>
        </w:rPr>
        <w:t xml:space="preserve">. Zgodnie z tą metodą maksymalna wartość </w:t>
      </w:r>
      <w:r w:rsidR="00281FE9" w:rsidRPr="00281FE9">
        <w:rPr>
          <w:sz w:val="24"/>
          <w:szCs w:val="24"/>
        </w:rPr>
        <w:t>pomocy publicznej na koszty kwalifikowalne inwestycyjne</w:t>
      </w:r>
      <w:r w:rsidR="00281F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wynosi 100% </w:t>
      </w:r>
      <w:r w:rsidRPr="00EE5E22">
        <w:rPr>
          <w:color w:val="000000"/>
          <w:sz w:val="24"/>
          <w:szCs w:val="24"/>
          <w:shd w:val="clear" w:color="auto" w:fill="FFFFFF"/>
        </w:rPr>
        <w:t>luk</w:t>
      </w:r>
      <w:r w:rsidR="00281FE9">
        <w:rPr>
          <w:color w:val="000000"/>
          <w:sz w:val="24"/>
          <w:szCs w:val="24"/>
          <w:shd w:val="clear" w:color="auto" w:fill="FFFFFF"/>
        </w:rPr>
        <w:t>i</w:t>
      </w:r>
      <w:r w:rsidRPr="00EE5E22">
        <w:rPr>
          <w:color w:val="000000"/>
          <w:sz w:val="24"/>
          <w:szCs w:val="24"/>
          <w:shd w:val="clear" w:color="auto" w:fill="FFFFFF"/>
        </w:rPr>
        <w:t xml:space="preserve"> w finansowaniu</w:t>
      </w:r>
      <w:r>
        <w:rPr>
          <w:color w:val="000000"/>
          <w:sz w:val="24"/>
          <w:szCs w:val="24"/>
          <w:shd w:val="clear" w:color="auto" w:fill="FFFFFF"/>
        </w:rPr>
        <w:t>. „Luka w finansowaniu” zdefin</w:t>
      </w:r>
      <w:r w:rsidR="00281FE9">
        <w:rPr>
          <w:color w:val="000000"/>
          <w:sz w:val="24"/>
          <w:szCs w:val="24"/>
          <w:shd w:val="clear" w:color="auto" w:fill="FFFFFF"/>
        </w:rPr>
        <w:t>i</w:t>
      </w:r>
      <w:r>
        <w:rPr>
          <w:color w:val="000000"/>
          <w:sz w:val="24"/>
          <w:szCs w:val="24"/>
          <w:shd w:val="clear" w:color="auto" w:fill="FFFFFF"/>
        </w:rPr>
        <w:t xml:space="preserve">owana jest w art. 2 </w:t>
      </w:r>
      <w:r w:rsidR="00281FE9">
        <w:rPr>
          <w:color w:val="000000"/>
          <w:sz w:val="24"/>
          <w:szCs w:val="24"/>
          <w:shd w:val="clear" w:color="auto" w:fill="FFFFFF"/>
        </w:rPr>
        <w:t xml:space="preserve">ust. 118 </w:t>
      </w:r>
      <w:r w:rsidR="00281FE9" w:rsidRPr="00281FE9">
        <w:rPr>
          <w:i/>
          <w:color w:val="000000"/>
          <w:sz w:val="24"/>
          <w:szCs w:val="24"/>
          <w:shd w:val="clear" w:color="auto" w:fill="FFFFFF"/>
        </w:rPr>
        <w:t>rozporządzenia Komisji (UE) nr 651/2014 z dnia 17 czerwca 2014 r. uznającego niektóre rodzaje pomocy za zgodne z rynkiem wewnętrznym w zastosowaniu art. 107 i 108 Traktatu</w:t>
      </w:r>
      <w:r w:rsidR="00281FE9" w:rsidRPr="00281FE9">
        <w:rPr>
          <w:color w:val="000000"/>
          <w:sz w:val="24"/>
          <w:szCs w:val="24"/>
          <w:shd w:val="clear" w:color="auto" w:fill="FFFFFF"/>
        </w:rPr>
        <w:t xml:space="preserve"> (Dz. Urz. UE L 187 z 26</w:t>
      </w:r>
      <w:r w:rsidR="00281FE9">
        <w:rPr>
          <w:color w:val="000000"/>
          <w:sz w:val="24"/>
          <w:szCs w:val="24"/>
          <w:shd w:val="clear" w:color="auto" w:fill="FFFFFF"/>
        </w:rPr>
        <w:t xml:space="preserve">.06.2014, str. 1, z </w:t>
      </w:r>
      <w:proofErr w:type="spellStart"/>
      <w:r w:rsidR="00281FE9">
        <w:rPr>
          <w:color w:val="000000"/>
          <w:sz w:val="24"/>
          <w:szCs w:val="24"/>
          <w:shd w:val="clear" w:color="auto" w:fill="FFFFFF"/>
        </w:rPr>
        <w:t>późn</w:t>
      </w:r>
      <w:proofErr w:type="spellEnd"/>
      <w:r w:rsidR="00281FE9">
        <w:rPr>
          <w:color w:val="000000"/>
          <w:sz w:val="24"/>
          <w:szCs w:val="24"/>
          <w:shd w:val="clear" w:color="auto" w:fill="FFFFFF"/>
        </w:rPr>
        <w:t>. zm.)</w:t>
      </w:r>
      <w:r w:rsidR="0051794B">
        <w:rPr>
          <w:color w:val="000000"/>
          <w:sz w:val="24"/>
          <w:szCs w:val="24"/>
          <w:shd w:val="clear" w:color="auto" w:fill="FFFFFF"/>
        </w:rPr>
        <w:t xml:space="preserve">. </w:t>
      </w:r>
      <w:r w:rsidR="009564AD">
        <w:rPr>
          <w:color w:val="000000"/>
          <w:sz w:val="24"/>
          <w:szCs w:val="24"/>
          <w:shd w:val="clear" w:color="auto" w:fill="FFFFFF"/>
        </w:rPr>
        <w:t xml:space="preserve"> </w:t>
      </w:r>
      <w:r w:rsidR="0051794B">
        <w:rPr>
          <w:color w:val="000000"/>
          <w:sz w:val="24"/>
          <w:szCs w:val="24"/>
          <w:shd w:val="clear" w:color="auto" w:fill="FFFFFF"/>
        </w:rPr>
        <w:t>Odpowiada ona różnicy pomiędzy wartością bieżącą netto (NPV</w:t>
      </w:r>
      <w:r w:rsidR="009564AD">
        <w:rPr>
          <w:color w:val="000000"/>
          <w:sz w:val="24"/>
          <w:szCs w:val="24"/>
          <w:shd w:val="clear" w:color="auto" w:fill="FFFFFF"/>
        </w:rPr>
        <w:t xml:space="preserve"> – z ang. Net </w:t>
      </w:r>
      <w:proofErr w:type="spellStart"/>
      <w:r w:rsidR="009564AD">
        <w:rPr>
          <w:color w:val="000000"/>
          <w:sz w:val="24"/>
          <w:szCs w:val="24"/>
          <w:shd w:val="clear" w:color="auto" w:fill="FFFFFF"/>
        </w:rPr>
        <w:t>Present</w:t>
      </w:r>
      <w:proofErr w:type="spellEnd"/>
      <w:r w:rsidR="009564AD">
        <w:rPr>
          <w:color w:val="000000"/>
          <w:sz w:val="24"/>
          <w:szCs w:val="24"/>
          <w:shd w:val="clear" w:color="auto" w:fill="FFFFFF"/>
        </w:rPr>
        <w:t xml:space="preserve"> Value</w:t>
      </w:r>
      <w:r w:rsidR="0051794B">
        <w:rPr>
          <w:color w:val="000000"/>
          <w:sz w:val="24"/>
          <w:szCs w:val="24"/>
          <w:shd w:val="clear" w:color="auto" w:fill="FFFFFF"/>
        </w:rPr>
        <w:t xml:space="preserve">) scenariusza faktycznego, tj. scenariusza zakładającego realizację </w:t>
      </w:r>
      <w:r w:rsidR="009564AD">
        <w:rPr>
          <w:color w:val="000000"/>
          <w:sz w:val="24"/>
          <w:szCs w:val="24"/>
          <w:shd w:val="clear" w:color="auto" w:fill="FFFFFF"/>
        </w:rPr>
        <w:t xml:space="preserve">projektu objętego </w:t>
      </w:r>
      <w:r w:rsidR="0051794B">
        <w:rPr>
          <w:color w:val="000000"/>
          <w:sz w:val="24"/>
          <w:szCs w:val="24"/>
          <w:shd w:val="clear" w:color="auto" w:fill="FFFFFF"/>
        </w:rPr>
        <w:t xml:space="preserve">wnioskiem, a wartością bieżącą netto (NPV) scenariusza alternatywnego, tj. scenariusza, </w:t>
      </w:r>
      <w:r w:rsidR="0051794B" w:rsidRPr="00EE5E22">
        <w:rPr>
          <w:sz w:val="24"/>
          <w:szCs w:val="24"/>
        </w:rPr>
        <w:t>jaki byłby realizowany</w:t>
      </w:r>
      <w:r w:rsidR="0051794B">
        <w:rPr>
          <w:sz w:val="24"/>
          <w:szCs w:val="24"/>
        </w:rPr>
        <w:t xml:space="preserve"> przez Wnioskodawcę</w:t>
      </w:r>
      <w:r w:rsidR="0051794B" w:rsidRPr="00EE5E22">
        <w:rPr>
          <w:sz w:val="24"/>
          <w:szCs w:val="24"/>
        </w:rPr>
        <w:t>, gdyby pomoc nie została udzielona</w:t>
      </w:r>
      <w:r w:rsidR="0051794B">
        <w:rPr>
          <w:sz w:val="24"/>
          <w:szCs w:val="24"/>
        </w:rPr>
        <w:t xml:space="preserve">. </w:t>
      </w:r>
      <w:r w:rsidR="009564AD">
        <w:rPr>
          <w:color w:val="000000"/>
          <w:sz w:val="24"/>
          <w:szCs w:val="24"/>
          <w:shd w:val="clear" w:color="auto" w:fill="FFFFFF"/>
        </w:rPr>
        <w:t>W przypadku pomocy na sieć dystrybucji ciepła</w:t>
      </w:r>
      <w:r w:rsidR="009564AD">
        <w:rPr>
          <w:sz w:val="24"/>
          <w:szCs w:val="24"/>
        </w:rPr>
        <w:t xml:space="preserve"> </w:t>
      </w:r>
      <w:r w:rsidR="00A82DAF">
        <w:rPr>
          <w:sz w:val="24"/>
          <w:szCs w:val="24"/>
        </w:rPr>
        <w:t xml:space="preserve">zakłada się, że </w:t>
      </w:r>
      <w:r w:rsidR="009564AD">
        <w:rPr>
          <w:sz w:val="24"/>
          <w:szCs w:val="24"/>
        </w:rPr>
        <w:t xml:space="preserve">scenariusz </w:t>
      </w:r>
      <w:r w:rsidR="0051794B">
        <w:rPr>
          <w:sz w:val="24"/>
          <w:szCs w:val="24"/>
        </w:rPr>
        <w:t xml:space="preserve">alternatywny </w:t>
      </w:r>
      <w:r w:rsidR="009564AD">
        <w:rPr>
          <w:sz w:val="24"/>
          <w:szCs w:val="24"/>
        </w:rPr>
        <w:t xml:space="preserve">odpowiada wariantowi bez </w:t>
      </w:r>
      <w:r w:rsidR="00A82DAF">
        <w:rPr>
          <w:sz w:val="24"/>
          <w:szCs w:val="24"/>
        </w:rPr>
        <w:t>żadnych inwestycji (</w:t>
      </w:r>
      <w:r w:rsidR="00835523">
        <w:rPr>
          <w:sz w:val="24"/>
          <w:szCs w:val="24"/>
        </w:rPr>
        <w:t xml:space="preserve">dla </w:t>
      </w:r>
      <w:r w:rsidR="00A82DAF">
        <w:rPr>
          <w:sz w:val="24"/>
          <w:szCs w:val="24"/>
        </w:rPr>
        <w:t>którego NPV = 0)</w:t>
      </w:r>
      <w:r w:rsidR="00A82DAF">
        <w:rPr>
          <w:rStyle w:val="Odwoanieprzypisudolnego"/>
          <w:sz w:val="24"/>
          <w:szCs w:val="24"/>
        </w:rPr>
        <w:footnoteReference w:id="3"/>
      </w:r>
      <w:r w:rsidR="00F15F7E">
        <w:rPr>
          <w:sz w:val="24"/>
          <w:szCs w:val="24"/>
        </w:rPr>
        <w:t>.</w:t>
      </w:r>
      <w:r w:rsidR="0051794B">
        <w:rPr>
          <w:sz w:val="24"/>
          <w:szCs w:val="24"/>
        </w:rPr>
        <w:t xml:space="preserve"> </w:t>
      </w:r>
      <w:r w:rsidR="006E10DA">
        <w:rPr>
          <w:sz w:val="24"/>
          <w:szCs w:val="24"/>
        </w:rPr>
        <w:t>Zatem w przypadku sieci dystrybucji ciepła „l</w:t>
      </w:r>
      <w:r w:rsidR="00A82DAF">
        <w:rPr>
          <w:sz w:val="24"/>
          <w:szCs w:val="24"/>
        </w:rPr>
        <w:t>uk</w:t>
      </w:r>
      <w:r w:rsidR="006E10DA">
        <w:rPr>
          <w:sz w:val="24"/>
          <w:szCs w:val="24"/>
        </w:rPr>
        <w:t>ą</w:t>
      </w:r>
      <w:r w:rsidR="00A82DAF">
        <w:rPr>
          <w:sz w:val="24"/>
          <w:szCs w:val="24"/>
        </w:rPr>
        <w:t xml:space="preserve"> w finansowaniu</w:t>
      </w:r>
      <w:r w:rsidR="006E10DA">
        <w:rPr>
          <w:sz w:val="24"/>
          <w:szCs w:val="24"/>
        </w:rPr>
        <w:t>”  będzie wartość NPV wyliczona na podstawie przepływów dla projektu analogicznych jak na potrzeby analizy finansowej</w:t>
      </w:r>
      <w:r w:rsidR="00242A25">
        <w:rPr>
          <w:sz w:val="24"/>
          <w:szCs w:val="24"/>
        </w:rPr>
        <w:t xml:space="preserve">, lecz </w:t>
      </w:r>
      <w:r w:rsidR="00835523" w:rsidRPr="006E73DA">
        <w:rPr>
          <w:sz w:val="24"/>
          <w:szCs w:val="24"/>
        </w:rPr>
        <w:t>bez kosztów działań edukacyjnych</w:t>
      </w:r>
      <w:r w:rsidR="00242A25">
        <w:rPr>
          <w:sz w:val="24"/>
          <w:szCs w:val="24"/>
        </w:rPr>
        <w:t xml:space="preserve"> i bez uwzględniania finansowania inwestycji</w:t>
      </w:r>
      <w:r w:rsidR="006E10DA">
        <w:rPr>
          <w:sz w:val="24"/>
          <w:szCs w:val="24"/>
        </w:rPr>
        <w:t>.</w:t>
      </w:r>
    </w:p>
    <w:p w14:paraId="6860FBB1" w14:textId="77777777" w:rsidR="00824654" w:rsidRDefault="00824654" w:rsidP="00824654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</w:p>
    <w:p w14:paraId="6BA4B43A" w14:textId="0539C47F" w:rsidR="00824654" w:rsidRDefault="00824654" w:rsidP="00824654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 xml:space="preserve">W celu obliczenia </w:t>
      </w:r>
      <w:r w:rsidR="00835523">
        <w:rPr>
          <w:color w:val="000000"/>
          <w:sz w:val="24"/>
          <w:szCs w:val="24"/>
          <w:shd w:val="clear" w:color="auto" w:fill="FFFFFF"/>
        </w:rPr>
        <w:t xml:space="preserve">„luki w finansowaniu” (tj. </w:t>
      </w:r>
      <w:r>
        <w:rPr>
          <w:color w:val="000000"/>
          <w:sz w:val="24"/>
          <w:szCs w:val="24"/>
          <w:shd w:val="clear" w:color="auto" w:fill="FFFFFF"/>
        </w:rPr>
        <w:t xml:space="preserve">NPV </w:t>
      </w:r>
      <w:r w:rsidR="00835523">
        <w:rPr>
          <w:color w:val="000000"/>
          <w:sz w:val="24"/>
          <w:szCs w:val="24"/>
          <w:shd w:val="clear" w:color="auto" w:fill="FFFFFF"/>
        </w:rPr>
        <w:t>projektu)</w:t>
      </w:r>
      <w:r>
        <w:rPr>
          <w:color w:val="000000"/>
          <w:sz w:val="24"/>
          <w:szCs w:val="24"/>
          <w:shd w:val="clear" w:color="auto" w:fill="FFFFFF"/>
        </w:rPr>
        <w:t xml:space="preserve"> do dyskontowania należy stosować </w:t>
      </w:r>
      <w:r w:rsidRPr="00EE5E22">
        <w:rPr>
          <w:color w:val="000000"/>
          <w:sz w:val="24"/>
          <w:szCs w:val="24"/>
          <w:shd w:val="clear" w:color="auto" w:fill="FFFFFF"/>
        </w:rPr>
        <w:t xml:space="preserve">średni ważony koszt kapitału </w:t>
      </w:r>
      <w:r>
        <w:rPr>
          <w:color w:val="000000"/>
          <w:sz w:val="24"/>
          <w:szCs w:val="24"/>
          <w:shd w:val="clear" w:color="auto" w:fill="FFFFFF"/>
        </w:rPr>
        <w:t>przed opodatkowaniem</w:t>
      </w:r>
      <w:r>
        <w:rPr>
          <w:rStyle w:val="Odwoanieprzypisudolnego"/>
          <w:color w:val="000000"/>
          <w:sz w:val="24"/>
          <w:szCs w:val="24"/>
          <w:shd w:val="clear" w:color="auto" w:fill="FFFFFF"/>
        </w:rPr>
        <w:footnoteReference w:id="4"/>
      </w:r>
      <w:r>
        <w:rPr>
          <w:color w:val="000000"/>
          <w:sz w:val="24"/>
          <w:szCs w:val="24"/>
          <w:shd w:val="clear" w:color="auto" w:fill="FFFFFF"/>
        </w:rPr>
        <w:t xml:space="preserve">. W zależności od tego czy prognoza sporządzana jest w cenach stałych czy bieżących, do dyskontowania należy zastosować odpowiednią stopę </w:t>
      </w:r>
      <w:r w:rsidRPr="000777B7">
        <w:rPr>
          <w:b/>
          <w:color w:val="000000"/>
          <w:sz w:val="24"/>
          <w:szCs w:val="24"/>
          <w:shd w:val="clear" w:color="auto" w:fill="FFFFFF"/>
        </w:rPr>
        <w:t>WACC</w:t>
      </w:r>
      <w:r>
        <w:rPr>
          <w:color w:val="000000"/>
          <w:sz w:val="24"/>
          <w:szCs w:val="24"/>
          <w:shd w:val="clear" w:color="auto" w:fill="FFFFFF"/>
        </w:rPr>
        <w:t xml:space="preserve"> – realną bądź nominalną. Poniżej przedstawiono sposób wyliczenia nominalnej stopy </w:t>
      </w:r>
      <w:proofErr w:type="spellStart"/>
      <w:r w:rsidRPr="00EE5E22">
        <w:rPr>
          <w:sz w:val="24"/>
          <w:szCs w:val="24"/>
        </w:rPr>
        <w:t>WACC</w:t>
      </w:r>
      <w:r w:rsidRPr="00EE5E22">
        <w:rPr>
          <w:sz w:val="28"/>
          <w:szCs w:val="28"/>
          <w:vertAlign w:val="subscript"/>
        </w:rPr>
        <w:t>pre-tax</w:t>
      </w:r>
      <w:proofErr w:type="spellEnd"/>
      <w:r>
        <w:rPr>
          <w:sz w:val="28"/>
          <w:szCs w:val="28"/>
          <w:vertAlign w:val="subscript"/>
        </w:rPr>
        <w:t xml:space="preserve"> nom</w:t>
      </w:r>
      <w:r>
        <w:rPr>
          <w:color w:val="000000"/>
          <w:sz w:val="24"/>
          <w:szCs w:val="24"/>
          <w:shd w:val="clear" w:color="auto" w:fill="FFFFFF"/>
        </w:rPr>
        <w:t xml:space="preserve">,  którą należy stosować w przypadku  prognoz w cenach bieżących. Natomiast w przypadku prognoz w cenach stałych należy przeliczyć stopę nominalną </w:t>
      </w:r>
      <w:proofErr w:type="spellStart"/>
      <w:r w:rsidRPr="00EE5E22">
        <w:rPr>
          <w:sz w:val="24"/>
          <w:szCs w:val="24"/>
        </w:rPr>
        <w:t>WACC</w:t>
      </w:r>
      <w:r w:rsidRPr="00EE5E22">
        <w:rPr>
          <w:sz w:val="28"/>
          <w:szCs w:val="28"/>
          <w:vertAlign w:val="subscript"/>
        </w:rPr>
        <w:t>pre-tax</w:t>
      </w:r>
      <w:proofErr w:type="spellEnd"/>
      <w:r>
        <w:rPr>
          <w:sz w:val="28"/>
          <w:szCs w:val="28"/>
          <w:vertAlign w:val="subscript"/>
        </w:rPr>
        <w:t xml:space="preserve"> nom</w:t>
      </w:r>
      <w:r>
        <w:rPr>
          <w:color w:val="000000"/>
          <w:sz w:val="24"/>
          <w:szCs w:val="24"/>
          <w:shd w:val="clear" w:color="auto" w:fill="FFFFFF"/>
        </w:rPr>
        <w:t xml:space="preserve"> na stopę realną </w:t>
      </w:r>
      <w:proofErr w:type="spellStart"/>
      <w:r w:rsidRPr="00EE5E22">
        <w:rPr>
          <w:sz w:val="24"/>
          <w:szCs w:val="24"/>
        </w:rPr>
        <w:t>WACC</w:t>
      </w:r>
      <w:r w:rsidRPr="00EE5E22">
        <w:rPr>
          <w:sz w:val="28"/>
          <w:szCs w:val="28"/>
          <w:vertAlign w:val="subscript"/>
        </w:rPr>
        <w:t>pre</w:t>
      </w:r>
      <w:r>
        <w:rPr>
          <w:sz w:val="28"/>
          <w:szCs w:val="28"/>
          <w:vertAlign w:val="subscript"/>
        </w:rPr>
        <w:noBreakHyphen/>
      </w:r>
      <w:r w:rsidRPr="00EE5E22">
        <w:rPr>
          <w:sz w:val="28"/>
          <w:szCs w:val="28"/>
          <w:vertAlign w:val="subscript"/>
        </w:rPr>
        <w:t>tax</w:t>
      </w:r>
      <w:proofErr w:type="spellEnd"/>
      <w:r>
        <w:rPr>
          <w:sz w:val="28"/>
          <w:szCs w:val="28"/>
          <w:vertAlign w:val="subscript"/>
        </w:rPr>
        <w:t> </w:t>
      </w:r>
      <w:r w:rsidRPr="005A5D46">
        <w:rPr>
          <w:sz w:val="28"/>
          <w:szCs w:val="28"/>
          <w:vertAlign w:val="subscript"/>
        </w:rPr>
        <w:t>real</w:t>
      </w:r>
      <w:r>
        <w:rPr>
          <w:color w:val="000000"/>
          <w:sz w:val="24"/>
          <w:szCs w:val="24"/>
          <w:shd w:val="clear" w:color="auto" w:fill="FFFFFF"/>
        </w:rPr>
        <w:t xml:space="preserve">. </w:t>
      </w:r>
    </w:p>
    <w:p w14:paraId="28A309BC" w14:textId="77777777" w:rsidR="00824654" w:rsidRDefault="00824654" w:rsidP="00824654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</w:p>
    <w:p w14:paraId="11B94419" w14:textId="38A74F36" w:rsidR="00824654" w:rsidRDefault="00824654" w:rsidP="00824654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Poniżej przedstawiono sposób przeliczenia stopy nominalnej </w:t>
      </w:r>
      <w:proofErr w:type="spellStart"/>
      <w:r w:rsidRPr="00EE5E22">
        <w:rPr>
          <w:sz w:val="24"/>
          <w:szCs w:val="24"/>
        </w:rPr>
        <w:t>WACC</w:t>
      </w:r>
      <w:r w:rsidRPr="00EE5E22">
        <w:rPr>
          <w:sz w:val="28"/>
          <w:szCs w:val="28"/>
          <w:vertAlign w:val="subscript"/>
        </w:rPr>
        <w:t>pre-tax</w:t>
      </w:r>
      <w:proofErr w:type="spellEnd"/>
      <w:r>
        <w:rPr>
          <w:sz w:val="28"/>
          <w:szCs w:val="28"/>
          <w:vertAlign w:val="subscript"/>
        </w:rPr>
        <w:t xml:space="preserve"> nom</w:t>
      </w:r>
      <w:r>
        <w:rPr>
          <w:color w:val="000000"/>
          <w:sz w:val="24"/>
          <w:szCs w:val="24"/>
          <w:shd w:val="clear" w:color="auto" w:fill="FFFFFF"/>
        </w:rPr>
        <w:t xml:space="preserve"> na stopę realną </w:t>
      </w:r>
      <w:proofErr w:type="spellStart"/>
      <w:r w:rsidRPr="00EE5E22">
        <w:rPr>
          <w:sz w:val="24"/>
          <w:szCs w:val="24"/>
        </w:rPr>
        <w:t>WACC</w:t>
      </w:r>
      <w:r w:rsidRPr="00EE5E22">
        <w:rPr>
          <w:sz w:val="28"/>
          <w:szCs w:val="28"/>
          <w:vertAlign w:val="subscript"/>
        </w:rPr>
        <w:t>pre</w:t>
      </w:r>
      <w:r>
        <w:rPr>
          <w:sz w:val="28"/>
          <w:szCs w:val="28"/>
          <w:vertAlign w:val="subscript"/>
        </w:rPr>
        <w:noBreakHyphen/>
      </w:r>
      <w:r w:rsidRPr="00EE5E22">
        <w:rPr>
          <w:sz w:val="28"/>
          <w:szCs w:val="28"/>
          <w:vertAlign w:val="subscript"/>
        </w:rPr>
        <w:t>tax</w:t>
      </w:r>
      <w:proofErr w:type="spellEnd"/>
      <w:r>
        <w:rPr>
          <w:sz w:val="28"/>
          <w:szCs w:val="28"/>
          <w:vertAlign w:val="subscript"/>
        </w:rPr>
        <w:t> </w:t>
      </w:r>
      <w:r w:rsidRPr="005A5D46">
        <w:rPr>
          <w:sz w:val="28"/>
          <w:szCs w:val="28"/>
          <w:vertAlign w:val="subscript"/>
        </w:rPr>
        <w:t>real</w:t>
      </w:r>
      <w:r w:rsidRPr="00F640AB">
        <w:rPr>
          <w:sz w:val="24"/>
          <w:szCs w:val="24"/>
        </w:rPr>
        <w:t>,</w:t>
      </w:r>
      <w:r>
        <w:rPr>
          <w:color w:val="000000"/>
          <w:sz w:val="24"/>
          <w:szCs w:val="24"/>
          <w:shd w:val="clear" w:color="auto" w:fill="FFFFFF"/>
        </w:rPr>
        <w:t xml:space="preserve"> a także sposób obliczania stopy nominalnej </w:t>
      </w:r>
      <w:proofErr w:type="spellStart"/>
      <w:r w:rsidRPr="006E73DA">
        <w:rPr>
          <w:sz w:val="24"/>
          <w:szCs w:val="24"/>
        </w:rPr>
        <w:t>WACC</w:t>
      </w:r>
      <w:r w:rsidRPr="006E73DA">
        <w:rPr>
          <w:sz w:val="28"/>
          <w:szCs w:val="28"/>
          <w:vertAlign w:val="subscript"/>
        </w:rPr>
        <w:t>pre-tax</w:t>
      </w:r>
      <w:proofErr w:type="spellEnd"/>
      <w:r w:rsidRPr="006E73DA">
        <w:rPr>
          <w:sz w:val="28"/>
          <w:szCs w:val="28"/>
          <w:vertAlign w:val="subscript"/>
        </w:rPr>
        <w:t xml:space="preserve"> nom </w:t>
      </w:r>
      <w:r w:rsidRPr="006E73DA">
        <w:rPr>
          <w:color w:val="000000"/>
          <w:sz w:val="24"/>
          <w:szCs w:val="24"/>
          <w:shd w:val="clear" w:color="auto" w:fill="FFFFFF"/>
        </w:rPr>
        <w:t xml:space="preserve">oraz przyjęte do tego celu założenia. </w:t>
      </w:r>
      <w:r w:rsidRPr="006E73DA">
        <w:rPr>
          <w:b/>
          <w:color w:val="000000"/>
          <w:sz w:val="24"/>
          <w:szCs w:val="24"/>
          <w:shd w:val="clear" w:color="auto" w:fill="FFFFFF"/>
        </w:rPr>
        <w:t xml:space="preserve">Aby ułatwić Wnioskodawcom te obliczenia opracowano </w:t>
      </w:r>
      <w:r w:rsidRPr="006E73DA">
        <w:rPr>
          <w:b/>
          <w:color w:val="000000"/>
          <w:sz w:val="24"/>
          <w:szCs w:val="24"/>
          <w:u w:val="single"/>
          <w:shd w:val="clear" w:color="auto" w:fill="FFFFFF"/>
        </w:rPr>
        <w:t>Kalkulator WACC</w:t>
      </w:r>
      <w:r w:rsidR="0093758F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(plik Excel)</w:t>
      </w:r>
      <w:r w:rsidRPr="006E73DA">
        <w:rPr>
          <w:b/>
          <w:color w:val="000000"/>
          <w:sz w:val="24"/>
          <w:szCs w:val="24"/>
          <w:shd w:val="clear" w:color="auto" w:fill="FFFFFF"/>
        </w:rPr>
        <w:t xml:space="preserve">. </w:t>
      </w:r>
      <w:r w:rsidR="0093758F">
        <w:rPr>
          <w:b/>
          <w:color w:val="000000"/>
          <w:sz w:val="24"/>
          <w:szCs w:val="24"/>
          <w:shd w:val="clear" w:color="auto" w:fill="FFFFFF"/>
        </w:rPr>
        <w:t>Kalkulator ten należy załączyć do wniosku o dofinansowanie.</w:t>
      </w:r>
    </w:p>
    <w:p w14:paraId="0B761B8C" w14:textId="77777777" w:rsidR="00824654" w:rsidRDefault="00824654" w:rsidP="00824654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</w:p>
    <w:p w14:paraId="4D0B80A2" w14:textId="77777777" w:rsidR="00824654" w:rsidRDefault="00824654" w:rsidP="00824654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</w:p>
    <w:p w14:paraId="74A6A695" w14:textId="77777777" w:rsidR="00824654" w:rsidRPr="00CE5526" w:rsidRDefault="00824654" w:rsidP="00824654">
      <w:pPr>
        <w:spacing w:after="0" w:line="280" w:lineRule="atLeast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CE5526">
        <w:rPr>
          <w:b/>
          <w:color w:val="000000"/>
          <w:sz w:val="24"/>
          <w:szCs w:val="24"/>
          <w:shd w:val="clear" w:color="auto" w:fill="FFFFFF"/>
        </w:rPr>
        <w:t xml:space="preserve">Sposób przeliczania stopy nominalnej </w:t>
      </w:r>
      <w:proofErr w:type="spellStart"/>
      <w:r w:rsidRPr="00CE5526">
        <w:rPr>
          <w:b/>
          <w:sz w:val="24"/>
          <w:szCs w:val="24"/>
        </w:rPr>
        <w:t>WACC</w:t>
      </w:r>
      <w:r w:rsidRPr="00CE5526">
        <w:rPr>
          <w:b/>
          <w:sz w:val="28"/>
          <w:szCs w:val="28"/>
          <w:vertAlign w:val="subscript"/>
        </w:rPr>
        <w:t>pre-tax</w:t>
      </w:r>
      <w:proofErr w:type="spellEnd"/>
      <w:r w:rsidRPr="00CE5526">
        <w:rPr>
          <w:b/>
          <w:sz w:val="28"/>
          <w:szCs w:val="28"/>
          <w:vertAlign w:val="subscript"/>
        </w:rPr>
        <w:t xml:space="preserve"> nom</w:t>
      </w:r>
      <w:r w:rsidRPr="00CE5526">
        <w:rPr>
          <w:b/>
          <w:color w:val="000000"/>
          <w:sz w:val="24"/>
          <w:szCs w:val="24"/>
          <w:shd w:val="clear" w:color="auto" w:fill="FFFFFF"/>
        </w:rPr>
        <w:t xml:space="preserve"> na stopę realną </w:t>
      </w:r>
      <w:proofErr w:type="spellStart"/>
      <w:r w:rsidRPr="00CE5526">
        <w:rPr>
          <w:b/>
          <w:sz w:val="24"/>
          <w:szCs w:val="24"/>
        </w:rPr>
        <w:t>WACC</w:t>
      </w:r>
      <w:r w:rsidRPr="00CE5526">
        <w:rPr>
          <w:b/>
          <w:sz w:val="28"/>
          <w:szCs w:val="28"/>
          <w:vertAlign w:val="subscript"/>
        </w:rPr>
        <w:t>pre</w:t>
      </w:r>
      <w:r w:rsidRPr="00CE5526">
        <w:rPr>
          <w:b/>
          <w:sz w:val="28"/>
          <w:szCs w:val="28"/>
          <w:vertAlign w:val="subscript"/>
        </w:rPr>
        <w:noBreakHyphen/>
        <w:t>tax</w:t>
      </w:r>
      <w:proofErr w:type="spellEnd"/>
      <w:r w:rsidRPr="00CE5526">
        <w:rPr>
          <w:b/>
          <w:sz w:val="28"/>
          <w:szCs w:val="28"/>
          <w:vertAlign w:val="subscript"/>
        </w:rPr>
        <w:t> real</w:t>
      </w:r>
    </w:p>
    <w:p w14:paraId="3851A734" w14:textId="77777777" w:rsidR="00824654" w:rsidRDefault="00824654" w:rsidP="00824654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</w:p>
    <w:p w14:paraId="2F884025" w14:textId="77777777" w:rsidR="00824654" w:rsidRPr="002F1E76" w:rsidRDefault="00136615" w:rsidP="00824654">
      <w:pPr>
        <w:spacing w:after="0" w:line="280" w:lineRule="atLeast"/>
        <w:rPr>
          <w:color w:val="000000"/>
          <w:sz w:val="26"/>
          <w:szCs w:val="26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6"/>
                  <w:szCs w:val="26"/>
                  <w:shd w:val="clear" w:color="auto" w:fill="FFFFFF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6"/>
                  <w:szCs w:val="26"/>
                  <w:shd w:val="clear" w:color="auto" w:fill="FFFFFF"/>
                </w:rPr>
                <m:t>WACC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6"/>
                  <w:szCs w:val="26"/>
                  <w:shd w:val="clear" w:color="auto" w:fill="FFFFFF"/>
                </w:rPr>
                <m:t>pre-tax real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  <w:sz w:val="26"/>
              <w:szCs w:val="26"/>
              <w:shd w:val="clear" w:color="auto" w:fill="FFFFFF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6"/>
                  <w:szCs w:val="26"/>
                  <w:shd w:val="clear" w:color="auto" w:fill="FFFF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6"/>
                  <w:szCs w:val="26"/>
                  <w:shd w:val="clear" w:color="auto" w:fill="FFFFFF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6"/>
                      <w:szCs w:val="26"/>
                      <w:shd w:val="clear" w:color="auto" w:fill="FFFFFF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6"/>
                      <w:szCs w:val="26"/>
                      <w:shd w:val="clear" w:color="auto" w:fill="FFFFFF"/>
                    </w:rPr>
                    <m:t>WACC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6"/>
                      <w:szCs w:val="26"/>
                      <w:shd w:val="clear" w:color="auto" w:fill="FFFFFF"/>
                    </w:rPr>
                    <m:t>pre-tax nom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6"/>
                  <w:szCs w:val="26"/>
                  <w:shd w:val="clear" w:color="auto" w:fill="FFFFFF"/>
                </w:rPr>
                <m:t>1+i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sz w:val="26"/>
              <w:szCs w:val="26"/>
              <w:shd w:val="clear" w:color="auto" w:fill="FFFFFF"/>
            </w:rPr>
            <m:t>-1</m:t>
          </m:r>
        </m:oMath>
      </m:oMathPara>
    </w:p>
    <w:p w14:paraId="1911A582" w14:textId="77777777" w:rsidR="00824654" w:rsidRPr="00EE5E22" w:rsidRDefault="00824654" w:rsidP="00FA00F2">
      <w:pPr>
        <w:spacing w:after="0" w:line="280" w:lineRule="atLeast"/>
        <w:jc w:val="both"/>
        <w:rPr>
          <w:sz w:val="24"/>
          <w:szCs w:val="24"/>
        </w:rPr>
      </w:pPr>
      <w:r w:rsidRPr="00EE5E22">
        <w:rPr>
          <w:sz w:val="24"/>
          <w:szCs w:val="24"/>
        </w:rPr>
        <w:t xml:space="preserve">gdzie: </w:t>
      </w:r>
    </w:p>
    <w:p w14:paraId="55072C70" w14:textId="77777777" w:rsidR="00824654" w:rsidRDefault="00824654" w:rsidP="00FA00F2">
      <w:pPr>
        <w:spacing w:after="0" w:line="280" w:lineRule="atLeast"/>
        <w:jc w:val="both"/>
        <w:rPr>
          <w:sz w:val="24"/>
          <w:szCs w:val="24"/>
        </w:rPr>
      </w:pPr>
      <w:proofErr w:type="spellStart"/>
      <w:r w:rsidRPr="00EE5E22">
        <w:rPr>
          <w:sz w:val="24"/>
          <w:szCs w:val="24"/>
        </w:rPr>
        <w:t>WACC</w:t>
      </w:r>
      <w:r w:rsidRPr="00EE5E22">
        <w:rPr>
          <w:sz w:val="28"/>
          <w:szCs w:val="28"/>
          <w:vertAlign w:val="subscript"/>
        </w:rPr>
        <w:t>pre-tax</w:t>
      </w:r>
      <w:proofErr w:type="spellEnd"/>
      <w:r>
        <w:rPr>
          <w:sz w:val="28"/>
          <w:szCs w:val="28"/>
          <w:vertAlign w:val="subscript"/>
        </w:rPr>
        <w:t xml:space="preserve"> real</w:t>
      </w:r>
      <w:r w:rsidRPr="00EE5E22">
        <w:rPr>
          <w:sz w:val="24"/>
          <w:szCs w:val="24"/>
        </w:rPr>
        <w:t xml:space="preserve">  –  średni</w:t>
      </w:r>
      <w:r>
        <w:rPr>
          <w:sz w:val="24"/>
          <w:szCs w:val="24"/>
        </w:rPr>
        <w:t xml:space="preserve"> </w:t>
      </w:r>
      <w:r w:rsidRPr="00EE5E22">
        <w:rPr>
          <w:sz w:val="24"/>
          <w:szCs w:val="24"/>
        </w:rPr>
        <w:t xml:space="preserve">ważony koszt kapitału przed opodatkowaniem, </w:t>
      </w:r>
      <w:r>
        <w:rPr>
          <w:sz w:val="24"/>
          <w:szCs w:val="24"/>
        </w:rPr>
        <w:t xml:space="preserve">realnie </w:t>
      </w:r>
      <w:r w:rsidRPr="00EE5E22">
        <w:rPr>
          <w:sz w:val="24"/>
          <w:szCs w:val="24"/>
        </w:rPr>
        <w:t>[w %],</w:t>
      </w:r>
    </w:p>
    <w:p w14:paraId="0F40B815" w14:textId="77777777" w:rsidR="00824654" w:rsidRPr="00EE5E22" w:rsidRDefault="00824654" w:rsidP="00FA00F2">
      <w:pPr>
        <w:spacing w:after="0" w:line="280" w:lineRule="atLeast"/>
        <w:jc w:val="both"/>
        <w:rPr>
          <w:sz w:val="24"/>
          <w:szCs w:val="24"/>
        </w:rPr>
      </w:pPr>
      <w:proofErr w:type="spellStart"/>
      <w:r w:rsidRPr="00EE5E22">
        <w:rPr>
          <w:sz w:val="24"/>
          <w:szCs w:val="24"/>
        </w:rPr>
        <w:t>WACC</w:t>
      </w:r>
      <w:r w:rsidRPr="00EE5E22">
        <w:rPr>
          <w:sz w:val="28"/>
          <w:szCs w:val="28"/>
          <w:vertAlign w:val="subscript"/>
        </w:rPr>
        <w:t>pre-tax</w:t>
      </w:r>
      <w:proofErr w:type="spellEnd"/>
      <w:r>
        <w:rPr>
          <w:sz w:val="28"/>
          <w:szCs w:val="28"/>
          <w:vertAlign w:val="subscript"/>
        </w:rPr>
        <w:t xml:space="preserve"> nom</w:t>
      </w:r>
      <w:r w:rsidRPr="00EE5E22">
        <w:rPr>
          <w:sz w:val="24"/>
          <w:szCs w:val="24"/>
        </w:rPr>
        <w:t xml:space="preserve">  –  średni</w:t>
      </w:r>
      <w:r>
        <w:rPr>
          <w:sz w:val="24"/>
          <w:szCs w:val="24"/>
        </w:rPr>
        <w:t xml:space="preserve"> </w:t>
      </w:r>
      <w:r w:rsidRPr="00EE5E22">
        <w:rPr>
          <w:sz w:val="24"/>
          <w:szCs w:val="24"/>
        </w:rPr>
        <w:t xml:space="preserve">ważony koszt kapitału przed opodatkowaniem, </w:t>
      </w:r>
      <w:r>
        <w:rPr>
          <w:sz w:val="24"/>
          <w:szCs w:val="24"/>
        </w:rPr>
        <w:t xml:space="preserve">nominalnie </w:t>
      </w:r>
      <w:r w:rsidRPr="00EE5E22">
        <w:rPr>
          <w:sz w:val="24"/>
          <w:szCs w:val="24"/>
        </w:rPr>
        <w:t>[w %],</w:t>
      </w:r>
    </w:p>
    <w:p w14:paraId="0035A162" w14:textId="77777777" w:rsidR="00824654" w:rsidRPr="00EE5E22" w:rsidRDefault="00824654" w:rsidP="00FA00F2">
      <w:pPr>
        <w:spacing w:after="0" w:line="280" w:lineRule="atLeast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EE5E22">
        <w:rPr>
          <w:sz w:val="24"/>
          <w:szCs w:val="24"/>
        </w:rPr>
        <w:t xml:space="preserve">  –  </w:t>
      </w:r>
      <w:r>
        <w:rPr>
          <w:sz w:val="24"/>
          <w:szCs w:val="24"/>
        </w:rPr>
        <w:t xml:space="preserve">oczekiwana stopa inflacji, tj. średnia stopa inflacji w okresie prognozy </w:t>
      </w:r>
      <w:r w:rsidRPr="00EE5E22">
        <w:rPr>
          <w:sz w:val="24"/>
          <w:szCs w:val="24"/>
        </w:rPr>
        <w:t>[w %]</w:t>
      </w:r>
      <w:r>
        <w:rPr>
          <w:sz w:val="24"/>
          <w:szCs w:val="24"/>
        </w:rPr>
        <w:t xml:space="preserve"> – zgodnie z aktualnymi na dzień ogłoszenia naboru „</w:t>
      </w:r>
      <w:r w:rsidRPr="00280F87">
        <w:rPr>
          <w:i/>
          <w:sz w:val="24"/>
          <w:szCs w:val="24"/>
        </w:rPr>
        <w:t>Wytycznymi dotyczącymi stosowania jednolitych wskaźników makroekonomicznych będących podstawą oszacowania skutków finansowych projektowanych ustaw</w:t>
      </w:r>
      <w:r>
        <w:rPr>
          <w:sz w:val="24"/>
          <w:szCs w:val="24"/>
        </w:rPr>
        <w:t>”</w:t>
      </w:r>
      <w:r>
        <w:rPr>
          <w:rStyle w:val="Odwoanieprzypisudolnego"/>
          <w:sz w:val="24"/>
          <w:szCs w:val="24"/>
        </w:rPr>
        <w:footnoteReference w:id="5"/>
      </w:r>
      <w:r>
        <w:rPr>
          <w:sz w:val="24"/>
          <w:szCs w:val="24"/>
        </w:rPr>
        <w:t>.</w:t>
      </w:r>
      <w:r w:rsidRPr="00EE5E22">
        <w:rPr>
          <w:sz w:val="24"/>
          <w:szCs w:val="24"/>
        </w:rPr>
        <w:t xml:space="preserve"> </w:t>
      </w:r>
    </w:p>
    <w:p w14:paraId="247CECBE" w14:textId="77777777" w:rsidR="00824654" w:rsidRDefault="00824654" w:rsidP="00FA00F2">
      <w:pPr>
        <w:spacing w:after="0" w:line="280" w:lineRule="atLeast"/>
        <w:jc w:val="both"/>
        <w:rPr>
          <w:sz w:val="24"/>
          <w:szCs w:val="24"/>
        </w:rPr>
      </w:pPr>
    </w:p>
    <w:p w14:paraId="6792FB15" w14:textId="77777777" w:rsidR="00824654" w:rsidRDefault="00824654" w:rsidP="00FA00F2">
      <w:pPr>
        <w:spacing w:after="0" w:line="280" w:lineRule="atLeast"/>
        <w:jc w:val="both"/>
        <w:rPr>
          <w:sz w:val="24"/>
          <w:szCs w:val="24"/>
        </w:rPr>
      </w:pPr>
    </w:p>
    <w:p w14:paraId="0CB7367D" w14:textId="77777777" w:rsidR="00824654" w:rsidRPr="00B848EF" w:rsidRDefault="00824654" w:rsidP="00FA00F2">
      <w:pPr>
        <w:spacing w:after="0" w:line="280" w:lineRule="atLeast"/>
        <w:jc w:val="both"/>
        <w:rPr>
          <w:sz w:val="24"/>
          <w:szCs w:val="24"/>
        </w:rPr>
      </w:pPr>
      <w:r w:rsidRPr="00CE5526">
        <w:rPr>
          <w:b/>
          <w:color w:val="000000"/>
          <w:sz w:val="24"/>
          <w:szCs w:val="24"/>
          <w:shd w:val="clear" w:color="auto" w:fill="FFFFFF"/>
        </w:rPr>
        <w:t xml:space="preserve">Sposób </w:t>
      </w:r>
      <w:r>
        <w:rPr>
          <w:b/>
          <w:color w:val="000000"/>
          <w:sz w:val="24"/>
          <w:szCs w:val="24"/>
          <w:shd w:val="clear" w:color="auto" w:fill="FFFFFF"/>
        </w:rPr>
        <w:t>ob</w:t>
      </w:r>
      <w:r w:rsidRPr="00CE5526">
        <w:rPr>
          <w:b/>
          <w:color w:val="000000"/>
          <w:sz w:val="24"/>
          <w:szCs w:val="24"/>
          <w:shd w:val="clear" w:color="auto" w:fill="FFFFFF"/>
        </w:rPr>
        <w:t xml:space="preserve">liczania stopy nominalnej </w:t>
      </w:r>
      <w:proofErr w:type="spellStart"/>
      <w:r w:rsidRPr="00CE5526">
        <w:rPr>
          <w:b/>
          <w:sz w:val="24"/>
          <w:szCs w:val="24"/>
        </w:rPr>
        <w:t>WACC</w:t>
      </w:r>
      <w:r w:rsidRPr="00CE5526">
        <w:rPr>
          <w:b/>
          <w:sz w:val="28"/>
          <w:szCs w:val="28"/>
          <w:vertAlign w:val="subscript"/>
        </w:rPr>
        <w:t>pre-tax</w:t>
      </w:r>
      <w:proofErr w:type="spellEnd"/>
      <w:r w:rsidRPr="00CE5526">
        <w:rPr>
          <w:b/>
          <w:sz w:val="28"/>
          <w:szCs w:val="28"/>
          <w:vertAlign w:val="subscript"/>
        </w:rPr>
        <w:t xml:space="preserve"> nom</w:t>
      </w:r>
    </w:p>
    <w:p w14:paraId="6BB2156D" w14:textId="77777777" w:rsidR="00824654" w:rsidRDefault="00824654" w:rsidP="00FA00F2">
      <w:pPr>
        <w:spacing w:after="0" w:line="280" w:lineRule="atLeast"/>
        <w:jc w:val="both"/>
        <w:rPr>
          <w:rFonts w:eastAsiaTheme="minorEastAsia"/>
          <w:noProof/>
          <w:sz w:val="24"/>
          <w:szCs w:val="24"/>
        </w:rPr>
      </w:pPr>
    </w:p>
    <w:p w14:paraId="29ECE365" w14:textId="136D35A5" w:rsidR="00824654" w:rsidRPr="00574C40" w:rsidRDefault="00136615" w:rsidP="00FA00F2">
      <w:pPr>
        <w:spacing w:after="0" w:line="280" w:lineRule="atLeast"/>
        <w:jc w:val="both"/>
        <w:rPr>
          <w:rFonts w:ascii="Cambria" w:hAnsi="Cambria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WACC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pre-tax nom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f>
            <m:fPr>
              <m:ctrlPr>
                <w:rPr>
                  <w:rFonts w:ascii="Cambria Math" w:hAnsi="Cambria Math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KO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KW+KO</m:t>
              </m:r>
            </m:den>
          </m:f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+ </m:t>
          </m:r>
          <m:f>
            <m:fPr>
              <m:ctrlPr>
                <w:rPr>
                  <w:rFonts w:ascii="Cambria Math" w:hAnsi="Cambria Math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e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1-t</m:t>
              </m:r>
            </m:den>
          </m:f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f>
            <m:fPr>
              <m:ctrlPr>
                <w:rPr>
                  <w:rFonts w:ascii="Cambria Math" w:hAnsi="Cambria Math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KW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KW+KO</m:t>
              </m:r>
            </m:den>
          </m:f>
        </m:oMath>
      </m:oMathPara>
    </w:p>
    <w:p w14:paraId="7FDC69A3" w14:textId="77777777" w:rsidR="00824654" w:rsidRPr="00EE5E22" w:rsidRDefault="00824654" w:rsidP="00FA00F2">
      <w:pPr>
        <w:spacing w:after="0" w:line="280" w:lineRule="atLeast"/>
        <w:jc w:val="both"/>
        <w:rPr>
          <w:sz w:val="24"/>
          <w:szCs w:val="24"/>
        </w:rPr>
      </w:pPr>
      <w:r w:rsidRPr="00EE5E22">
        <w:rPr>
          <w:sz w:val="24"/>
          <w:szCs w:val="24"/>
        </w:rPr>
        <w:t xml:space="preserve">gdzie: </w:t>
      </w:r>
    </w:p>
    <w:p w14:paraId="45CD8B26" w14:textId="77777777" w:rsidR="00824654" w:rsidRPr="00EE5E22" w:rsidRDefault="00824654" w:rsidP="00FA00F2">
      <w:pPr>
        <w:spacing w:after="0" w:line="280" w:lineRule="atLeast"/>
        <w:jc w:val="both"/>
        <w:rPr>
          <w:sz w:val="24"/>
          <w:szCs w:val="24"/>
        </w:rPr>
      </w:pPr>
      <w:proofErr w:type="spellStart"/>
      <w:r w:rsidRPr="00EE5E22">
        <w:rPr>
          <w:sz w:val="24"/>
          <w:szCs w:val="24"/>
        </w:rPr>
        <w:t>WACC</w:t>
      </w:r>
      <w:r w:rsidRPr="00EE5E22">
        <w:rPr>
          <w:sz w:val="28"/>
          <w:szCs w:val="28"/>
          <w:vertAlign w:val="subscript"/>
        </w:rPr>
        <w:t>pre-tax</w:t>
      </w:r>
      <w:proofErr w:type="spellEnd"/>
      <w:r>
        <w:rPr>
          <w:sz w:val="28"/>
          <w:szCs w:val="28"/>
          <w:vertAlign w:val="subscript"/>
        </w:rPr>
        <w:t xml:space="preserve"> nom</w:t>
      </w:r>
      <w:r w:rsidRPr="00EE5E22">
        <w:rPr>
          <w:sz w:val="24"/>
          <w:szCs w:val="24"/>
        </w:rPr>
        <w:t xml:space="preserve">  –  średni</w:t>
      </w:r>
      <w:r>
        <w:rPr>
          <w:sz w:val="24"/>
          <w:szCs w:val="24"/>
        </w:rPr>
        <w:t xml:space="preserve"> </w:t>
      </w:r>
      <w:r w:rsidRPr="00EE5E22">
        <w:rPr>
          <w:sz w:val="24"/>
          <w:szCs w:val="24"/>
        </w:rPr>
        <w:t xml:space="preserve">ważony koszt kapitału przed opodatkowaniem, </w:t>
      </w:r>
      <w:r>
        <w:rPr>
          <w:sz w:val="24"/>
          <w:szCs w:val="24"/>
        </w:rPr>
        <w:t xml:space="preserve">nominalnie </w:t>
      </w:r>
      <w:r w:rsidRPr="00EE5E22">
        <w:rPr>
          <w:sz w:val="24"/>
          <w:szCs w:val="24"/>
        </w:rPr>
        <w:t>[w %]</w:t>
      </w:r>
    </w:p>
    <w:p w14:paraId="7960113C" w14:textId="77777777" w:rsidR="00824654" w:rsidRPr="00EE5E22" w:rsidRDefault="00824654" w:rsidP="00FA00F2">
      <w:pPr>
        <w:spacing w:after="0" w:line="280" w:lineRule="atLeast"/>
        <w:jc w:val="both"/>
        <w:rPr>
          <w:sz w:val="24"/>
          <w:szCs w:val="24"/>
        </w:rPr>
      </w:pPr>
      <w:proofErr w:type="spellStart"/>
      <w:r w:rsidRPr="00EE5E22">
        <w:rPr>
          <w:sz w:val="24"/>
          <w:szCs w:val="24"/>
        </w:rPr>
        <w:t>r</w:t>
      </w:r>
      <w:r w:rsidRPr="00EE5E22">
        <w:rPr>
          <w:sz w:val="28"/>
          <w:szCs w:val="28"/>
          <w:vertAlign w:val="subscript"/>
        </w:rPr>
        <w:t>d</w:t>
      </w:r>
      <w:proofErr w:type="spellEnd"/>
      <w:r w:rsidRPr="00EE5E22">
        <w:rPr>
          <w:sz w:val="24"/>
          <w:szCs w:val="24"/>
        </w:rPr>
        <w:t xml:space="preserve">  –  koszt kapitału obcego [w %], </w:t>
      </w:r>
    </w:p>
    <w:p w14:paraId="7582223B" w14:textId="77777777" w:rsidR="00824654" w:rsidRPr="00EE5E22" w:rsidRDefault="00824654" w:rsidP="00FA00F2">
      <w:pPr>
        <w:spacing w:after="0" w:line="280" w:lineRule="atLeast"/>
        <w:jc w:val="both"/>
        <w:rPr>
          <w:sz w:val="24"/>
          <w:szCs w:val="24"/>
        </w:rPr>
      </w:pPr>
      <w:r w:rsidRPr="00EE5E22">
        <w:rPr>
          <w:sz w:val="24"/>
          <w:szCs w:val="24"/>
        </w:rPr>
        <w:t>r</w:t>
      </w:r>
      <w:r w:rsidRPr="00EE5E22">
        <w:rPr>
          <w:sz w:val="28"/>
          <w:szCs w:val="28"/>
          <w:vertAlign w:val="subscript"/>
        </w:rPr>
        <w:t>e</w:t>
      </w:r>
      <w:r w:rsidRPr="00EE5E22">
        <w:rPr>
          <w:sz w:val="24"/>
          <w:szCs w:val="24"/>
        </w:rPr>
        <w:t xml:space="preserve">  –  koszt kapitału własnego [w %], </w:t>
      </w:r>
    </w:p>
    <w:p w14:paraId="1C681FF5" w14:textId="5FAFAC9E" w:rsidR="00824654" w:rsidRPr="00EE5E22" w:rsidRDefault="002239CF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KO</w:t>
      </w:r>
      <w:r w:rsidRPr="00EE5E22">
        <w:rPr>
          <w:sz w:val="24"/>
          <w:szCs w:val="24"/>
        </w:rPr>
        <w:t xml:space="preserve">  </w:t>
      </w:r>
      <w:r w:rsidR="00824654" w:rsidRPr="00EE5E22">
        <w:rPr>
          <w:sz w:val="24"/>
          <w:szCs w:val="24"/>
        </w:rPr>
        <w:t xml:space="preserve">–  kapitał obcy, </w:t>
      </w:r>
    </w:p>
    <w:p w14:paraId="619EAA7B" w14:textId="717E13A5" w:rsidR="00824654" w:rsidRPr="00EE5E22" w:rsidRDefault="002239CF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KW</w:t>
      </w:r>
      <w:r w:rsidRPr="00EE5E22">
        <w:rPr>
          <w:sz w:val="24"/>
          <w:szCs w:val="24"/>
        </w:rPr>
        <w:t xml:space="preserve">  </w:t>
      </w:r>
      <w:r w:rsidR="00824654" w:rsidRPr="00EE5E22">
        <w:rPr>
          <w:sz w:val="24"/>
          <w:szCs w:val="24"/>
        </w:rPr>
        <w:t xml:space="preserve">–  kapitał własny, </w:t>
      </w:r>
    </w:p>
    <w:p w14:paraId="1EFF1E88" w14:textId="77777777" w:rsidR="00824654" w:rsidRPr="00EE5E22" w:rsidRDefault="00824654" w:rsidP="00FA00F2">
      <w:pPr>
        <w:spacing w:after="0" w:line="280" w:lineRule="atLeast"/>
        <w:jc w:val="both"/>
        <w:rPr>
          <w:sz w:val="24"/>
          <w:szCs w:val="24"/>
        </w:rPr>
      </w:pPr>
      <w:r w:rsidRPr="00EE5E22">
        <w:rPr>
          <w:sz w:val="24"/>
          <w:szCs w:val="24"/>
        </w:rPr>
        <w:t>t  –  stopa podatku dochodowego [w %].</w:t>
      </w:r>
    </w:p>
    <w:p w14:paraId="3C4305D2" w14:textId="4A0AB3C0" w:rsidR="00824654" w:rsidRDefault="009B3AC7" w:rsidP="004F2FC6">
      <w:pPr>
        <w:spacing w:before="120"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 w:rsidRPr="00167583">
        <w:rPr>
          <w:sz w:val="24"/>
          <w:szCs w:val="24"/>
        </w:rPr>
        <w:t>o określenia kwoty kapitału własnego (</w:t>
      </w:r>
      <w:r w:rsidR="004F2FC6">
        <w:rPr>
          <w:sz w:val="24"/>
          <w:szCs w:val="24"/>
        </w:rPr>
        <w:t>KW</w:t>
      </w:r>
      <w:r w:rsidRPr="00167583">
        <w:rPr>
          <w:sz w:val="24"/>
          <w:szCs w:val="24"/>
        </w:rPr>
        <w:t>) i kapitału obcego (</w:t>
      </w:r>
      <w:r w:rsidR="004F2FC6">
        <w:rPr>
          <w:sz w:val="24"/>
          <w:szCs w:val="24"/>
        </w:rPr>
        <w:t>KO</w:t>
      </w:r>
      <w:r w:rsidRPr="00167583">
        <w:rPr>
          <w:sz w:val="24"/>
          <w:szCs w:val="24"/>
        </w:rPr>
        <w:t>) należy zastosować strukturę źródeł finansowania wynikającą z pasywów bilansu sporządzonego na koniec ostatniego roku obrachunkowego</w:t>
      </w:r>
      <w:r>
        <w:rPr>
          <w:sz w:val="24"/>
          <w:szCs w:val="24"/>
        </w:rPr>
        <w:t>.</w:t>
      </w:r>
    </w:p>
    <w:p w14:paraId="72432EE4" w14:textId="77777777" w:rsidR="00824654" w:rsidRDefault="00824654" w:rsidP="00824654">
      <w:pPr>
        <w:spacing w:after="0" w:line="280" w:lineRule="atLeast"/>
        <w:rPr>
          <w:sz w:val="24"/>
          <w:szCs w:val="24"/>
        </w:rPr>
      </w:pPr>
    </w:p>
    <w:p w14:paraId="166AC65C" w14:textId="77777777" w:rsidR="00824654" w:rsidRPr="00574C40" w:rsidRDefault="00136615" w:rsidP="00824654">
      <w:pPr>
        <w:spacing w:after="0" w:line="280" w:lineRule="atLeast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+M</m:t>
          </m:r>
        </m:oMath>
      </m:oMathPara>
    </w:p>
    <w:p w14:paraId="19486FB2" w14:textId="77777777" w:rsidR="00824654" w:rsidRPr="006F5EAD" w:rsidRDefault="00824654" w:rsidP="00824654">
      <w:pPr>
        <w:spacing w:after="0" w:line="280" w:lineRule="atLeast"/>
        <w:rPr>
          <w:sz w:val="24"/>
          <w:szCs w:val="24"/>
        </w:rPr>
      </w:pPr>
      <w:r w:rsidRPr="006F5EAD">
        <w:rPr>
          <w:sz w:val="24"/>
          <w:szCs w:val="24"/>
        </w:rPr>
        <w:t xml:space="preserve">gdzie: </w:t>
      </w:r>
    </w:p>
    <w:p w14:paraId="0AF1C2F4" w14:textId="77777777" w:rsidR="00824654" w:rsidRPr="00EE5E22" w:rsidRDefault="00824654" w:rsidP="00824654">
      <w:pPr>
        <w:spacing w:after="0" w:line="280" w:lineRule="atLeast"/>
        <w:rPr>
          <w:sz w:val="24"/>
          <w:szCs w:val="24"/>
        </w:rPr>
      </w:pPr>
      <w:proofErr w:type="spellStart"/>
      <w:r w:rsidRPr="00EE5E22">
        <w:rPr>
          <w:sz w:val="24"/>
          <w:szCs w:val="24"/>
        </w:rPr>
        <w:t>r</w:t>
      </w:r>
      <w:r w:rsidRPr="00EE5E22">
        <w:rPr>
          <w:sz w:val="28"/>
          <w:szCs w:val="28"/>
          <w:vertAlign w:val="subscript"/>
        </w:rPr>
        <w:t>f</w:t>
      </w:r>
      <w:proofErr w:type="spellEnd"/>
      <w:r w:rsidRPr="00EE5E22">
        <w:rPr>
          <w:sz w:val="24"/>
          <w:szCs w:val="24"/>
        </w:rPr>
        <w:t xml:space="preserve">   –  stopa wolna od ryzyka [w %], </w:t>
      </w:r>
    </w:p>
    <w:p w14:paraId="77D0C276" w14:textId="77777777" w:rsidR="00824654" w:rsidRDefault="00824654" w:rsidP="00824654">
      <w:pPr>
        <w:spacing w:after="0" w:line="280" w:lineRule="atLeast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Pr="00EE5E22">
        <w:rPr>
          <w:sz w:val="24"/>
          <w:szCs w:val="24"/>
        </w:rPr>
        <w:t xml:space="preserve"> –  premia za ryzyko udostę</w:t>
      </w:r>
      <w:r>
        <w:rPr>
          <w:sz w:val="24"/>
          <w:szCs w:val="24"/>
        </w:rPr>
        <w:t>pnienia kapitału obcego [w %].</w:t>
      </w:r>
      <w:r w:rsidRPr="00EE5E22">
        <w:rPr>
          <w:sz w:val="24"/>
          <w:szCs w:val="24"/>
        </w:rPr>
        <w:t xml:space="preserve"> </w:t>
      </w:r>
    </w:p>
    <w:p w14:paraId="1EC10F12" w14:textId="77777777" w:rsidR="00824654" w:rsidRDefault="00824654" w:rsidP="00824654">
      <w:pPr>
        <w:spacing w:after="0" w:line="280" w:lineRule="atLeast"/>
        <w:ind w:left="567" w:hanging="567"/>
        <w:jc w:val="both"/>
        <w:rPr>
          <w:sz w:val="24"/>
          <w:szCs w:val="24"/>
        </w:rPr>
      </w:pPr>
    </w:p>
    <w:p w14:paraId="6F6BF616" w14:textId="53812633" w:rsidR="00824654" w:rsidRDefault="00824654" w:rsidP="00824654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Stopę wolną od ryzyka (</w:t>
      </w:r>
      <w:proofErr w:type="spellStart"/>
      <w:r w:rsidRPr="00EE5E22">
        <w:rPr>
          <w:sz w:val="24"/>
          <w:szCs w:val="24"/>
        </w:rPr>
        <w:t>r</w:t>
      </w:r>
      <w:r w:rsidRPr="00EE5E22">
        <w:rPr>
          <w:sz w:val="28"/>
          <w:szCs w:val="28"/>
          <w:vertAlign w:val="subscript"/>
        </w:rPr>
        <w:t>f</w:t>
      </w:r>
      <w:proofErr w:type="spellEnd"/>
      <w:r>
        <w:rPr>
          <w:sz w:val="24"/>
          <w:szCs w:val="24"/>
        </w:rPr>
        <w:t xml:space="preserve">) należy przyjąć </w:t>
      </w:r>
      <w:r w:rsidR="00246444">
        <w:rPr>
          <w:sz w:val="24"/>
          <w:szCs w:val="24"/>
        </w:rPr>
        <w:t>na poziomie stopy bazowej dla Polski ustalanej przez Komisję Europejską</w:t>
      </w:r>
      <w:r w:rsidR="00246444">
        <w:rPr>
          <w:rStyle w:val="Odwoanieprzypisudolnego"/>
          <w:sz w:val="24"/>
          <w:szCs w:val="24"/>
        </w:rPr>
        <w:footnoteReference w:id="6"/>
      </w:r>
      <w:r w:rsidR="00246444">
        <w:rPr>
          <w:sz w:val="24"/>
          <w:szCs w:val="24"/>
        </w:rPr>
        <w:t xml:space="preserve">, obowiązującej w dniu ogłoszenia naboru, tj. </w:t>
      </w:r>
      <w:r>
        <w:rPr>
          <w:sz w:val="24"/>
          <w:szCs w:val="24"/>
        </w:rPr>
        <w:t>w wysokości 6,35%</w:t>
      </w:r>
      <w:r w:rsidR="00246444">
        <w:rPr>
          <w:sz w:val="24"/>
          <w:szCs w:val="24"/>
        </w:rPr>
        <w:t>.</w:t>
      </w:r>
      <w:r>
        <w:rPr>
          <w:sz w:val="24"/>
          <w:szCs w:val="24"/>
        </w:rPr>
        <w:t xml:space="preserve"> .</w:t>
      </w:r>
    </w:p>
    <w:p w14:paraId="1BCC8DF3" w14:textId="77777777" w:rsidR="00824654" w:rsidRDefault="00824654" w:rsidP="00824654">
      <w:pPr>
        <w:spacing w:before="120"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Premia </w:t>
      </w:r>
      <w:r w:rsidRPr="00EE5E22">
        <w:rPr>
          <w:sz w:val="24"/>
          <w:szCs w:val="24"/>
        </w:rPr>
        <w:t>za ryzyko udostę</w:t>
      </w:r>
      <w:r>
        <w:rPr>
          <w:sz w:val="24"/>
          <w:szCs w:val="24"/>
        </w:rPr>
        <w:t>pnienia kapitału obcego (M) jest określana na podstawie ratingu przedsiębiorstwa i wynosi:</w:t>
      </w:r>
    </w:p>
    <w:p w14:paraId="116E62BF" w14:textId="77777777" w:rsidR="00824654" w:rsidRPr="00574C40" w:rsidRDefault="00824654" w:rsidP="00824654">
      <w:pPr>
        <w:pStyle w:val="Akapitzlist"/>
        <w:numPr>
          <w:ilvl w:val="0"/>
          <w:numId w:val="1"/>
        </w:numPr>
        <w:spacing w:after="0" w:line="280" w:lineRule="atLeast"/>
        <w:ind w:left="567" w:hanging="283"/>
        <w:rPr>
          <w:sz w:val="24"/>
          <w:szCs w:val="24"/>
        </w:rPr>
      </w:pPr>
      <w:r w:rsidRPr="00574C40">
        <w:rPr>
          <w:sz w:val="24"/>
          <w:szCs w:val="24"/>
        </w:rPr>
        <w:t>dla ratingu „wysokiego” 0,6%</w:t>
      </w:r>
    </w:p>
    <w:p w14:paraId="52CEE718" w14:textId="77777777" w:rsidR="00824654" w:rsidRPr="00574C40" w:rsidRDefault="00824654" w:rsidP="00824654">
      <w:pPr>
        <w:pStyle w:val="Akapitzlist"/>
        <w:numPr>
          <w:ilvl w:val="0"/>
          <w:numId w:val="1"/>
        </w:numPr>
        <w:spacing w:after="0" w:line="280" w:lineRule="atLeast"/>
        <w:ind w:left="567" w:hanging="283"/>
        <w:rPr>
          <w:sz w:val="24"/>
          <w:szCs w:val="24"/>
        </w:rPr>
      </w:pPr>
      <w:r w:rsidRPr="00574C40">
        <w:rPr>
          <w:sz w:val="24"/>
          <w:szCs w:val="24"/>
        </w:rPr>
        <w:t>dla ratingu „dobrego” 0,75%</w:t>
      </w:r>
    </w:p>
    <w:p w14:paraId="668455EA" w14:textId="77777777" w:rsidR="00824654" w:rsidRPr="00574C40" w:rsidRDefault="00824654" w:rsidP="00824654">
      <w:pPr>
        <w:pStyle w:val="Akapitzlist"/>
        <w:numPr>
          <w:ilvl w:val="0"/>
          <w:numId w:val="1"/>
        </w:numPr>
        <w:spacing w:after="0" w:line="280" w:lineRule="atLeast"/>
        <w:ind w:left="567" w:hanging="283"/>
        <w:rPr>
          <w:sz w:val="24"/>
          <w:szCs w:val="24"/>
        </w:rPr>
      </w:pPr>
      <w:r w:rsidRPr="00574C40">
        <w:rPr>
          <w:sz w:val="24"/>
          <w:szCs w:val="24"/>
        </w:rPr>
        <w:t>dla ratingu „zadowalaj</w:t>
      </w:r>
      <w:r>
        <w:rPr>
          <w:sz w:val="24"/>
          <w:szCs w:val="24"/>
        </w:rPr>
        <w:t>ą</w:t>
      </w:r>
      <w:r w:rsidRPr="00574C40">
        <w:rPr>
          <w:sz w:val="24"/>
          <w:szCs w:val="24"/>
        </w:rPr>
        <w:t>cego” 1%</w:t>
      </w:r>
    </w:p>
    <w:p w14:paraId="7DE0D5CF" w14:textId="77777777" w:rsidR="00824654" w:rsidRPr="00574C40" w:rsidRDefault="00824654" w:rsidP="00824654">
      <w:pPr>
        <w:pStyle w:val="Akapitzlist"/>
        <w:numPr>
          <w:ilvl w:val="0"/>
          <w:numId w:val="1"/>
        </w:numPr>
        <w:spacing w:after="0" w:line="280" w:lineRule="atLeast"/>
        <w:ind w:left="567" w:hanging="283"/>
        <w:rPr>
          <w:sz w:val="24"/>
          <w:szCs w:val="24"/>
        </w:rPr>
      </w:pPr>
      <w:r w:rsidRPr="00574C40">
        <w:rPr>
          <w:sz w:val="24"/>
          <w:szCs w:val="24"/>
        </w:rPr>
        <w:t>dla ratingu „niskiego” 2,2%</w:t>
      </w:r>
    </w:p>
    <w:p w14:paraId="3577644E" w14:textId="77777777" w:rsidR="00824654" w:rsidRPr="00574C40" w:rsidRDefault="00824654" w:rsidP="00824654">
      <w:pPr>
        <w:pStyle w:val="Akapitzlist"/>
        <w:numPr>
          <w:ilvl w:val="0"/>
          <w:numId w:val="1"/>
        </w:numPr>
        <w:spacing w:after="0" w:line="280" w:lineRule="atLeast"/>
        <w:ind w:left="567" w:hanging="283"/>
        <w:rPr>
          <w:sz w:val="24"/>
          <w:szCs w:val="24"/>
        </w:rPr>
      </w:pPr>
      <w:r w:rsidRPr="00574C40">
        <w:rPr>
          <w:sz w:val="24"/>
          <w:szCs w:val="24"/>
        </w:rPr>
        <w:t>dla ratingu „zły/trudności finansowe” 4%</w:t>
      </w:r>
    </w:p>
    <w:p w14:paraId="404FD2C9" w14:textId="77777777" w:rsidR="00824654" w:rsidRDefault="00824654" w:rsidP="00824654">
      <w:pPr>
        <w:spacing w:before="120"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Powyższe wartości premii dla poszczególnych kategorii ratingu </w:t>
      </w:r>
      <w:r w:rsidRPr="003D78AA">
        <w:rPr>
          <w:sz w:val="24"/>
          <w:szCs w:val="24"/>
        </w:rPr>
        <w:t xml:space="preserve">przyjęto na podstawie </w:t>
      </w:r>
      <w:r w:rsidRPr="003D78AA">
        <w:rPr>
          <w:i/>
          <w:sz w:val="24"/>
          <w:szCs w:val="24"/>
        </w:rPr>
        <w:t>Komunikatu Komisji w sprawie zmiany metody ustalania stóp referencyjnych i dyskontowych</w:t>
      </w:r>
      <w:r w:rsidRPr="003D78AA">
        <w:rPr>
          <w:sz w:val="24"/>
          <w:szCs w:val="24"/>
        </w:rPr>
        <w:t xml:space="preserve"> (Dz.</w:t>
      </w:r>
      <w:r w:rsidR="00FA00F2">
        <w:rPr>
          <w:sz w:val="24"/>
          <w:szCs w:val="24"/>
        </w:rPr>
        <w:t> </w:t>
      </w:r>
      <w:r w:rsidRPr="003D78AA">
        <w:rPr>
          <w:sz w:val="24"/>
          <w:szCs w:val="24"/>
        </w:rPr>
        <w:t>Urz. UE C 14, z dnia 19.01.2008, str. 6)</w:t>
      </w:r>
      <w:r>
        <w:rPr>
          <w:rStyle w:val="Odwoanieprzypisudolnego"/>
          <w:sz w:val="24"/>
          <w:szCs w:val="24"/>
        </w:rPr>
        <w:footnoteReference w:id="7"/>
      </w:r>
      <w:r>
        <w:rPr>
          <w:sz w:val="24"/>
          <w:szCs w:val="24"/>
        </w:rPr>
        <w:t>.</w:t>
      </w:r>
    </w:p>
    <w:p w14:paraId="515649AD" w14:textId="76C89BAA" w:rsidR="00824654" w:rsidRDefault="00824654" w:rsidP="00824654">
      <w:pPr>
        <w:spacing w:before="120"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Rating przedsiębiorstwa ustalany jest na podstawie </w:t>
      </w:r>
      <w:r w:rsidRPr="006E73DA">
        <w:rPr>
          <w:sz w:val="24"/>
          <w:szCs w:val="24"/>
        </w:rPr>
        <w:t xml:space="preserve">danych zawartych w sprawozdaniach finansowych przedsiębiorstwa za 3 ostatnie lata, za pomocą kalkulatora </w:t>
      </w:r>
      <w:r w:rsidR="00835523" w:rsidRPr="006E73DA">
        <w:rPr>
          <w:sz w:val="24"/>
          <w:szCs w:val="24"/>
        </w:rPr>
        <w:t xml:space="preserve">WACC. </w:t>
      </w:r>
    </w:p>
    <w:p w14:paraId="765557D2" w14:textId="77777777" w:rsidR="00824654" w:rsidRDefault="00824654" w:rsidP="00824654">
      <w:pPr>
        <w:spacing w:after="0" w:line="280" w:lineRule="atLeast"/>
        <w:rPr>
          <w:sz w:val="24"/>
          <w:szCs w:val="24"/>
        </w:rPr>
      </w:pPr>
    </w:p>
    <w:p w14:paraId="43171BA9" w14:textId="77777777" w:rsidR="00824654" w:rsidRDefault="00824654" w:rsidP="00824654">
      <w:pPr>
        <w:spacing w:after="0" w:line="280" w:lineRule="atLeast"/>
        <w:rPr>
          <w:sz w:val="24"/>
          <w:szCs w:val="24"/>
        </w:rPr>
      </w:pPr>
    </w:p>
    <w:p w14:paraId="688CEC59" w14:textId="77777777" w:rsidR="00824654" w:rsidRPr="00574C40" w:rsidRDefault="00136615" w:rsidP="00824654">
      <w:pPr>
        <w:spacing w:after="0" w:line="280" w:lineRule="atLeast"/>
        <w:rPr>
          <w:rFonts w:cstheme="minorHAnsi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e</m:t>
              </m:r>
            </m:sub>
          </m:sSub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theme="minorHAnsi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sz w:val="26"/>
                  <w:szCs w:val="26"/>
                </w:rPr>
                <m:t>e</m:t>
              </m:r>
            </m:sub>
          </m:sSub>
          <m:r>
            <m:rPr>
              <m:sty m:val="p"/>
            </m:rPr>
            <w:rPr>
              <w:rFonts w:ascii="Cambria Math" w:hAnsi="Cambria Math" w:cstheme="minorHAnsi"/>
              <w:sz w:val="26"/>
              <w:szCs w:val="26"/>
            </w:rPr>
            <m:t>×RP</m:t>
          </m:r>
        </m:oMath>
      </m:oMathPara>
    </w:p>
    <w:p w14:paraId="0153F6E4" w14:textId="77777777" w:rsidR="00824654" w:rsidRPr="006F5EAD" w:rsidRDefault="00824654" w:rsidP="00824654">
      <w:pPr>
        <w:spacing w:after="0" w:line="280" w:lineRule="atLeast"/>
        <w:rPr>
          <w:sz w:val="24"/>
          <w:szCs w:val="24"/>
        </w:rPr>
      </w:pPr>
      <w:r w:rsidRPr="006F5EAD">
        <w:rPr>
          <w:sz w:val="24"/>
          <w:szCs w:val="24"/>
        </w:rPr>
        <w:t xml:space="preserve">gdzie: </w:t>
      </w:r>
    </w:p>
    <w:p w14:paraId="0D33332B" w14:textId="77777777" w:rsidR="00824654" w:rsidRPr="00EE5E22" w:rsidRDefault="00824654" w:rsidP="00824654">
      <w:pPr>
        <w:spacing w:after="0" w:line="280" w:lineRule="atLeast"/>
        <w:rPr>
          <w:sz w:val="24"/>
          <w:szCs w:val="24"/>
        </w:rPr>
      </w:pPr>
      <w:proofErr w:type="spellStart"/>
      <w:r w:rsidRPr="00EE5E22">
        <w:rPr>
          <w:sz w:val="24"/>
          <w:szCs w:val="24"/>
        </w:rPr>
        <w:t>r</w:t>
      </w:r>
      <w:r w:rsidRPr="00EE5E22">
        <w:rPr>
          <w:sz w:val="28"/>
          <w:szCs w:val="28"/>
          <w:vertAlign w:val="subscript"/>
        </w:rPr>
        <w:t>f</w:t>
      </w:r>
      <w:proofErr w:type="spellEnd"/>
      <w:r>
        <w:rPr>
          <w:sz w:val="24"/>
          <w:szCs w:val="24"/>
        </w:rPr>
        <w:t xml:space="preserve">   –  stopa wolna od ryzyka, równa 6,35% (wyjaśnienie powyżej)</w:t>
      </w:r>
      <w:r w:rsidRPr="00EE5E22">
        <w:rPr>
          <w:sz w:val="24"/>
          <w:szCs w:val="24"/>
        </w:rPr>
        <w:t xml:space="preserve">, </w:t>
      </w:r>
    </w:p>
    <w:p w14:paraId="003E9DCA" w14:textId="77777777" w:rsidR="00824654" w:rsidRPr="00EE5E22" w:rsidRDefault="00824654" w:rsidP="00824654">
      <w:pPr>
        <w:spacing w:after="0" w:line="280" w:lineRule="atLeast"/>
        <w:rPr>
          <w:sz w:val="24"/>
          <w:szCs w:val="24"/>
        </w:rPr>
      </w:pPr>
      <w:r w:rsidRPr="00EE5E22">
        <w:rPr>
          <w:sz w:val="24"/>
          <w:szCs w:val="24"/>
        </w:rPr>
        <w:t>β</w:t>
      </w:r>
      <w:r w:rsidRPr="00EE5E22">
        <w:rPr>
          <w:sz w:val="28"/>
          <w:szCs w:val="28"/>
          <w:vertAlign w:val="subscript"/>
        </w:rPr>
        <w:t>e</w:t>
      </w:r>
      <w:r w:rsidRPr="00EE5E22">
        <w:rPr>
          <w:sz w:val="24"/>
          <w:szCs w:val="24"/>
        </w:rPr>
        <w:t xml:space="preserve">  –  miara ryzy</w:t>
      </w:r>
      <w:r>
        <w:rPr>
          <w:sz w:val="24"/>
          <w:szCs w:val="24"/>
        </w:rPr>
        <w:t>ka zaangażowania kapitału [w %],</w:t>
      </w:r>
    </w:p>
    <w:p w14:paraId="7D3810F4" w14:textId="77777777" w:rsidR="00824654" w:rsidRPr="00EE5E22" w:rsidRDefault="00824654" w:rsidP="00824654">
      <w:pPr>
        <w:spacing w:after="0" w:line="280" w:lineRule="atLeast"/>
        <w:rPr>
          <w:sz w:val="24"/>
          <w:szCs w:val="24"/>
        </w:rPr>
      </w:pPr>
      <w:r w:rsidRPr="00EE5E22">
        <w:rPr>
          <w:sz w:val="24"/>
          <w:szCs w:val="24"/>
        </w:rPr>
        <w:t>RP –  premia za ryzyko udostę</w:t>
      </w:r>
      <w:r>
        <w:rPr>
          <w:sz w:val="24"/>
          <w:szCs w:val="24"/>
        </w:rPr>
        <w:t>pnienia kapitału własnego [w %].</w:t>
      </w:r>
      <w:r w:rsidRPr="00EE5E22">
        <w:rPr>
          <w:sz w:val="24"/>
          <w:szCs w:val="24"/>
        </w:rPr>
        <w:t xml:space="preserve"> </w:t>
      </w:r>
    </w:p>
    <w:p w14:paraId="6AEF5C89" w14:textId="77777777" w:rsidR="00824654" w:rsidRDefault="00824654" w:rsidP="00824654">
      <w:pPr>
        <w:spacing w:after="0" w:line="280" w:lineRule="atLeast"/>
        <w:rPr>
          <w:sz w:val="24"/>
          <w:szCs w:val="24"/>
        </w:rPr>
      </w:pPr>
    </w:p>
    <w:p w14:paraId="7BBDD5FF" w14:textId="77777777" w:rsidR="00824654" w:rsidRPr="00EE5E22" w:rsidRDefault="00824654" w:rsidP="00824654">
      <w:pPr>
        <w:spacing w:after="0" w:line="280" w:lineRule="atLeast"/>
        <w:rPr>
          <w:sz w:val="24"/>
          <w:szCs w:val="24"/>
        </w:rPr>
      </w:pPr>
      <w:r>
        <w:rPr>
          <w:sz w:val="24"/>
          <w:szCs w:val="24"/>
        </w:rPr>
        <w:t>P</w:t>
      </w:r>
      <w:r w:rsidRPr="00EE5E22">
        <w:rPr>
          <w:sz w:val="24"/>
          <w:szCs w:val="24"/>
        </w:rPr>
        <w:t>remi</w:t>
      </w:r>
      <w:r>
        <w:rPr>
          <w:sz w:val="24"/>
          <w:szCs w:val="24"/>
        </w:rPr>
        <w:t>ę</w:t>
      </w:r>
      <w:r w:rsidRPr="00EE5E22">
        <w:rPr>
          <w:sz w:val="24"/>
          <w:szCs w:val="24"/>
        </w:rPr>
        <w:t xml:space="preserve"> za ryzyko udostę</w:t>
      </w:r>
      <w:r>
        <w:rPr>
          <w:sz w:val="24"/>
          <w:szCs w:val="24"/>
        </w:rPr>
        <w:t xml:space="preserve">pnienia kapitału własnego dla przedsiębiorstw działających w sektorze ciepłowniczym należy przyjąć na poziomie 5% </w:t>
      </w:r>
      <w:r>
        <w:rPr>
          <w:rStyle w:val="Odwoanieprzypisudolnego"/>
          <w:sz w:val="24"/>
          <w:szCs w:val="24"/>
        </w:rPr>
        <w:footnoteReference w:id="8"/>
      </w:r>
      <w:r>
        <w:rPr>
          <w:sz w:val="24"/>
          <w:szCs w:val="24"/>
        </w:rPr>
        <w:t>.</w:t>
      </w:r>
    </w:p>
    <w:p w14:paraId="3CC79CEF" w14:textId="77777777" w:rsidR="00824654" w:rsidRDefault="00824654" w:rsidP="00824654">
      <w:pPr>
        <w:spacing w:after="0" w:line="280" w:lineRule="atLeast"/>
        <w:rPr>
          <w:sz w:val="24"/>
          <w:szCs w:val="24"/>
        </w:rPr>
      </w:pPr>
    </w:p>
    <w:p w14:paraId="50DC5C0F" w14:textId="77777777" w:rsidR="00824654" w:rsidRDefault="00824654" w:rsidP="00824654">
      <w:pPr>
        <w:spacing w:after="0" w:line="280" w:lineRule="atLeast"/>
        <w:rPr>
          <w:sz w:val="24"/>
          <w:szCs w:val="24"/>
        </w:rPr>
      </w:pPr>
    </w:p>
    <w:p w14:paraId="30C4801F" w14:textId="3DC622F7" w:rsidR="00824654" w:rsidRPr="00574C40" w:rsidRDefault="00136615" w:rsidP="00824654">
      <w:pPr>
        <w:spacing w:after="0" w:line="280" w:lineRule="atLeast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e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1-t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KO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KW</m:t>
                  </m:r>
                </m:den>
              </m:f>
            </m:e>
          </m:d>
        </m:oMath>
      </m:oMathPara>
    </w:p>
    <w:p w14:paraId="7D73E27A" w14:textId="77777777" w:rsidR="00824654" w:rsidRPr="00EE5E22" w:rsidRDefault="00824654" w:rsidP="00824654">
      <w:pPr>
        <w:spacing w:after="0" w:line="280" w:lineRule="atLeast"/>
        <w:rPr>
          <w:sz w:val="24"/>
          <w:szCs w:val="24"/>
          <w:lang w:val="en-US"/>
        </w:rPr>
      </w:pPr>
      <w:proofErr w:type="spellStart"/>
      <w:r w:rsidRPr="00EE5E22">
        <w:rPr>
          <w:sz w:val="24"/>
          <w:szCs w:val="24"/>
          <w:lang w:val="en-US"/>
        </w:rPr>
        <w:lastRenderedPageBreak/>
        <w:t>gdzie</w:t>
      </w:r>
      <w:proofErr w:type="spellEnd"/>
      <w:r w:rsidRPr="00EE5E22">
        <w:rPr>
          <w:sz w:val="24"/>
          <w:szCs w:val="24"/>
          <w:lang w:val="en-US"/>
        </w:rPr>
        <w:t xml:space="preserve">: </w:t>
      </w:r>
    </w:p>
    <w:p w14:paraId="61C44B85" w14:textId="77777777" w:rsidR="00824654" w:rsidRPr="00EE5E22" w:rsidRDefault="00824654" w:rsidP="00824654">
      <w:pPr>
        <w:spacing w:after="0" w:line="280" w:lineRule="atLeast"/>
        <w:rPr>
          <w:sz w:val="24"/>
          <w:szCs w:val="24"/>
          <w:lang w:val="en-US"/>
        </w:rPr>
      </w:pPr>
      <w:r w:rsidRPr="00EE5E22">
        <w:rPr>
          <w:sz w:val="24"/>
          <w:szCs w:val="24"/>
        </w:rPr>
        <w:t>β</w:t>
      </w:r>
      <w:r w:rsidRPr="00EE5E22">
        <w:rPr>
          <w:sz w:val="28"/>
          <w:szCs w:val="28"/>
          <w:vertAlign w:val="subscript"/>
          <w:lang w:val="en-US"/>
        </w:rPr>
        <w:t>e</w:t>
      </w:r>
      <w:r w:rsidRPr="00EE5E22">
        <w:rPr>
          <w:sz w:val="24"/>
          <w:szCs w:val="24"/>
          <w:lang w:val="en-US"/>
        </w:rPr>
        <w:t xml:space="preserve">  –  equity beta, </w:t>
      </w:r>
    </w:p>
    <w:p w14:paraId="4292080E" w14:textId="77777777" w:rsidR="00824654" w:rsidRPr="00EE5E22" w:rsidRDefault="00824654" w:rsidP="00824654">
      <w:pPr>
        <w:spacing w:after="0" w:line="280" w:lineRule="atLeast"/>
        <w:rPr>
          <w:sz w:val="24"/>
          <w:szCs w:val="24"/>
          <w:lang w:val="en-US"/>
        </w:rPr>
      </w:pPr>
      <w:r w:rsidRPr="00EE5E22">
        <w:rPr>
          <w:sz w:val="24"/>
          <w:szCs w:val="24"/>
        </w:rPr>
        <w:t>β</w:t>
      </w:r>
      <w:r w:rsidRPr="00EE5E22">
        <w:rPr>
          <w:sz w:val="28"/>
          <w:szCs w:val="28"/>
          <w:vertAlign w:val="subscript"/>
          <w:lang w:val="en-US"/>
        </w:rPr>
        <w:t>a</w:t>
      </w:r>
      <w:r w:rsidRPr="00EE5E22">
        <w:rPr>
          <w:sz w:val="24"/>
          <w:szCs w:val="24"/>
          <w:lang w:val="en-US"/>
        </w:rPr>
        <w:t xml:space="preserve">  –  asset beta, </w:t>
      </w:r>
    </w:p>
    <w:p w14:paraId="774BD9A6" w14:textId="753831F3" w:rsidR="00824654" w:rsidRPr="00EE5E22" w:rsidRDefault="002239CF" w:rsidP="00824654">
      <w:pPr>
        <w:spacing w:after="0" w:line="280" w:lineRule="atLeast"/>
        <w:rPr>
          <w:sz w:val="24"/>
          <w:szCs w:val="24"/>
        </w:rPr>
      </w:pPr>
      <w:r>
        <w:rPr>
          <w:sz w:val="24"/>
          <w:szCs w:val="24"/>
        </w:rPr>
        <w:t>KO</w:t>
      </w:r>
      <w:r w:rsidRPr="00EE5E22">
        <w:rPr>
          <w:sz w:val="24"/>
          <w:szCs w:val="24"/>
        </w:rPr>
        <w:t xml:space="preserve">  </w:t>
      </w:r>
      <w:r w:rsidR="00824654" w:rsidRPr="00EE5E22">
        <w:rPr>
          <w:sz w:val="24"/>
          <w:szCs w:val="24"/>
        </w:rPr>
        <w:t xml:space="preserve">–  kapitał obcy, </w:t>
      </w:r>
    </w:p>
    <w:p w14:paraId="33E9A9F8" w14:textId="07E125CD" w:rsidR="00824654" w:rsidRPr="00EE5E22" w:rsidRDefault="002239CF" w:rsidP="00824654">
      <w:pPr>
        <w:spacing w:after="0" w:line="280" w:lineRule="atLeast"/>
        <w:rPr>
          <w:sz w:val="24"/>
          <w:szCs w:val="24"/>
        </w:rPr>
      </w:pPr>
      <w:r>
        <w:rPr>
          <w:sz w:val="24"/>
          <w:szCs w:val="24"/>
        </w:rPr>
        <w:t>KW</w:t>
      </w:r>
      <w:r w:rsidRPr="00EE5E22">
        <w:rPr>
          <w:sz w:val="24"/>
          <w:szCs w:val="24"/>
        </w:rPr>
        <w:t xml:space="preserve">  </w:t>
      </w:r>
      <w:r w:rsidR="00824654" w:rsidRPr="00EE5E22">
        <w:rPr>
          <w:sz w:val="24"/>
          <w:szCs w:val="24"/>
        </w:rPr>
        <w:t xml:space="preserve">–  kapitał własny, </w:t>
      </w:r>
    </w:p>
    <w:p w14:paraId="262A61E4" w14:textId="77777777" w:rsidR="00824654" w:rsidRDefault="00824654" w:rsidP="00824654">
      <w:pPr>
        <w:spacing w:after="0" w:line="280" w:lineRule="atLeast"/>
        <w:rPr>
          <w:sz w:val="24"/>
          <w:szCs w:val="24"/>
        </w:rPr>
      </w:pPr>
      <w:r w:rsidRPr="00EE5E22">
        <w:rPr>
          <w:sz w:val="24"/>
          <w:szCs w:val="24"/>
        </w:rPr>
        <w:t>t  –  stopa podatku dochodowego [w %].</w:t>
      </w:r>
    </w:p>
    <w:p w14:paraId="42FA36A7" w14:textId="77777777" w:rsidR="00824654" w:rsidRDefault="00824654" w:rsidP="00824654">
      <w:pPr>
        <w:spacing w:after="0" w:line="280" w:lineRule="atLeast"/>
        <w:rPr>
          <w:sz w:val="24"/>
          <w:szCs w:val="24"/>
        </w:rPr>
      </w:pPr>
    </w:p>
    <w:p w14:paraId="140F81CF" w14:textId="77777777" w:rsidR="00824654" w:rsidRPr="00EE5E22" w:rsidRDefault="00824654" w:rsidP="00824654">
      <w:pPr>
        <w:spacing w:after="0" w:line="280" w:lineRule="atLeast"/>
        <w:rPr>
          <w:sz w:val="24"/>
          <w:szCs w:val="24"/>
        </w:rPr>
      </w:pPr>
      <w:r>
        <w:rPr>
          <w:sz w:val="24"/>
          <w:szCs w:val="24"/>
        </w:rPr>
        <w:t>Współczynnik „</w:t>
      </w:r>
      <w:proofErr w:type="spellStart"/>
      <w:r>
        <w:rPr>
          <w:sz w:val="24"/>
          <w:szCs w:val="24"/>
        </w:rPr>
        <w:t>asset</w:t>
      </w:r>
      <w:proofErr w:type="spellEnd"/>
      <w:r>
        <w:rPr>
          <w:sz w:val="24"/>
          <w:szCs w:val="24"/>
        </w:rPr>
        <w:t xml:space="preserve"> beta” (</w:t>
      </w:r>
      <w:r w:rsidRPr="00EE5E22">
        <w:rPr>
          <w:sz w:val="24"/>
          <w:szCs w:val="24"/>
        </w:rPr>
        <w:t>β</w:t>
      </w:r>
      <w:r w:rsidRPr="00403241">
        <w:rPr>
          <w:sz w:val="28"/>
          <w:szCs w:val="28"/>
          <w:vertAlign w:val="subscript"/>
        </w:rPr>
        <w:t>a</w:t>
      </w:r>
      <w:r>
        <w:rPr>
          <w:sz w:val="24"/>
          <w:szCs w:val="24"/>
        </w:rPr>
        <w:t xml:space="preserve">) należy przyjąć w wysokości 0,4 </w:t>
      </w:r>
      <w:r>
        <w:rPr>
          <w:rStyle w:val="Odwoanieprzypisudolnego"/>
          <w:sz w:val="24"/>
          <w:szCs w:val="24"/>
        </w:rPr>
        <w:footnoteReference w:id="9"/>
      </w:r>
      <w:r>
        <w:rPr>
          <w:sz w:val="24"/>
          <w:szCs w:val="24"/>
        </w:rPr>
        <w:t>.</w:t>
      </w:r>
    </w:p>
    <w:p w14:paraId="31F38D36" w14:textId="77777777" w:rsidR="00824654" w:rsidRDefault="00824654" w:rsidP="00346BEF">
      <w:pPr>
        <w:spacing w:after="0" w:line="280" w:lineRule="atLeast"/>
        <w:rPr>
          <w:sz w:val="24"/>
          <w:szCs w:val="24"/>
        </w:rPr>
      </w:pPr>
    </w:p>
    <w:p w14:paraId="21C5E912" w14:textId="77777777" w:rsidR="00824654" w:rsidRDefault="00824654" w:rsidP="00346BEF">
      <w:pPr>
        <w:spacing w:after="0" w:line="280" w:lineRule="atLeast"/>
        <w:rPr>
          <w:sz w:val="24"/>
          <w:szCs w:val="24"/>
        </w:rPr>
      </w:pPr>
    </w:p>
    <w:p w14:paraId="1416E06E" w14:textId="38FC8724" w:rsidR="00FB307F" w:rsidRDefault="006E73DA" w:rsidP="00FA00F2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Wyliczona l</w:t>
      </w:r>
      <w:r w:rsidR="00DB0BD0">
        <w:rPr>
          <w:color w:val="000000"/>
          <w:sz w:val="24"/>
          <w:szCs w:val="24"/>
          <w:shd w:val="clear" w:color="auto" w:fill="FFFFFF"/>
        </w:rPr>
        <w:t xml:space="preserve">uka w finansowaniu odpowiada maksymalnej wartości pomocy publicznej na koszty </w:t>
      </w:r>
      <w:r w:rsidR="006712D8">
        <w:rPr>
          <w:color w:val="000000"/>
          <w:sz w:val="24"/>
          <w:szCs w:val="24"/>
          <w:shd w:val="clear" w:color="auto" w:fill="FFFFFF"/>
        </w:rPr>
        <w:t xml:space="preserve">kwalifikowalne </w:t>
      </w:r>
      <w:r w:rsidR="00DB0BD0">
        <w:rPr>
          <w:color w:val="000000"/>
          <w:sz w:val="24"/>
          <w:szCs w:val="24"/>
          <w:shd w:val="clear" w:color="auto" w:fill="FFFFFF"/>
        </w:rPr>
        <w:t>inwestycyjne. Jeżeli Wnioskodawca otrzymał na</w:t>
      </w:r>
      <w:r w:rsidR="00D97442">
        <w:rPr>
          <w:color w:val="000000"/>
          <w:sz w:val="24"/>
          <w:szCs w:val="24"/>
          <w:shd w:val="clear" w:color="auto" w:fill="FFFFFF"/>
        </w:rPr>
        <w:t xml:space="preserve"> te koszty inną pomoc publiczną</w:t>
      </w:r>
      <w:r w:rsidR="00811CF4">
        <w:rPr>
          <w:color w:val="000000"/>
          <w:sz w:val="24"/>
          <w:szCs w:val="24"/>
          <w:shd w:val="clear" w:color="auto" w:fill="FFFFFF"/>
        </w:rPr>
        <w:t xml:space="preserve"> (w tym także pomoc de minimis)</w:t>
      </w:r>
      <w:r w:rsidR="00D97442">
        <w:rPr>
          <w:color w:val="000000"/>
          <w:sz w:val="24"/>
          <w:szCs w:val="24"/>
          <w:shd w:val="clear" w:color="auto" w:fill="FFFFFF"/>
        </w:rPr>
        <w:t xml:space="preserve">, to lukę należy </w:t>
      </w:r>
      <w:r w:rsidR="00811CF4">
        <w:rPr>
          <w:color w:val="000000"/>
          <w:sz w:val="24"/>
          <w:szCs w:val="24"/>
          <w:shd w:val="clear" w:color="auto" w:fill="FFFFFF"/>
        </w:rPr>
        <w:t>pomniejszyć o wartość otrzymanej pomocy.</w:t>
      </w:r>
    </w:p>
    <w:p w14:paraId="4CAC9C19" w14:textId="77777777" w:rsidR="00DB0BD0" w:rsidRDefault="00DB0BD0" w:rsidP="00FA00F2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</w:p>
    <w:p w14:paraId="14ED5782" w14:textId="77777777" w:rsidR="003E57CA" w:rsidRDefault="003E57CA" w:rsidP="00FA00F2">
      <w:pPr>
        <w:spacing w:after="0" w:line="280" w:lineRule="atLeast"/>
        <w:ind w:left="993" w:hanging="993"/>
        <w:jc w:val="both"/>
        <w:rPr>
          <w:b/>
          <w:sz w:val="24"/>
          <w:szCs w:val="24"/>
        </w:rPr>
      </w:pPr>
      <w:r w:rsidRPr="00346BEF">
        <w:rPr>
          <w:b/>
          <w:sz w:val="24"/>
          <w:szCs w:val="24"/>
        </w:rPr>
        <w:t xml:space="preserve">KROK 2 </w:t>
      </w:r>
      <w:r>
        <w:rPr>
          <w:b/>
          <w:sz w:val="24"/>
          <w:szCs w:val="24"/>
        </w:rPr>
        <w:t xml:space="preserve">– Obliczenie kwoty </w:t>
      </w:r>
      <w:r w:rsidR="005F7DEA">
        <w:rPr>
          <w:b/>
          <w:sz w:val="24"/>
          <w:szCs w:val="24"/>
        </w:rPr>
        <w:t>dofinansowania</w:t>
      </w:r>
      <w:r>
        <w:rPr>
          <w:b/>
          <w:sz w:val="24"/>
          <w:szCs w:val="24"/>
        </w:rPr>
        <w:t xml:space="preserve"> na  </w:t>
      </w:r>
      <w:r w:rsidRPr="003E57CA">
        <w:rPr>
          <w:b/>
          <w:sz w:val="24"/>
          <w:szCs w:val="24"/>
        </w:rPr>
        <w:t>koszty kwalifikowalne inwestycyjne</w:t>
      </w:r>
      <w:r>
        <w:rPr>
          <w:b/>
          <w:sz w:val="24"/>
          <w:szCs w:val="24"/>
        </w:rPr>
        <w:t xml:space="preserve"> </w:t>
      </w:r>
      <w:r w:rsidR="00972035">
        <w:rPr>
          <w:b/>
          <w:sz w:val="24"/>
          <w:szCs w:val="24"/>
        </w:rPr>
        <w:t>(</w:t>
      </w:r>
      <w:proofErr w:type="spellStart"/>
      <w:r w:rsidR="00972035">
        <w:rPr>
          <w:b/>
          <w:sz w:val="24"/>
          <w:szCs w:val="24"/>
        </w:rPr>
        <w:t>D</w:t>
      </w:r>
      <w:r w:rsidR="00972035" w:rsidRPr="00972035">
        <w:rPr>
          <w:b/>
          <w:sz w:val="28"/>
          <w:szCs w:val="28"/>
          <w:vertAlign w:val="subscript"/>
        </w:rPr>
        <w:t>inw</w:t>
      </w:r>
      <w:proofErr w:type="spellEnd"/>
      <w:r w:rsidR="00972035">
        <w:rPr>
          <w:b/>
          <w:sz w:val="24"/>
          <w:szCs w:val="24"/>
        </w:rPr>
        <w:t>)</w:t>
      </w:r>
    </w:p>
    <w:p w14:paraId="7042C355" w14:textId="77777777" w:rsidR="003E57CA" w:rsidRDefault="003E57CA" w:rsidP="00FA00F2">
      <w:pPr>
        <w:spacing w:after="0" w:line="280" w:lineRule="atLeast"/>
        <w:ind w:left="993" w:hanging="993"/>
        <w:jc w:val="both"/>
        <w:rPr>
          <w:b/>
          <w:sz w:val="24"/>
          <w:szCs w:val="24"/>
        </w:rPr>
      </w:pPr>
    </w:p>
    <w:p w14:paraId="4C4C7B0E" w14:textId="77777777" w:rsidR="003E57CA" w:rsidRPr="00AB6957" w:rsidRDefault="00AB6957" w:rsidP="00FA00F2">
      <w:pPr>
        <w:spacing w:after="0" w:line="280" w:lineRule="atLeast"/>
        <w:jc w:val="both"/>
        <w:rPr>
          <w:sz w:val="24"/>
          <w:szCs w:val="24"/>
        </w:rPr>
      </w:pPr>
      <w:r w:rsidRPr="00AB6957">
        <w:rPr>
          <w:sz w:val="24"/>
          <w:szCs w:val="24"/>
        </w:rPr>
        <w:t>Należy s</w:t>
      </w:r>
      <w:r w:rsidR="003E57CA" w:rsidRPr="00AB6957">
        <w:rPr>
          <w:sz w:val="24"/>
          <w:szCs w:val="24"/>
        </w:rPr>
        <w:t>prawdz</w:t>
      </w:r>
      <w:r w:rsidRPr="00AB6957">
        <w:rPr>
          <w:sz w:val="24"/>
          <w:szCs w:val="24"/>
        </w:rPr>
        <w:t>ić,</w:t>
      </w:r>
      <w:r w:rsidR="003E57CA" w:rsidRPr="00AB6957">
        <w:rPr>
          <w:sz w:val="24"/>
          <w:szCs w:val="24"/>
        </w:rPr>
        <w:t xml:space="preserve"> czy kwota wyliczona w KROKU 1  (tj. luka finansowa pomniejszona o wartość innej pomocy na koszty kwalifikowalne inwestycyjne) nie przekracza 79,71% kosztów kwalifikowalnych inwestycyjnych</w:t>
      </w:r>
      <w:r>
        <w:rPr>
          <w:sz w:val="24"/>
          <w:szCs w:val="24"/>
        </w:rPr>
        <w:t xml:space="preserve"> (bezpośrednich i pośrednich). </w:t>
      </w:r>
    </w:p>
    <w:p w14:paraId="2D19A692" w14:textId="77777777" w:rsidR="005F7DEA" w:rsidRDefault="003E57CA" w:rsidP="00FA00F2">
      <w:pPr>
        <w:spacing w:after="0" w:line="280" w:lineRule="atLeast"/>
        <w:jc w:val="both"/>
        <w:rPr>
          <w:sz w:val="24"/>
          <w:szCs w:val="24"/>
        </w:rPr>
      </w:pPr>
      <w:r w:rsidRPr="00AB6957">
        <w:rPr>
          <w:sz w:val="24"/>
          <w:szCs w:val="24"/>
        </w:rPr>
        <w:t xml:space="preserve">Jeśli </w:t>
      </w:r>
      <w:r w:rsidR="005F7DEA">
        <w:rPr>
          <w:sz w:val="24"/>
          <w:szCs w:val="24"/>
        </w:rPr>
        <w:t xml:space="preserve">nie przekracza, to jest </w:t>
      </w:r>
      <w:r w:rsidR="007C2E19">
        <w:rPr>
          <w:sz w:val="24"/>
          <w:szCs w:val="24"/>
        </w:rPr>
        <w:t xml:space="preserve">to </w:t>
      </w:r>
      <w:r w:rsidR="005F7DEA">
        <w:rPr>
          <w:sz w:val="24"/>
          <w:szCs w:val="24"/>
        </w:rPr>
        <w:t xml:space="preserve">maksymalna </w:t>
      </w:r>
      <w:r w:rsidR="000777B7">
        <w:rPr>
          <w:sz w:val="24"/>
          <w:szCs w:val="24"/>
        </w:rPr>
        <w:t>kwota</w:t>
      </w:r>
      <w:r w:rsidR="005F7DEA">
        <w:rPr>
          <w:sz w:val="24"/>
          <w:szCs w:val="24"/>
        </w:rPr>
        <w:t xml:space="preserve"> dofinansowania </w:t>
      </w:r>
      <w:r w:rsidR="005F7DEA" w:rsidRPr="005F7DEA">
        <w:rPr>
          <w:sz w:val="24"/>
          <w:szCs w:val="24"/>
        </w:rPr>
        <w:t>na  koszty kwalifikowalne inwestycyjne</w:t>
      </w:r>
      <w:r w:rsidR="005F7DEA">
        <w:rPr>
          <w:sz w:val="24"/>
          <w:szCs w:val="24"/>
        </w:rPr>
        <w:t xml:space="preserve">. </w:t>
      </w:r>
    </w:p>
    <w:p w14:paraId="4C180AC0" w14:textId="77777777" w:rsidR="002D7396" w:rsidRPr="00AB6957" w:rsidRDefault="005F7DEA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Jeśli natomiast przekracza, to maksymalna </w:t>
      </w:r>
      <w:r w:rsidR="000777B7">
        <w:rPr>
          <w:sz w:val="24"/>
          <w:szCs w:val="24"/>
        </w:rPr>
        <w:t>kwota</w:t>
      </w:r>
      <w:r>
        <w:rPr>
          <w:sz w:val="24"/>
          <w:szCs w:val="24"/>
        </w:rPr>
        <w:t xml:space="preserve"> dofinansowania</w:t>
      </w:r>
      <w:r w:rsidRPr="005F7D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Pr="005F7DEA">
        <w:rPr>
          <w:sz w:val="24"/>
          <w:szCs w:val="24"/>
        </w:rPr>
        <w:t>koszty kwalifikowalne inwestycyjne</w:t>
      </w:r>
      <w:r>
        <w:rPr>
          <w:sz w:val="24"/>
          <w:szCs w:val="24"/>
        </w:rPr>
        <w:t xml:space="preserve"> </w:t>
      </w:r>
      <w:r w:rsidR="007C2E19">
        <w:rPr>
          <w:sz w:val="24"/>
          <w:szCs w:val="24"/>
        </w:rPr>
        <w:t>wynosi</w:t>
      </w:r>
      <w:r>
        <w:rPr>
          <w:sz w:val="24"/>
          <w:szCs w:val="24"/>
        </w:rPr>
        <w:t xml:space="preserve"> </w:t>
      </w:r>
      <w:r w:rsidR="007C2E19" w:rsidRPr="00AB6957">
        <w:rPr>
          <w:sz w:val="24"/>
          <w:szCs w:val="24"/>
        </w:rPr>
        <w:t>79,71% kosztów kwalifikowalnych inwestycyjnych</w:t>
      </w:r>
      <w:r w:rsidR="007C2E19">
        <w:rPr>
          <w:sz w:val="24"/>
          <w:szCs w:val="24"/>
        </w:rPr>
        <w:t xml:space="preserve">. </w:t>
      </w:r>
    </w:p>
    <w:p w14:paraId="51614E2D" w14:textId="77777777" w:rsidR="007C2E19" w:rsidRPr="002D7396" w:rsidRDefault="007C2E19" w:rsidP="00FA00F2">
      <w:pPr>
        <w:spacing w:after="0" w:line="280" w:lineRule="atLeast"/>
        <w:jc w:val="both"/>
        <w:rPr>
          <w:color w:val="000000"/>
          <w:sz w:val="24"/>
          <w:szCs w:val="24"/>
          <w:shd w:val="clear" w:color="auto" w:fill="FFFFFF"/>
        </w:rPr>
      </w:pPr>
    </w:p>
    <w:p w14:paraId="1D00F9CE" w14:textId="77777777" w:rsidR="00346BEF" w:rsidRPr="00346BEF" w:rsidRDefault="00346BEF" w:rsidP="00FA00F2">
      <w:pPr>
        <w:spacing w:after="0" w:line="280" w:lineRule="atLeast"/>
        <w:ind w:left="993" w:hanging="993"/>
        <w:jc w:val="both"/>
        <w:rPr>
          <w:b/>
          <w:sz w:val="24"/>
          <w:szCs w:val="24"/>
        </w:rPr>
      </w:pPr>
      <w:r w:rsidRPr="00346BEF">
        <w:rPr>
          <w:b/>
          <w:sz w:val="24"/>
          <w:szCs w:val="24"/>
        </w:rPr>
        <w:t xml:space="preserve">KROK </w:t>
      </w:r>
      <w:r w:rsidR="003E57CA">
        <w:rPr>
          <w:b/>
          <w:sz w:val="24"/>
          <w:szCs w:val="24"/>
        </w:rPr>
        <w:t>3</w:t>
      </w:r>
      <w:r w:rsidRPr="00346B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Ustalenie </w:t>
      </w:r>
      <w:r w:rsidR="007C2E19">
        <w:rPr>
          <w:b/>
          <w:sz w:val="24"/>
          <w:szCs w:val="24"/>
        </w:rPr>
        <w:t xml:space="preserve">maksymalnej </w:t>
      </w:r>
      <w:r w:rsidR="00DB0BD0">
        <w:rPr>
          <w:b/>
          <w:sz w:val="24"/>
          <w:szCs w:val="24"/>
        </w:rPr>
        <w:t xml:space="preserve">kwoty </w:t>
      </w:r>
      <w:r>
        <w:rPr>
          <w:b/>
          <w:sz w:val="24"/>
          <w:szCs w:val="24"/>
        </w:rPr>
        <w:t xml:space="preserve">pomocy de minimis </w:t>
      </w:r>
      <w:r w:rsidR="007C2E19">
        <w:rPr>
          <w:b/>
          <w:sz w:val="24"/>
          <w:szCs w:val="24"/>
        </w:rPr>
        <w:t>dla Wnioskodawcy</w:t>
      </w:r>
    </w:p>
    <w:p w14:paraId="497C0510" w14:textId="77777777" w:rsidR="006E519C" w:rsidRDefault="006E519C" w:rsidP="00FA00F2">
      <w:pPr>
        <w:spacing w:after="0" w:line="280" w:lineRule="atLeast"/>
        <w:jc w:val="both"/>
        <w:rPr>
          <w:sz w:val="24"/>
          <w:szCs w:val="24"/>
        </w:rPr>
      </w:pPr>
    </w:p>
    <w:p w14:paraId="35DB1D9D" w14:textId="41DA6BD2" w:rsidR="00346BEF" w:rsidRDefault="00972035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Maksymalna kwota pomocy de minimis</w:t>
      </w:r>
      <w:r w:rsidR="00824654">
        <w:rPr>
          <w:sz w:val="24"/>
          <w:szCs w:val="24"/>
        </w:rPr>
        <w:t xml:space="preserve"> </w:t>
      </w:r>
      <w:r w:rsidR="00B72814">
        <w:rPr>
          <w:sz w:val="24"/>
          <w:szCs w:val="24"/>
        </w:rPr>
        <w:t>jest określona w</w:t>
      </w:r>
      <w:r>
        <w:rPr>
          <w:sz w:val="24"/>
          <w:szCs w:val="24"/>
        </w:rPr>
        <w:t xml:space="preserve"> </w:t>
      </w:r>
      <w:r w:rsidR="00824654">
        <w:rPr>
          <w:sz w:val="24"/>
          <w:szCs w:val="24"/>
        </w:rPr>
        <w:t>euro</w:t>
      </w:r>
      <w:r w:rsidR="00824654">
        <w:rPr>
          <w:rStyle w:val="Odwoanieprzypisudolnego"/>
          <w:sz w:val="24"/>
          <w:szCs w:val="24"/>
        </w:rPr>
        <w:footnoteReference w:id="10"/>
      </w:r>
      <w:r w:rsidR="00824654">
        <w:rPr>
          <w:sz w:val="24"/>
          <w:szCs w:val="24"/>
        </w:rPr>
        <w:t xml:space="preserve"> dla „jednego przedsiębiorstwa” na 3 lata. </w:t>
      </w:r>
    </w:p>
    <w:p w14:paraId="320BF1F8" w14:textId="77777777" w:rsidR="00824654" w:rsidRP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>"Jedno przedsiębiorstwo" obejmuje wszystkie jednostki gospodarcze, które są ze sobą powiązane co najmniej jednym z następujących stosunków:</w:t>
      </w:r>
    </w:p>
    <w:p w14:paraId="0F4E7A15" w14:textId="77777777" w:rsidR="00824654" w:rsidRP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>a) jedna jednostka gospodarcza posiada w drugiej jednostce gospodarczej większość praw głosu akcjonariuszy, wspólników lub członków;</w:t>
      </w:r>
    </w:p>
    <w:p w14:paraId="50AE39F1" w14:textId="77777777" w:rsidR="00824654" w:rsidRP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>b) jedna jednostka gospodarcza ma prawo wyznaczyć lub odwołać większość członków organu administracyjnego, zarządzającego lub nadzorczego innej jednostki gospodarczej;</w:t>
      </w:r>
    </w:p>
    <w:p w14:paraId="46F1A2E0" w14:textId="77777777" w:rsidR="00824654" w:rsidRP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3F023A6D" w14:textId="77777777" w:rsidR="00824654" w:rsidRP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 xml:space="preserve">d) jedna jednostka gospodarcza, która jest akcjonariuszem lub wspólnikiem w innej jednostce gospodarczej lub jej członkiem, samodzielnie kontroluje, zgodnie z </w:t>
      </w:r>
      <w:r w:rsidRPr="00824654">
        <w:rPr>
          <w:sz w:val="24"/>
          <w:szCs w:val="24"/>
        </w:rPr>
        <w:lastRenderedPageBreak/>
        <w:t>porozumieniem z innymi akcjonariuszami, wspólnikami lub członkami tej jednostki, większość praw głosu akcjonariuszy, wspólników lub członków tej jednostki.</w:t>
      </w:r>
    </w:p>
    <w:p w14:paraId="53883346" w14:textId="77777777" w:rsidR="00824654" w:rsidRP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 xml:space="preserve"> </w:t>
      </w:r>
    </w:p>
    <w:p w14:paraId="2B23EFCE" w14:textId="77777777" w:rsidR="00824654" w:rsidRP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1CB3707A" w14:textId="77777777" w:rsidR="00824654" w:rsidRP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 xml:space="preserve"> </w:t>
      </w:r>
    </w:p>
    <w:p w14:paraId="2AEECC77" w14:textId="77777777" w:rsidR="00824654" w:rsidRDefault="00824654" w:rsidP="00FA00F2">
      <w:pPr>
        <w:spacing w:after="0" w:line="280" w:lineRule="atLeast"/>
        <w:ind w:left="567"/>
        <w:jc w:val="both"/>
        <w:rPr>
          <w:sz w:val="24"/>
          <w:szCs w:val="24"/>
        </w:rPr>
      </w:pPr>
      <w:r w:rsidRPr="00824654">
        <w:rPr>
          <w:sz w:val="24"/>
          <w:szCs w:val="24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2626CA66" w14:textId="77777777" w:rsidR="00824654" w:rsidRDefault="00824654" w:rsidP="00FA00F2">
      <w:pPr>
        <w:spacing w:after="0" w:line="280" w:lineRule="atLeast"/>
        <w:jc w:val="both"/>
        <w:rPr>
          <w:color w:val="FF0000"/>
          <w:sz w:val="24"/>
          <w:szCs w:val="24"/>
          <w:highlight w:val="yellow"/>
        </w:rPr>
      </w:pPr>
    </w:p>
    <w:p w14:paraId="392F6460" w14:textId="1B72276F" w:rsidR="00824654" w:rsidRDefault="00824654" w:rsidP="00FA00F2">
      <w:pPr>
        <w:spacing w:after="0" w:line="280" w:lineRule="atLeast"/>
        <w:jc w:val="both"/>
        <w:rPr>
          <w:sz w:val="24"/>
          <w:szCs w:val="24"/>
        </w:rPr>
      </w:pPr>
      <w:r w:rsidRPr="000777B7">
        <w:rPr>
          <w:sz w:val="24"/>
          <w:szCs w:val="24"/>
        </w:rPr>
        <w:t>Aby obliczyć maksymalną kwotę pomocy</w:t>
      </w:r>
      <w:r>
        <w:rPr>
          <w:sz w:val="24"/>
          <w:szCs w:val="24"/>
        </w:rPr>
        <w:t xml:space="preserve"> de minimis nal</w:t>
      </w:r>
      <w:r w:rsidR="00B72814">
        <w:rPr>
          <w:sz w:val="24"/>
          <w:szCs w:val="24"/>
        </w:rPr>
        <w:t>eży od limitu pomocy de minimis</w:t>
      </w:r>
      <w:r w:rsidR="00B72814">
        <w:rPr>
          <w:rStyle w:val="Odwoanieprzypisudolnego"/>
          <w:sz w:val="24"/>
          <w:szCs w:val="24"/>
        </w:rPr>
        <w:footnoteReference w:id="11"/>
      </w:r>
      <w:r w:rsidR="000777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odjąć wartość pomocy de minimis otrzymanej </w:t>
      </w:r>
      <w:r w:rsidR="000777B7">
        <w:rPr>
          <w:sz w:val="24"/>
          <w:szCs w:val="24"/>
        </w:rPr>
        <w:t xml:space="preserve">w ostatnich 3 latach </w:t>
      </w:r>
      <w:r>
        <w:rPr>
          <w:sz w:val="24"/>
          <w:szCs w:val="24"/>
        </w:rPr>
        <w:t>przez Wnioskodawcę oraz podmioty z nim powiązane.</w:t>
      </w:r>
    </w:p>
    <w:p w14:paraId="6A2A8EFD" w14:textId="77777777" w:rsidR="00824654" w:rsidRDefault="00824654" w:rsidP="00FA00F2">
      <w:pPr>
        <w:spacing w:after="0" w:line="280" w:lineRule="atLeast"/>
        <w:jc w:val="both"/>
        <w:rPr>
          <w:sz w:val="24"/>
          <w:szCs w:val="24"/>
        </w:rPr>
      </w:pPr>
    </w:p>
    <w:p w14:paraId="7DBC7120" w14:textId="611E57CB" w:rsidR="00824654" w:rsidRDefault="00824654" w:rsidP="00FA00F2">
      <w:pPr>
        <w:spacing w:after="0" w:line="280" w:lineRule="atLeast"/>
        <w:ind w:left="993" w:hanging="993"/>
        <w:jc w:val="both"/>
        <w:rPr>
          <w:b/>
          <w:sz w:val="24"/>
          <w:szCs w:val="24"/>
        </w:rPr>
      </w:pPr>
      <w:r w:rsidRPr="00346BEF">
        <w:rPr>
          <w:b/>
          <w:sz w:val="24"/>
          <w:szCs w:val="24"/>
        </w:rPr>
        <w:t xml:space="preserve">KROK </w:t>
      </w:r>
      <w:r>
        <w:rPr>
          <w:b/>
          <w:sz w:val="24"/>
          <w:szCs w:val="24"/>
        </w:rPr>
        <w:t>4</w:t>
      </w:r>
      <w:r w:rsidRPr="00346B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Obliczenie kwoty dofinansowania na  </w:t>
      </w:r>
      <w:r w:rsidRPr="003E57CA">
        <w:rPr>
          <w:b/>
          <w:sz w:val="24"/>
          <w:szCs w:val="24"/>
        </w:rPr>
        <w:t xml:space="preserve">koszty kwalifikowalne </w:t>
      </w:r>
      <w:r>
        <w:rPr>
          <w:b/>
          <w:sz w:val="24"/>
          <w:szCs w:val="24"/>
        </w:rPr>
        <w:t>działań edukacyjnych (</w:t>
      </w:r>
      <w:proofErr w:type="spellStart"/>
      <w:r w:rsidR="00C74EAC">
        <w:rPr>
          <w:b/>
          <w:sz w:val="24"/>
          <w:szCs w:val="24"/>
        </w:rPr>
        <w:t>D</w:t>
      </w:r>
      <w:r w:rsidR="00C74EAC">
        <w:rPr>
          <w:b/>
          <w:sz w:val="28"/>
          <w:szCs w:val="28"/>
          <w:vertAlign w:val="subscript"/>
        </w:rPr>
        <w:t>edu</w:t>
      </w:r>
      <w:proofErr w:type="spellEnd"/>
      <w:r>
        <w:rPr>
          <w:b/>
          <w:sz w:val="24"/>
          <w:szCs w:val="24"/>
        </w:rPr>
        <w:t>)</w:t>
      </w:r>
    </w:p>
    <w:p w14:paraId="414CC413" w14:textId="77777777" w:rsidR="00824654" w:rsidRDefault="00824654" w:rsidP="00FA00F2">
      <w:pPr>
        <w:spacing w:after="0" w:line="280" w:lineRule="atLeast"/>
        <w:jc w:val="both"/>
        <w:rPr>
          <w:color w:val="FF0000"/>
          <w:sz w:val="24"/>
          <w:szCs w:val="24"/>
          <w:highlight w:val="yellow"/>
        </w:rPr>
      </w:pPr>
    </w:p>
    <w:p w14:paraId="390AD2A9" w14:textId="785732F1" w:rsidR="000777B7" w:rsidRPr="00AB6957" w:rsidRDefault="000777B7" w:rsidP="00FA00F2">
      <w:pPr>
        <w:spacing w:after="0" w:line="280" w:lineRule="atLeast"/>
        <w:jc w:val="both"/>
        <w:rPr>
          <w:sz w:val="24"/>
          <w:szCs w:val="24"/>
        </w:rPr>
      </w:pPr>
      <w:r w:rsidRPr="00AB6957">
        <w:rPr>
          <w:sz w:val="24"/>
          <w:szCs w:val="24"/>
        </w:rPr>
        <w:t xml:space="preserve">Należy sprawdzić, czy kwota wyliczona w KROKU </w:t>
      </w:r>
      <w:r>
        <w:rPr>
          <w:sz w:val="24"/>
          <w:szCs w:val="24"/>
        </w:rPr>
        <w:t>3</w:t>
      </w:r>
      <w:r w:rsidRPr="00AB6957">
        <w:rPr>
          <w:sz w:val="24"/>
          <w:szCs w:val="24"/>
        </w:rPr>
        <w:t xml:space="preserve">  (tj. </w:t>
      </w:r>
      <w:r w:rsidR="00F61DE8" w:rsidRPr="000777B7">
        <w:rPr>
          <w:sz w:val="24"/>
          <w:szCs w:val="24"/>
        </w:rPr>
        <w:t>maksymaln</w:t>
      </w:r>
      <w:r w:rsidR="00F61DE8">
        <w:rPr>
          <w:sz w:val="24"/>
          <w:szCs w:val="24"/>
        </w:rPr>
        <w:t>a</w:t>
      </w:r>
      <w:r w:rsidR="00F61DE8" w:rsidRPr="000777B7">
        <w:rPr>
          <w:sz w:val="24"/>
          <w:szCs w:val="24"/>
        </w:rPr>
        <w:t xml:space="preserve"> kwot</w:t>
      </w:r>
      <w:r w:rsidR="00F61DE8">
        <w:rPr>
          <w:sz w:val="24"/>
          <w:szCs w:val="24"/>
        </w:rPr>
        <w:t>a</w:t>
      </w:r>
      <w:r w:rsidR="00F61DE8" w:rsidRPr="000777B7">
        <w:rPr>
          <w:sz w:val="24"/>
          <w:szCs w:val="24"/>
        </w:rPr>
        <w:t xml:space="preserve"> </w:t>
      </w:r>
      <w:r w:rsidRPr="000777B7">
        <w:rPr>
          <w:sz w:val="24"/>
          <w:szCs w:val="24"/>
        </w:rPr>
        <w:t>pomocy de minimis dla Wnioskodawcy</w:t>
      </w:r>
      <w:r w:rsidRPr="00AB6957">
        <w:rPr>
          <w:sz w:val="24"/>
          <w:szCs w:val="24"/>
        </w:rPr>
        <w:t xml:space="preserve">) nie przekracza 79,71% kosztów kwalifikowalnych </w:t>
      </w:r>
      <w:r w:rsidRPr="000777B7">
        <w:rPr>
          <w:sz w:val="24"/>
          <w:szCs w:val="24"/>
        </w:rPr>
        <w:t xml:space="preserve">działań edukacyjnych </w:t>
      </w:r>
      <w:r>
        <w:rPr>
          <w:sz w:val="24"/>
          <w:szCs w:val="24"/>
        </w:rPr>
        <w:t xml:space="preserve">(bezpośrednich i pośrednich). </w:t>
      </w:r>
    </w:p>
    <w:p w14:paraId="6F407B5A" w14:textId="77777777" w:rsidR="000777B7" w:rsidRDefault="000777B7" w:rsidP="00FA00F2">
      <w:pPr>
        <w:spacing w:after="0" w:line="280" w:lineRule="atLeast"/>
        <w:jc w:val="both"/>
        <w:rPr>
          <w:sz w:val="24"/>
          <w:szCs w:val="24"/>
        </w:rPr>
      </w:pPr>
      <w:r w:rsidRPr="00AB6957">
        <w:rPr>
          <w:sz w:val="24"/>
          <w:szCs w:val="24"/>
        </w:rPr>
        <w:t xml:space="preserve">Jeśli </w:t>
      </w:r>
      <w:r>
        <w:rPr>
          <w:sz w:val="24"/>
          <w:szCs w:val="24"/>
        </w:rPr>
        <w:t xml:space="preserve">nie przekracza, to jest to maksymalna kwota dofinansowania </w:t>
      </w:r>
      <w:r w:rsidRPr="005F7DEA">
        <w:rPr>
          <w:sz w:val="24"/>
          <w:szCs w:val="24"/>
        </w:rPr>
        <w:t xml:space="preserve">na  koszty </w:t>
      </w:r>
      <w:r w:rsidRPr="000777B7">
        <w:rPr>
          <w:sz w:val="24"/>
          <w:szCs w:val="24"/>
        </w:rPr>
        <w:t>działań edukacyjnych</w:t>
      </w:r>
      <w:r>
        <w:rPr>
          <w:sz w:val="24"/>
          <w:szCs w:val="24"/>
        </w:rPr>
        <w:t xml:space="preserve">. </w:t>
      </w:r>
    </w:p>
    <w:p w14:paraId="17C9235C" w14:textId="77777777" w:rsidR="000777B7" w:rsidRDefault="000777B7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Jeśli natomiast przekracza, to maksymalna kwota dofinansowania</w:t>
      </w:r>
      <w:r w:rsidRPr="005F7D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Pr="005F7DEA">
        <w:rPr>
          <w:sz w:val="24"/>
          <w:szCs w:val="24"/>
        </w:rPr>
        <w:t xml:space="preserve">koszty kwalifikowalne </w:t>
      </w:r>
      <w:r w:rsidRPr="000777B7">
        <w:rPr>
          <w:sz w:val="24"/>
          <w:szCs w:val="24"/>
        </w:rPr>
        <w:t xml:space="preserve">działań edukacyjnych </w:t>
      </w:r>
      <w:r>
        <w:rPr>
          <w:sz w:val="24"/>
          <w:szCs w:val="24"/>
        </w:rPr>
        <w:t xml:space="preserve">wynosi </w:t>
      </w:r>
      <w:r w:rsidRPr="00AB6957">
        <w:rPr>
          <w:sz w:val="24"/>
          <w:szCs w:val="24"/>
        </w:rPr>
        <w:t xml:space="preserve">79,71% kosztów kwalifikowalnych </w:t>
      </w:r>
      <w:r w:rsidRPr="000777B7">
        <w:rPr>
          <w:sz w:val="24"/>
          <w:szCs w:val="24"/>
        </w:rPr>
        <w:t>działań edukacyjnych</w:t>
      </w:r>
      <w:r>
        <w:rPr>
          <w:sz w:val="24"/>
          <w:szCs w:val="24"/>
        </w:rPr>
        <w:t xml:space="preserve">. </w:t>
      </w:r>
    </w:p>
    <w:p w14:paraId="1A5E370C" w14:textId="77777777" w:rsidR="00ED3386" w:rsidRDefault="00ED3386" w:rsidP="00FA00F2">
      <w:pPr>
        <w:spacing w:after="0" w:line="280" w:lineRule="atLeast"/>
        <w:jc w:val="both"/>
        <w:rPr>
          <w:sz w:val="24"/>
          <w:szCs w:val="24"/>
        </w:rPr>
      </w:pPr>
    </w:p>
    <w:p w14:paraId="2B728ACC" w14:textId="77777777" w:rsidR="00ED3386" w:rsidRPr="00ED3386" w:rsidRDefault="00ED3386" w:rsidP="00FA00F2">
      <w:pPr>
        <w:spacing w:after="0" w:line="280" w:lineRule="atLeast"/>
        <w:jc w:val="both"/>
        <w:rPr>
          <w:b/>
          <w:sz w:val="24"/>
          <w:szCs w:val="24"/>
        </w:rPr>
      </w:pPr>
      <w:r w:rsidRPr="00ED3386">
        <w:rPr>
          <w:b/>
          <w:sz w:val="24"/>
          <w:szCs w:val="24"/>
        </w:rPr>
        <w:t>KROK 5 – Obliczenie maksymalnej kwoty dofinansowania projektu</w:t>
      </w:r>
      <w:r>
        <w:rPr>
          <w:b/>
          <w:sz w:val="24"/>
          <w:szCs w:val="24"/>
        </w:rPr>
        <w:t xml:space="preserve"> (D)</w:t>
      </w:r>
    </w:p>
    <w:p w14:paraId="644379DE" w14:textId="77777777" w:rsidR="00ED3386" w:rsidRDefault="00ED3386" w:rsidP="00FA00F2">
      <w:pPr>
        <w:spacing w:after="0" w:line="280" w:lineRule="atLeast"/>
        <w:jc w:val="both"/>
        <w:rPr>
          <w:sz w:val="24"/>
          <w:szCs w:val="24"/>
        </w:rPr>
      </w:pPr>
    </w:p>
    <w:p w14:paraId="0BA7179D" w14:textId="77777777" w:rsidR="00ED3386" w:rsidRDefault="00ED3386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Maksymalna kwota dofinansowania projektu jest sumą kwot obliczonych w KROKU 2 i 4, czyli:</w:t>
      </w:r>
    </w:p>
    <w:p w14:paraId="24418CF9" w14:textId="77777777" w:rsidR="00ED3386" w:rsidRPr="00FA00F2" w:rsidRDefault="00ED3386" w:rsidP="00FA00F2">
      <w:pPr>
        <w:spacing w:after="0" w:line="280" w:lineRule="atLeast"/>
        <w:ind w:firstLine="708"/>
        <w:jc w:val="both"/>
        <w:rPr>
          <w:sz w:val="26"/>
          <w:szCs w:val="26"/>
        </w:rPr>
      </w:pP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D=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inw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edu</m:t>
              </m:r>
            </m:sub>
          </m:sSub>
        </m:oMath>
      </m:oMathPara>
    </w:p>
    <w:p w14:paraId="01C9E302" w14:textId="77777777" w:rsidR="00ED3386" w:rsidRDefault="00ED3386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gdzie:</w:t>
      </w:r>
    </w:p>
    <w:p w14:paraId="39168032" w14:textId="77777777" w:rsidR="00ED3386" w:rsidRDefault="00ED3386" w:rsidP="00FA00F2">
      <w:pPr>
        <w:spacing w:after="0" w:line="28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 – kwota dofinansowania (dotacja),</w:t>
      </w:r>
    </w:p>
    <w:p w14:paraId="2F40C80C" w14:textId="77777777" w:rsidR="00ED3386" w:rsidRDefault="00ED3386" w:rsidP="00FA00F2">
      <w:pPr>
        <w:spacing w:after="0" w:line="280" w:lineRule="atLeast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</w:t>
      </w:r>
      <w:r w:rsidRPr="006B395C">
        <w:rPr>
          <w:sz w:val="28"/>
          <w:szCs w:val="28"/>
          <w:vertAlign w:val="subscript"/>
        </w:rPr>
        <w:t>inw</w:t>
      </w:r>
      <w:proofErr w:type="spellEnd"/>
      <w:r>
        <w:rPr>
          <w:sz w:val="24"/>
          <w:szCs w:val="24"/>
        </w:rPr>
        <w:t xml:space="preserve"> – kwota dofinansowania na </w:t>
      </w:r>
      <w:r w:rsidRPr="006E519C">
        <w:rPr>
          <w:sz w:val="24"/>
          <w:szCs w:val="24"/>
        </w:rPr>
        <w:t xml:space="preserve">koszty </w:t>
      </w:r>
      <w:r w:rsidRPr="00EE5E22">
        <w:rPr>
          <w:sz w:val="24"/>
          <w:szCs w:val="24"/>
        </w:rPr>
        <w:t xml:space="preserve">kwalifikowalne </w:t>
      </w:r>
      <w:r>
        <w:rPr>
          <w:sz w:val="24"/>
          <w:szCs w:val="24"/>
        </w:rPr>
        <w:t>inwestycyjne,</w:t>
      </w:r>
    </w:p>
    <w:p w14:paraId="63474295" w14:textId="77777777" w:rsidR="00ED3386" w:rsidRDefault="00ED3386" w:rsidP="00FA00F2">
      <w:pPr>
        <w:spacing w:after="0" w:line="280" w:lineRule="atLeast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</w:t>
      </w:r>
      <w:r w:rsidRPr="006B395C">
        <w:rPr>
          <w:sz w:val="28"/>
          <w:szCs w:val="28"/>
          <w:vertAlign w:val="subscript"/>
        </w:rPr>
        <w:t>edu</w:t>
      </w:r>
      <w:proofErr w:type="spellEnd"/>
      <w:r>
        <w:rPr>
          <w:sz w:val="24"/>
          <w:szCs w:val="24"/>
        </w:rPr>
        <w:t xml:space="preserve"> – kwota dofinansowania na </w:t>
      </w:r>
      <w:r w:rsidRPr="006E519C">
        <w:rPr>
          <w:sz w:val="24"/>
          <w:szCs w:val="24"/>
        </w:rPr>
        <w:t xml:space="preserve">koszty </w:t>
      </w:r>
      <w:r w:rsidRPr="00EE5E22">
        <w:rPr>
          <w:sz w:val="24"/>
          <w:szCs w:val="24"/>
        </w:rPr>
        <w:t xml:space="preserve">kwalifikowalne </w:t>
      </w:r>
      <w:r w:rsidRPr="006B395C">
        <w:rPr>
          <w:sz w:val="24"/>
          <w:szCs w:val="24"/>
        </w:rPr>
        <w:t>działań edukacyjnych</w:t>
      </w:r>
      <w:r w:rsidR="00FA00F2">
        <w:rPr>
          <w:sz w:val="24"/>
          <w:szCs w:val="24"/>
        </w:rPr>
        <w:t>.</w:t>
      </w:r>
    </w:p>
    <w:p w14:paraId="3FD2403F" w14:textId="77777777" w:rsidR="00ED3386" w:rsidRDefault="00ED3386" w:rsidP="000777B7">
      <w:pPr>
        <w:spacing w:after="0" w:line="280" w:lineRule="atLeast"/>
        <w:rPr>
          <w:sz w:val="24"/>
          <w:szCs w:val="24"/>
        </w:rPr>
      </w:pPr>
    </w:p>
    <w:p w14:paraId="5A04B9F9" w14:textId="77777777" w:rsidR="00C12AE8" w:rsidRDefault="00C12AE8" w:rsidP="000777B7">
      <w:pPr>
        <w:spacing w:after="0" w:line="280" w:lineRule="atLeast"/>
        <w:rPr>
          <w:sz w:val="24"/>
          <w:szCs w:val="24"/>
        </w:rPr>
      </w:pPr>
    </w:p>
    <w:p w14:paraId="37E8C868" w14:textId="77777777" w:rsidR="006028A4" w:rsidRDefault="006028A4" w:rsidP="000777B7">
      <w:pPr>
        <w:spacing w:after="0" w:line="280" w:lineRule="atLeast"/>
        <w:rPr>
          <w:sz w:val="24"/>
          <w:szCs w:val="24"/>
        </w:rPr>
      </w:pPr>
    </w:p>
    <w:p w14:paraId="21CBE1C8" w14:textId="4247A54A" w:rsidR="00C12AE8" w:rsidRPr="00C12AE8" w:rsidRDefault="00C12AE8" w:rsidP="000777B7">
      <w:pPr>
        <w:spacing w:after="0" w:line="280" w:lineRule="atLeast"/>
        <w:rPr>
          <w:b/>
          <w:bCs/>
          <w:sz w:val="24"/>
          <w:szCs w:val="24"/>
        </w:rPr>
      </w:pPr>
      <w:r w:rsidRPr="00C12AE8">
        <w:rPr>
          <w:b/>
          <w:bCs/>
          <w:sz w:val="24"/>
          <w:szCs w:val="24"/>
        </w:rPr>
        <w:t>Wnioskodawca może ubiegać się o dotację w kwocie nieprzekraczającej maksymalną kwotę dofinansowania projektu</w:t>
      </w:r>
      <w:r>
        <w:rPr>
          <w:b/>
          <w:bCs/>
          <w:sz w:val="24"/>
          <w:szCs w:val="24"/>
        </w:rPr>
        <w:t>.</w:t>
      </w:r>
    </w:p>
    <w:sectPr w:rsidR="00C12AE8" w:rsidRPr="00C12AE8" w:rsidSect="004D1FEA"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2794" w14:textId="77777777" w:rsidR="00B07540" w:rsidRDefault="00B07540" w:rsidP="005160EE">
      <w:pPr>
        <w:spacing w:after="0" w:line="240" w:lineRule="auto"/>
      </w:pPr>
      <w:r>
        <w:separator/>
      </w:r>
    </w:p>
  </w:endnote>
  <w:endnote w:type="continuationSeparator" w:id="0">
    <w:p w14:paraId="492D3B19" w14:textId="77777777" w:rsidR="00B07540" w:rsidRDefault="00B07540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F4538" w14:textId="77777777" w:rsidR="00B07540" w:rsidRDefault="00B07540" w:rsidP="005160EE">
      <w:pPr>
        <w:spacing w:after="0" w:line="240" w:lineRule="auto"/>
      </w:pPr>
      <w:r>
        <w:separator/>
      </w:r>
    </w:p>
  </w:footnote>
  <w:footnote w:type="continuationSeparator" w:id="0">
    <w:p w14:paraId="7A882D2D" w14:textId="77777777" w:rsidR="00B07540" w:rsidRDefault="00B07540" w:rsidP="005160EE">
      <w:pPr>
        <w:spacing w:after="0" w:line="240" w:lineRule="auto"/>
      </w:pPr>
      <w:r>
        <w:continuationSeparator/>
      </w:r>
    </w:p>
  </w:footnote>
  <w:footnote w:id="1">
    <w:p w14:paraId="603C8956" w14:textId="3066DDAA" w:rsidR="00032671" w:rsidRDefault="00032671" w:rsidP="001029D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6F4444">
        <w:t xml:space="preserve">Warunki udzielania pomocy publicznej na koszty kwalifikowalne inwestycyjne są określone w rozporządzeniu Ministra Klimatu i Środowiska z dnia </w:t>
      </w:r>
      <w:r w:rsidR="00C60F82" w:rsidRPr="00C60F82">
        <w:t>22 listopada 2023 r.</w:t>
      </w:r>
      <w:r w:rsidRPr="006F4444">
        <w:t xml:space="preserve"> w sprawie udzielania pomocy publicznej na inwestycje w sieć dystrybucji w obszarze efektywnego energetycznie systemu ciepłowniczego i chłodniczego w ramach programu Fundusze Europejskie na Infrastrukturę, Klimat, Środowisko 2021–2027 (Dz. U. poz. </w:t>
      </w:r>
      <w:r w:rsidR="00C60F82" w:rsidRPr="00C60F82">
        <w:t>2558</w:t>
      </w:r>
      <w:r w:rsidRPr="006F4444">
        <w:t>).</w:t>
      </w:r>
    </w:p>
  </w:footnote>
  <w:footnote w:id="2">
    <w:p w14:paraId="0D6DA05B" w14:textId="2B704134" w:rsidR="00032671" w:rsidRPr="00C60F82" w:rsidRDefault="00032671" w:rsidP="001029D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Warunki udzielania pomocy de minimis </w:t>
      </w:r>
      <w:r w:rsidRPr="006F4444">
        <w:t xml:space="preserve">są określone w </w:t>
      </w:r>
      <w:r w:rsidRPr="001029DF">
        <w:t>rozporządzeni</w:t>
      </w:r>
      <w:r>
        <w:t>u</w:t>
      </w:r>
      <w:r w:rsidR="00C60F82">
        <w:t xml:space="preserve"> Komisji (UE) w sprawie</w:t>
      </w:r>
      <w:r w:rsidRPr="001029DF">
        <w:t xml:space="preserve"> stosow</w:t>
      </w:r>
      <w:r w:rsidR="00C60F82">
        <w:t>ania art. 107 i 108 Traktatu o funkcjonowaniu Unii Europejskiej do pomocy de minimis</w:t>
      </w:r>
      <w:r w:rsidRPr="00C60F82">
        <w:t>.</w:t>
      </w:r>
    </w:p>
  </w:footnote>
  <w:footnote w:id="3">
    <w:p w14:paraId="081A309B" w14:textId="505C2B75" w:rsidR="00A82DAF" w:rsidRDefault="00A82DAF" w:rsidP="00835523">
      <w:pPr>
        <w:pStyle w:val="Tekstprzypisudolnego"/>
        <w:ind w:left="142" w:hanging="142"/>
        <w:jc w:val="both"/>
        <w:rPr>
          <w:lang w:val="en-US"/>
        </w:rPr>
      </w:pPr>
      <w:r>
        <w:rPr>
          <w:rStyle w:val="Odwoanieprzypisudolnego"/>
        </w:rPr>
        <w:footnoteRef/>
      </w:r>
      <w:r w:rsidR="00835523">
        <w:rPr>
          <w:lang w:val="en-US"/>
        </w:rPr>
        <w:t xml:space="preserve"> </w:t>
      </w:r>
      <w:proofErr w:type="spellStart"/>
      <w:r>
        <w:rPr>
          <w:lang w:val="en-US"/>
        </w:rPr>
        <w:t>Zgodnie</w:t>
      </w:r>
      <w:proofErr w:type="spellEnd"/>
      <w:r>
        <w:rPr>
          <w:lang w:val="en-US"/>
        </w:rPr>
        <w:t xml:space="preserve"> z</w:t>
      </w:r>
      <w:r w:rsidRPr="00835523">
        <w:rPr>
          <w:lang w:val="en-US"/>
        </w:rPr>
        <w:t xml:space="preserve"> </w:t>
      </w:r>
      <w:proofErr w:type="spellStart"/>
      <w:r w:rsidRPr="00835523">
        <w:rPr>
          <w:lang w:val="en-US"/>
        </w:rPr>
        <w:t>przypis</w:t>
      </w:r>
      <w:r>
        <w:rPr>
          <w:lang w:val="en-US"/>
        </w:rPr>
        <w:t>em</w:t>
      </w:r>
      <w:proofErr w:type="spellEnd"/>
      <w:r w:rsidRPr="00835523">
        <w:rPr>
          <w:lang w:val="en-US"/>
        </w:rPr>
        <w:t xml:space="preserve"> 39 w </w:t>
      </w:r>
      <w:proofErr w:type="spellStart"/>
      <w:r w:rsidRPr="00835523">
        <w:rPr>
          <w:lang w:val="en-US"/>
        </w:rPr>
        <w:t>dokumencie</w:t>
      </w:r>
      <w:proofErr w:type="spellEnd"/>
      <w:r w:rsidRPr="00835523">
        <w:rPr>
          <w:lang w:val="en-US"/>
        </w:rPr>
        <w:t xml:space="preserve"> „RECOVERY AND RESILIENCE FACILITY – STATE AID, </w:t>
      </w:r>
      <w:r>
        <w:rPr>
          <w:lang w:val="en-US"/>
        </w:rPr>
        <w:t>G</w:t>
      </w:r>
      <w:r w:rsidRPr="00835523">
        <w:rPr>
          <w:lang w:val="en-US"/>
        </w:rPr>
        <w:t>uiding template: District heating/cooling generation and distribution infrastructure</w:t>
      </w:r>
      <w:r>
        <w:rPr>
          <w:lang w:val="en-US"/>
        </w:rPr>
        <w:t>”</w:t>
      </w:r>
      <w:r w:rsidRPr="00835523">
        <w:rPr>
          <w:lang w:val="en-US"/>
        </w:rPr>
        <w:t xml:space="preserve"> </w:t>
      </w:r>
      <w:proofErr w:type="spellStart"/>
      <w:r>
        <w:rPr>
          <w:lang w:val="en-US"/>
        </w:rPr>
        <w:t>dostępnym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stronie</w:t>
      </w:r>
      <w:proofErr w:type="spellEnd"/>
      <w:r>
        <w:rPr>
          <w:lang w:val="en-US"/>
        </w:rPr>
        <w:t xml:space="preserve">: </w:t>
      </w:r>
      <w:hyperlink r:id="rId1" w:history="1">
        <w:r w:rsidRPr="00C26B61">
          <w:rPr>
            <w:rStyle w:val="Hipercze"/>
            <w:lang w:val="en-US"/>
          </w:rPr>
          <w:t>https://competition-policy.ec.europa.eu/state-aid/legislation/rrf-guiding-templates_en</w:t>
        </w:r>
      </w:hyperlink>
    </w:p>
    <w:p w14:paraId="0849C976" w14:textId="77777777" w:rsidR="00A82DAF" w:rsidRPr="00835523" w:rsidRDefault="00A82DAF" w:rsidP="00835523">
      <w:pPr>
        <w:pStyle w:val="Tekstprzypisudolnego"/>
        <w:ind w:left="142" w:hanging="142"/>
        <w:rPr>
          <w:lang w:val="en-US"/>
        </w:rPr>
      </w:pPr>
    </w:p>
  </w:footnote>
  <w:footnote w:id="4">
    <w:p w14:paraId="41AD7D0E" w14:textId="77777777" w:rsidR="00824654" w:rsidRDefault="00824654" w:rsidP="00824654">
      <w:pPr>
        <w:pStyle w:val="Tekstprzypisudolnego"/>
        <w:ind w:left="125" w:hanging="125"/>
        <w:jc w:val="both"/>
      </w:pPr>
      <w:r>
        <w:rPr>
          <w:rStyle w:val="Odwoanieprzypisudolnego"/>
        </w:rPr>
        <w:footnoteRef/>
      </w:r>
      <w:r>
        <w:t xml:space="preserve"> Przyjęto, że zasadne jest zastosowanie </w:t>
      </w:r>
      <w:r w:rsidRPr="001942EF">
        <w:t>średni</w:t>
      </w:r>
      <w:r>
        <w:t>ego</w:t>
      </w:r>
      <w:r w:rsidRPr="001942EF">
        <w:t xml:space="preserve"> ważon</w:t>
      </w:r>
      <w:r>
        <w:t>ego</w:t>
      </w:r>
      <w:r w:rsidRPr="001942EF">
        <w:t xml:space="preserve"> koszt</w:t>
      </w:r>
      <w:r>
        <w:t>u</w:t>
      </w:r>
      <w:r w:rsidRPr="001942EF">
        <w:t xml:space="preserve"> kapitału przed opodatkowaniem</w:t>
      </w:r>
      <w:r>
        <w:t xml:space="preserve">, na podstawie </w:t>
      </w:r>
      <w:r w:rsidRPr="005576A0">
        <w:t>„Informacji Prezesa Urzędu Regulacji Energetyki nr 65/2022 w sprawie zasad i sposobu ustalania oraz uwzględniania w taryfach dla ciepła zwrotu z kapitału (kosztu kapitału) na lata 2023-2025” (</w:t>
      </w:r>
      <w:hyperlink r:id="rId2" w:history="1">
        <w:r w:rsidRPr="005576A0">
          <w:rPr>
            <w:rStyle w:val="Hipercze"/>
          </w:rPr>
          <w:t>https://www.ure.gov.pl/pl/urzad/informacje-ogolne/komunikaty-prezesa-ure/10767,Informacja-nr-652022.html</w:t>
        </w:r>
      </w:hyperlink>
      <w:r w:rsidRPr="005576A0">
        <w:t>)</w:t>
      </w:r>
    </w:p>
  </w:footnote>
  <w:footnote w:id="5">
    <w:p w14:paraId="37A34C31" w14:textId="77777777" w:rsidR="00824654" w:rsidRDefault="00824654" w:rsidP="00824654">
      <w:pPr>
        <w:pStyle w:val="Tekstprzypisudolnego"/>
      </w:pPr>
      <w:r>
        <w:rPr>
          <w:rStyle w:val="Odwoanieprzypisudolnego"/>
        </w:rPr>
        <w:footnoteRef/>
      </w:r>
      <w:r>
        <w:t xml:space="preserve"> Wytyczne te dostępne są na stronie </w:t>
      </w:r>
      <w:hyperlink r:id="rId3" w:history="1">
        <w:r w:rsidRPr="001A64D9">
          <w:rPr>
            <w:rStyle w:val="Hipercze"/>
          </w:rPr>
          <w:t>https://www.gov.pl/web/finanse/wytyczne-sytuacja-makroekonomiczna</w:t>
        </w:r>
      </w:hyperlink>
    </w:p>
  </w:footnote>
  <w:footnote w:id="6">
    <w:p w14:paraId="0979DF1C" w14:textId="77777777" w:rsidR="00246444" w:rsidRDefault="00246444" w:rsidP="00553EC9">
      <w:pPr>
        <w:pStyle w:val="Tekstprzypisudolnego"/>
        <w:spacing w:before="80"/>
        <w:ind w:left="125" w:hanging="125"/>
        <w:jc w:val="both"/>
      </w:pPr>
      <w:r>
        <w:rPr>
          <w:rStyle w:val="Odwoanieprzypisudolnego"/>
        </w:rPr>
        <w:footnoteRef/>
      </w:r>
      <w:r>
        <w:t xml:space="preserve"> Stopy bazowe dla poszczególnych państw członkowskich UE publikowane są na stronie </w:t>
      </w:r>
      <w:hyperlink r:id="rId4" w:history="1">
        <w:r w:rsidRPr="001A64D9">
          <w:rPr>
            <w:rStyle w:val="Hipercze"/>
          </w:rPr>
          <w:t>https://competition-policy.ec.europa.eu/state-aid/legislation/reference-discount-rates-and-recovery-interest-rates/reference-and-discount-rates_en</w:t>
        </w:r>
      </w:hyperlink>
    </w:p>
  </w:footnote>
  <w:footnote w:id="7">
    <w:p w14:paraId="6105D5EA" w14:textId="77777777" w:rsidR="00824654" w:rsidRDefault="00824654" w:rsidP="00824654">
      <w:pPr>
        <w:pStyle w:val="Tekstprzypisudolnego"/>
        <w:spacing w:before="80"/>
        <w:ind w:left="125" w:hanging="125"/>
        <w:jc w:val="both"/>
      </w:pPr>
      <w:r>
        <w:rPr>
          <w:rStyle w:val="Odwoanieprzypisudolnego"/>
        </w:rPr>
        <w:footnoteRef/>
      </w:r>
      <w:r>
        <w:t xml:space="preserve"> </w:t>
      </w:r>
      <w:hyperlink r:id="rId5" w:history="1">
        <w:r w:rsidRPr="001A64D9">
          <w:rPr>
            <w:rStyle w:val="Hipercze"/>
          </w:rPr>
          <w:t>https://eur-lex.europa.eu/legal-content/PL/TXT/?uri=CELEX%3A52008XC0119%2801%29</w:t>
        </w:r>
      </w:hyperlink>
    </w:p>
  </w:footnote>
  <w:footnote w:id="8">
    <w:p w14:paraId="37EC64A6" w14:textId="77777777" w:rsidR="00824654" w:rsidRPr="005576A0" w:rsidRDefault="00824654" w:rsidP="00824654">
      <w:pPr>
        <w:spacing w:before="80" w:after="0" w:line="240" w:lineRule="auto"/>
        <w:ind w:left="125" w:hanging="125"/>
        <w:jc w:val="both"/>
        <w:rPr>
          <w:sz w:val="20"/>
          <w:szCs w:val="20"/>
        </w:rPr>
      </w:pPr>
      <w:r w:rsidRPr="005576A0">
        <w:rPr>
          <w:rStyle w:val="Odwoanieprzypisudolnego"/>
          <w:sz w:val="20"/>
          <w:szCs w:val="20"/>
        </w:rPr>
        <w:footnoteRef/>
      </w:r>
      <w:r w:rsidRPr="005576A0">
        <w:rPr>
          <w:sz w:val="20"/>
          <w:szCs w:val="20"/>
        </w:rPr>
        <w:t xml:space="preserve"> Na podstawie „Informacji Prezesa Urzędu Regulacji Energetyki nr 65/2022 w sprawie zasad i sposobu ustalania oraz uwzględniania w taryfach dla ciepła zwrotu z kapitału (kosztu kapitału) na lata 2023-2025” (</w:t>
      </w:r>
      <w:hyperlink r:id="rId6" w:history="1">
        <w:r w:rsidRPr="005576A0">
          <w:rPr>
            <w:rStyle w:val="Hipercze"/>
            <w:sz w:val="20"/>
            <w:szCs w:val="20"/>
          </w:rPr>
          <w:t>https://www.ure.gov.pl/pl/urzad/informacje-ogolne/komunikaty-prezesa-ure/10767,Informacja-nr-652022.html</w:t>
        </w:r>
      </w:hyperlink>
      <w:r w:rsidRPr="005576A0">
        <w:rPr>
          <w:sz w:val="20"/>
          <w:szCs w:val="20"/>
        </w:rPr>
        <w:t>)</w:t>
      </w:r>
    </w:p>
  </w:footnote>
  <w:footnote w:id="9">
    <w:p w14:paraId="02DE0AB3" w14:textId="77777777" w:rsidR="00824654" w:rsidRPr="00B848EF" w:rsidRDefault="00824654" w:rsidP="00824654">
      <w:pPr>
        <w:spacing w:before="80" w:after="0" w:line="240" w:lineRule="auto"/>
        <w:ind w:left="125" w:hanging="125"/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5576A0">
        <w:rPr>
          <w:sz w:val="20"/>
          <w:szCs w:val="20"/>
        </w:rPr>
        <w:t>Na podstawie „Informacji Prezesa Urzędu Regulacji Energetyki nr 65/2022 w sprawie zasad i sposobu ustalania oraz uwzględniania w taryfach dla ciepła zwrotu z kapitału (kosztu kapitału) na lata 2023-2025” (</w:t>
      </w:r>
      <w:hyperlink r:id="rId7" w:history="1">
        <w:r w:rsidRPr="005576A0">
          <w:rPr>
            <w:rStyle w:val="Hipercze"/>
            <w:sz w:val="20"/>
            <w:szCs w:val="20"/>
          </w:rPr>
          <w:t>https://www.ure.gov.pl/pl/urzad/informacje-ogolne/komunikaty-prezesa-ure/10767,Informacja-nr-652022.html</w:t>
        </w:r>
      </w:hyperlink>
      <w:r w:rsidRPr="005576A0">
        <w:rPr>
          <w:sz w:val="20"/>
          <w:szCs w:val="20"/>
        </w:rPr>
        <w:t>)</w:t>
      </w:r>
    </w:p>
  </w:footnote>
  <w:footnote w:id="10">
    <w:p w14:paraId="1B4D3911" w14:textId="7F1F0A9C" w:rsidR="00824654" w:rsidRDefault="00824654" w:rsidP="00553E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E0502F">
        <w:t>Zgodnie z rozporządzeniem</w:t>
      </w:r>
      <w:r>
        <w:t xml:space="preserve"> </w:t>
      </w:r>
      <w:r w:rsidRPr="001029DF">
        <w:t xml:space="preserve">Komisji (UE) </w:t>
      </w:r>
      <w:r w:rsidR="004D1FEA">
        <w:t>w</w:t>
      </w:r>
      <w:r w:rsidRPr="001029DF">
        <w:t xml:space="preserve"> s</w:t>
      </w:r>
      <w:r w:rsidR="004D1FEA">
        <w:t>prawie stosowania art. 107 i 108 Traktatu o funkcjonowaniu Unii Europejskiej do pomocy de minimis.</w:t>
      </w:r>
    </w:p>
  </w:footnote>
  <w:footnote w:id="11">
    <w:p w14:paraId="055F81DA" w14:textId="3972C7AB" w:rsidR="00B72814" w:rsidRDefault="00B72814" w:rsidP="00553E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Limit pomocy zgodnie z rozporządzeniem </w:t>
      </w:r>
      <w:r w:rsidRPr="001029DF">
        <w:t xml:space="preserve">Komisji (UE) </w:t>
      </w:r>
      <w:r>
        <w:t>w</w:t>
      </w:r>
      <w:r w:rsidRPr="001029DF">
        <w:t xml:space="preserve"> s</w:t>
      </w:r>
      <w:r>
        <w:t>prawie stosowania art. 107 i 108 Traktatu o funkcjonowaniu Unii Europejskiej do pomocy de 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647A" w14:textId="3C2FB05B" w:rsidR="004D1FEA" w:rsidRDefault="004D1FEA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C8D6555" wp14:editId="2775324A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760720" cy="594995"/>
          <wp:effectExtent l="0" t="0" r="0" b="0"/>
          <wp:wrapSquare wrapText="left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3317"/>
    <w:multiLevelType w:val="hybridMultilevel"/>
    <w:tmpl w:val="5FCC8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756830">
    <w:abstractNumId w:val="1"/>
  </w:num>
  <w:num w:numId="2" w16cid:durableId="844246182">
    <w:abstractNumId w:val="0"/>
  </w:num>
  <w:num w:numId="3" w16cid:durableId="1655185999">
    <w:abstractNumId w:val="2"/>
  </w:num>
  <w:num w:numId="4" w16cid:durableId="867835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CD"/>
    <w:rsid w:val="00032671"/>
    <w:rsid w:val="00035C7E"/>
    <w:rsid w:val="00067EBF"/>
    <w:rsid w:val="000777B7"/>
    <w:rsid w:val="00077D01"/>
    <w:rsid w:val="000904F1"/>
    <w:rsid w:val="000B4507"/>
    <w:rsid w:val="001029DF"/>
    <w:rsid w:val="00121A73"/>
    <w:rsid w:val="00136615"/>
    <w:rsid w:val="001942EF"/>
    <w:rsid w:val="001F20D9"/>
    <w:rsid w:val="002239CF"/>
    <w:rsid w:val="002268E5"/>
    <w:rsid w:val="00242A25"/>
    <w:rsid w:val="00246444"/>
    <w:rsid w:val="00253A06"/>
    <w:rsid w:val="00280F87"/>
    <w:rsid w:val="00281FE9"/>
    <w:rsid w:val="00295900"/>
    <w:rsid w:val="00296C92"/>
    <w:rsid w:val="002D7396"/>
    <w:rsid w:val="002F1E76"/>
    <w:rsid w:val="0031391C"/>
    <w:rsid w:val="00316CB4"/>
    <w:rsid w:val="0032354B"/>
    <w:rsid w:val="00340988"/>
    <w:rsid w:val="00346BEF"/>
    <w:rsid w:val="00362AFD"/>
    <w:rsid w:val="003C6572"/>
    <w:rsid w:val="003D78AA"/>
    <w:rsid w:val="003E3BC2"/>
    <w:rsid w:val="003E57CA"/>
    <w:rsid w:val="00402B5A"/>
    <w:rsid w:val="00403241"/>
    <w:rsid w:val="00414ECF"/>
    <w:rsid w:val="00480840"/>
    <w:rsid w:val="0048711F"/>
    <w:rsid w:val="00487E79"/>
    <w:rsid w:val="004A45EF"/>
    <w:rsid w:val="004D0F13"/>
    <w:rsid w:val="004D1FEA"/>
    <w:rsid w:val="004D2FBE"/>
    <w:rsid w:val="004F2FC6"/>
    <w:rsid w:val="005160EE"/>
    <w:rsid w:val="0051794B"/>
    <w:rsid w:val="00550019"/>
    <w:rsid w:val="00551218"/>
    <w:rsid w:val="00552EFB"/>
    <w:rsid w:val="00553EC9"/>
    <w:rsid w:val="005576A0"/>
    <w:rsid w:val="00574C40"/>
    <w:rsid w:val="005A5D46"/>
    <w:rsid w:val="005B7EDD"/>
    <w:rsid w:val="005D35D0"/>
    <w:rsid w:val="005F7DEA"/>
    <w:rsid w:val="006028A4"/>
    <w:rsid w:val="0062411F"/>
    <w:rsid w:val="0063319C"/>
    <w:rsid w:val="00652217"/>
    <w:rsid w:val="00670BA4"/>
    <w:rsid w:val="006712D8"/>
    <w:rsid w:val="006B395C"/>
    <w:rsid w:val="006E10DA"/>
    <w:rsid w:val="006E519C"/>
    <w:rsid w:val="006E73DA"/>
    <w:rsid w:val="006F25FD"/>
    <w:rsid w:val="006F4444"/>
    <w:rsid w:val="006F5EAD"/>
    <w:rsid w:val="007069BC"/>
    <w:rsid w:val="007B4FE2"/>
    <w:rsid w:val="007B6761"/>
    <w:rsid w:val="007C2E19"/>
    <w:rsid w:val="007D447C"/>
    <w:rsid w:val="00811CF4"/>
    <w:rsid w:val="00824654"/>
    <w:rsid w:val="00835523"/>
    <w:rsid w:val="00884424"/>
    <w:rsid w:val="0088640A"/>
    <w:rsid w:val="008F0BC1"/>
    <w:rsid w:val="0093758F"/>
    <w:rsid w:val="009564AD"/>
    <w:rsid w:val="00957B4E"/>
    <w:rsid w:val="00972035"/>
    <w:rsid w:val="009770A2"/>
    <w:rsid w:val="009936CD"/>
    <w:rsid w:val="009B3AC7"/>
    <w:rsid w:val="00A06EF0"/>
    <w:rsid w:val="00A36D3D"/>
    <w:rsid w:val="00A42D70"/>
    <w:rsid w:val="00A63C88"/>
    <w:rsid w:val="00A82DAF"/>
    <w:rsid w:val="00AB6957"/>
    <w:rsid w:val="00B07540"/>
    <w:rsid w:val="00B405F9"/>
    <w:rsid w:val="00B44907"/>
    <w:rsid w:val="00B529A2"/>
    <w:rsid w:val="00B55521"/>
    <w:rsid w:val="00B63489"/>
    <w:rsid w:val="00B7077B"/>
    <w:rsid w:val="00B72814"/>
    <w:rsid w:val="00B848EF"/>
    <w:rsid w:val="00B97ED1"/>
    <w:rsid w:val="00C12AE8"/>
    <w:rsid w:val="00C233A3"/>
    <w:rsid w:val="00C310A9"/>
    <w:rsid w:val="00C46FD7"/>
    <w:rsid w:val="00C55F2F"/>
    <w:rsid w:val="00C60F82"/>
    <w:rsid w:val="00C651B1"/>
    <w:rsid w:val="00C74EAC"/>
    <w:rsid w:val="00CE5526"/>
    <w:rsid w:val="00D06AA2"/>
    <w:rsid w:val="00D46B23"/>
    <w:rsid w:val="00D57809"/>
    <w:rsid w:val="00D70972"/>
    <w:rsid w:val="00D730CD"/>
    <w:rsid w:val="00D97442"/>
    <w:rsid w:val="00DB0BD0"/>
    <w:rsid w:val="00DF696B"/>
    <w:rsid w:val="00E0502F"/>
    <w:rsid w:val="00E272D3"/>
    <w:rsid w:val="00E861A0"/>
    <w:rsid w:val="00EA0D4D"/>
    <w:rsid w:val="00EB7037"/>
    <w:rsid w:val="00ED3386"/>
    <w:rsid w:val="00ED6CEE"/>
    <w:rsid w:val="00EE5E22"/>
    <w:rsid w:val="00F02D1C"/>
    <w:rsid w:val="00F15F7E"/>
    <w:rsid w:val="00F2013A"/>
    <w:rsid w:val="00F568E0"/>
    <w:rsid w:val="00F61DE8"/>
    <w:rsid w:val="00F640AB"/>
    <w:rsid w:val="00FA00F2"/>
    <w:rsid w:val="00FB307F"/>
    <w:rsid w:val="00FC1C0C"/>
    <w:rsid w:val="00FE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finanse/wytyczne-sytuacja-makroekonomiczna" TargetMode="External"/><Relationship Id="rId7" Type="http://schemas.openxmlformats.org/officeDocument/2006/relationships/hyperlink" Target="https://www.ure.gov.pl/pl/urzad/informacje-ogolne/komunikaty-prezesa-ure/10767,Informacja-nr-652022.html" TargetMode="External"/><Relationship Id="rId2" Type="http://schemas.openxmlformats.org/officeDocument/2006/relationships/hyperlink" Target="https://www.ure.gov.pl/pl/urzad/informacje-ogolne/komunikaty-prezesa-ure/10767,Informacja-nr-652022.html" TargetMode="External"/><Relationship Id="rId1" Type="http://schemas.openxmlformats.org/officeDocument/2006/relationships/hyperlink" Target="https://competition-policy.ec.europa.eu/state-aid/legislation/rrf-guiding-templates_en" TargetMode="External"/><Relationship Id="rId6" Type="http://schemas.openxmlformats.org/officeDocument/2006/relationships/hyperlink" Target="https://www.ure.gov.pl/pl/urzad/informacje-ogolne/komunikaty-prezesa-ure/10767,Informacja-nr-652022.html" TargetMode="External"/><Relationship Id="rId5" Type="http://schemas.openxmlformats.org/officeDocument/2006/relationships/hyperlink" Target="https://eur-lex.europa.eu/legal-content/PL/TXT/?uri=CELEX%3A52008XC0119%2801%29" TargetMode="External"/><Relationship Id="rId4" Type="http://schemas.openxmlformats.org/officeDocument/2006/relationships/hyperlink" Target="https://competition-policy.ec.europa.eu/state-aid/legislation/reference-discount-rates-and-recovery-interest-rates/reference-and-discount-rates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BFC57-AF6A-462E-B61E-EEB43A5DD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1550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Piotr</dc:creator>
  <cp:keywords/>
  <dc:description/>
  <cp:lastModifiedBy>Kudła Iwona</cp:lastModifiedBy>
  <cp:revision>8</cp:revision>
  <dcterms:created xsi:type="dcterms:W3CDTF">2023-11-29T09:57:00Z</dcterms:created>
  <dcterms:modified xsi:type="dcterms:W3CDTF">2023-11-29T11:22:00Z</dcterms:modified>
</cp:coreProperties>
</file>