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603" w:rsidRPr="00FF4AFA" w:rsidRDefault="00B071EA" w:rsidP="00BA3000">
      <w:pPr>
        <w:jc w:val="both"/>
        <w:rPr>
          <w:rFonts w:ascii="Fira Sans" w:hAnsi="Fira Sans"/>
          <w:b/>
          <w:bCs/>
          <w:sz w:val="19"/>
          <w:szCs w:val="19"/>
          <w:lang w:val="en-GB"/>
        </w:rPr>
      </w:pPr>
      <w:r w:rsidRPr="00FF4AFA">
        <w:rPr>
          <w:rFonts w:ascii="Fira Sans" w:hAnsi="Fira Sans"/>
          <w:b/>
          <w:bCs/>
          <w:sz w:val="19"/>
          <w:szCs w:val="19"/>
          <w:lang w:val="en-GB"/>
        </w:rPr>
        <w:t xml:space="preserve">Contingent liabilities </w:t>
      </w:r>
      <w:r w:rsidR="00A96923" w:rsidRPr="00FF4AFA">
        <w:rPr>
          <w:rFonts w:ascii="Fira Sans" w:hAnsi="Fira Sans"/>
          <w:b/>
          <w:bCs/>
          <w:sz w:val="19"/>
          <w:szCs w:val="19"/>
          <w:lang w:val="en-GB"/>
        </w:rPr>
        <w:t>of general government sector</w:t>
      </w:r>
    </w:p>
    <w:p w:rsidR="00150603" w:rsidRPr="00FF4AFA" w:rsidRDefault="00A96923" w:rsidP="00BA3000">
      <w:pPr>
        <w:jc w:val="both"/>
        <w:rPr>
          <w:rFonts w:ascii="Fira Sans" w:hAnsi="Fira Sans"/>
          <w:bCs/>
          <w:sz w:val="19"/>
          <w:szCs w:val="19"/>
          <w:u w:val="single"/>
          <w:lang w:val="en-GB"/>
        </w:rPr>
      </w:pPr>
      <w:r w:rsidRPr="00FF4AFA">
        <w:rPr>
          <w:rFonts w:ascii="Fira Sans" w:hAnsi="Fira Sans"/>
          <w:bCs/>
          <w:sz w:val="19"/>
          <w:szCs w:val="19"/>
          <w:u w:val="single"/>
          <w:lang w:val="en-GB"/>
        </w:rPr>
        <w:t>Comment</w:t>
      </w:r>
      <w:r w:rsidR="001F40DA" w:rsidRPr="00FF4AFA">
        <w:rPr>
          <w:rFonts w:ascii="Fira Sans" w:hAnsi="Fira Sans"/>
          <w:bCs/>
          <w:sz w:val="19"/>
          <w:szCs w:val="19"/>
          <w:u w:val="single"/>
          <w:lang w:val="en-GB"/>
        </w:rPr>
        <w:t xml:space="preserve"> to the tables</w:t>
      </w:r>
      <w:r w:rsidR="00150603" w:rsidRPr="00FF4AFA">
        <w:rPr>
          <w:rFonts w:ascii="Fira Sans" w:hAnsi="Fira Sans"/>
          <w:bCs/>
          <w:sz w:val="19"/>
          <w:szCs w:val="19"/>
          <w:u w:val="single"/>
          <w:lang w:val="en-GB"/>
        </w:rPr>
        <w:t>:</w:t>
      </w:r>
    </w:p>
    <w:p w:rsidR="001645F9" w:rsidRPr="00FF4AFA" w:rsidRDefault="00331555" w:rsidP="00B071EA">
      <w:pPr>
        <w:spacing w:before="360"/>
        <w:jc w:val="both"/>
        <w:rPr>
          <w:rFonts w:ascii="Fira Sans" w:hAnsi="Fira Sans"/>
          <w:b/>
          <w:sz w:val="19"/>
          <w:szCs w:val="19"/>
          <w:lang w:val="en-GB"/>
        </w:rPr>
      </w:pPr>
      <w:r w:rsidRPr="00A61CBC">
        <w:rPr>
          <w:rFonts w:ascii="Fira Sans" w:hAnsi="Fira Sans"/>
          <w:b/>
          <w:sz w:val="19"/>
          <w:szCs w:val="19"/>
          <w:lang w:val="en-GB"/>
        </w:rPr>
        <w:t xml:space="preserve">Adjusted capital value of off-balance PPPs </w:t>
      </w:r>
      <w:r w:rsidRPr="00A61CBC">
        <w:rPr>
          <w:rFonts w:ascii="Fira Sans" w:hAnsi="Fira Sans"/>
          <w:sz w:val="19"/>
          <w:szCs w:val="19"/>
          <w:lang w:val="en-GB"/>
        </w:rPr>
        <w:t xml:space="preserve">concerns PPP projects as defined by ESA 2010, Manual on </w:t>
      </w:r>
      <w:r w:rsidRPr="00FF4AFA">
        <w:rPr>
          <w:rFonts w:ascii="Fira Sans" w:hAnsi="Fira Sans"/>
          <w:sz w:val="19"/>
          <w:szCs w:val="19"/>
          <w:lang w:val="en-GB"/>
        </w:rPr>
        <w:t>Government Deficit and Debt. Implementation of ESA 2010 and Guide to the statistical treatment of PPPs</w:t>
      </w:r>
    </w:p>
    <w:p w:rsidR="00BA3000" w:rsidRPr="00FF4AFA" w:rsidRDefault="001F40DA" w:rsidP="00B071EA">
      <w:pPr>
        <w:spacing w:before="240"/>
        <w:jc w:val="both"/>
        <w:rPr>
          <w:rFonts w:ascii="Fira Sans" w:hAnsi="Fira Sans"/>
          <w:bCs/>
          <w:sz w:val="19"/>
          <w:szCs w:val="19"/>
          <w:highlight w:val="yellow"/>
          <w:u w:val="single"/>
          <w:lang w:val="en-GB"/>
        </w:rPr>
      </w:pPr>
      <w:r w:rsidRPr="00FF4AFA">
        <w:rPr>
          <w:rFonts w:ascii="Fira Sans" w:hAnsi="Fira Sans"/>
          <w:bCs/>
          <w:sz w:val="19"/>
          <w:szCs w:val="19"/>
          <w:u w:val="single"/>
          <w:lang w:val="en-GB"/>
        </w:rPr>
        <w:t>Footnotes to the table:</w:t>
      </w:r>
    </w:p>
    <w:p w:rsidR="00994CD5" w:rsidRPr="00FF4AFA" w:rsidRDefault="00994CD5" w:rsidP="00B071EA">
      <w:pPr>
        <w:spacing w:after="0"/>
        <w:jc w:val="both"/>
        <w:rPr>
          <w:rFonts w:ascii="Fira Sans" w:hAnsi="Fira Sans"/>
          <w:bCs/>
          <w:sz w:val="19"/>
          <w:szCs w:val="19"/>
          <w:lang w:val="en-GB"/>
        </w:rPr>
      </w:pPr>
      <w:r w:rsidRPr="00FF4AFA">
        <w:rPr>
          <w:rFonts w:ascii="Fira Sans" w:hAnsi="Fira Sans"/>
          <w:b/>
          <w:bCs/>
          <w:sz w:val="19"/>
          <w:szCs w:val="19"/>
          <w:lang w:val="en-GB"/>
        </w:rPr>
        <w:t>M</w:t>
      </w:r>
      <w:r w:rsidRPr="00FF4AFA">
        <w:rPr>
          <w:rFonts w:ascii="Fira Sans" w:hAnsi="Fira Sans"/>
          <w:bCs/>
          <w:sz w:val="19"/>
          <w:szCs w:val="19"/>
          <w:lang w:val="en-GB"/>
        </w:rPr>
        <w:t xml:space="preserve"> </w:t>
      </w:r>
      <w:r w:rsidR="00B071EA" w:rsidRPr="00FF4AFA">
        <w:rPr>
          <w:rFonts w:ascii="Fira Sans" w:hAnsi="Fira Sans"/>
          <w:bCs/>
          <w:sz w:val="19"/>
          <w:szCs w:val="19"/>
          <w:lang w:val="en-GB"/>
        </w:rPr>
        <w:t>-</w:t>
      </w:r>
      <w:r w:rsidR="0093793A" w:rsidRPr="00FF4AFA">
        <w:rPr>
          <w:rFonts w:ascii="Fira Sans" w:hAnsi="Fira Sans"/>
          <w:bCs/>
          <w:sz w:val="19"/>
          <w:szCs w:val="19"/>
          <w:lang w:val="en-GB"/>
        </w:rPr>
        <w:t xml:space="preserve"> </w:t>
      </w:r>
      <w:r w:rsidR="00B071EA" w:rsidRPr="00FF4AFA">
        <w:rPr>
          <w:rFonts w:ascii="Fira Sans" w:hAnsi="Fira Sans"/>
          <w:bCs/>
          <w:sz w:val="19"/>
          <w:szCs w:val="19"/>
          <w:lang w:val="en-GB"/>
        </w:rPr>
        <w:t xml:space="preserve"> </w:t>
      </w:r>
      <w:r w:rsidRPr="00FF4AFA">
        <w:rPr>
          <w:rFonts w:ascii="Fira Sans" w:hAnsi="Fira Sans"/>
          <w:bCs/>
          <w:sz w:val="19"/>
          <w:szCs w:val="19"/>
          <w:lang w:val="en-GB"/>
        </w:rPr>
        <w:t>not applicable</w:t>
      </w:r>
      <w:r w:rsidR="00E450ED" w:rsidRPr="00FF4AFA">
        <w:rPr>
          <w:rFonts w:ascii="Fira Sans" w:hAnsi="Fira Sans"/>
          <w:bCs/>
          <w:sz w:val="19"/>
          <w:szCs w:val="19"/>
          <w:lang w:val="en-GB"/>
        </w:rPr>
        <w:t>,</w:t>
      </w:r>
      <w:r w:rsidRPr="00FF4AFA">
        <w:rPr>
          <w:rFonts w:ascii="Fira Sans" w:hAnsi="Fira Sans"/>
          <w:bCs/>
          <w:sz w:val="19"/>
          <w:szCs w:val="19"/>
          <w:lang w:val="en-GB"/>
        </w:rPr>
        <w:t xml:space="preserve"> </w:t>
      </w:r>
      <w:r w:rsidR="00171E22" w:rsidRPr="00171E22">
        <w:rPr>
          <w:rFonts w:ascii="Fira Sans" w:hAnsi="Fira Sans"/>
          <w:bCs/>
          <w:sz w:val="19"/>
          <w:szCs w:val="19"/>
          <w:lang w:val="en-GB"/>
        </w:rPr>
        <w:t>there is no possibil</w:t>
      </w:r>
      <w:r w:rsidR="00A61CBC">
        <w:rPr>
          <w:rFonts w:ascii="Fira Sans" w:hAnsi="Fira Sans"/>
          <w:bCs/>
          <w:sz w:val="19"/>
          <w:szCs w:val="19"/>
          <w:lang w:val="en-GB"/>
        </w:rPr>
        <w:t>ity of the phenomenon occurring</w:t>
      </w:r>
    </w:p>
    <w:p w:rsidR="00994CD5" w:rsidRPr="00FF4AFA" w:rsidRDefault="00994CD5" w:rsidP="00B071EA">
      <w:pPr>
        <w:spacing w:after="0"/>
        <w:jc w:val="both"/>
        <w:rPr>
          <w:rFonts w:ascii="Fira Sans" w:hAnsi="Fira Sans"/>
          <w:bCs/>
          <w:sz w:val="19"/>
          <w:szCs w:val="19"/>
          <w:lang w:val="en-GB"/>
        </w:rPr>
      </w:pPr>
      <w:r w:rsidRPr="00FF4AFA">
        <w:rPr>
          <w:rFonts w:ascii="Fira Sans" w:hAnsi="Fira Sans"/>
          <w:b/>
          <w:bCs/>
          <w:sz w:val="19"/>
          <w:szCs w:val="19"/>
          <w:lang w:val="en-GB"/>
        </w:rPr>
        <w:t>0</w:t>
      </w:r>
      <w:r w:rsidRPr="00FF4AFA">
        <w:rPr>
          <w:rFonts w:ascii="Fira Sans" w:hAnsi="Fira Sans"/>
          <w:bCs/>
          <w:sz w:val="19"/>
          <w:szCs w:val="19"/>
          <w:lang w:val="en-GB"/>
        </w:rPr>
        <w:t xml:space="preserve"> </w:t>
      </w:r>
      <w:r w:rsidR="007A3F51" w:rsidRPr="00FF4AFA">
        <w:rPr>
          <w:rFonts w:ascii="Fira Sans" w:hAnsi="Fira Sans"/>
          <w:bCs/>
          <w:sz w:val="19"/>
          <w:szCs w:val="19"/>
          <w:lang w:val="en-GB"/>
        </w:rPr>
        <w:t>-</w:t>
      </w:r>
      <w:r w:rsidRPr="00FF4AFA">
        <w:rPr>
          <w:rFonts w:ascii="Fira Sans" w:hAnsi="Fira Sans"/>
          <w:bCs/>
          <w:sz w:val="19"/>
          <w:szCs w:val="19"/>
          <w:lang w:val="en-GB"/>
        </w:rPr>
        <w:t xml:space="preserve"> </w:t>
      </w:r>
      <w:r w:rsidR="0093793A" w:rsidRPr="00FF4AFA">
        <w:rPr>
          <w:rFonts w:ascii="Fira Sans" w:hAnsi="Fira Sans"/>
          <w:bCs/>
          <w:sz w:val="19"/>
          <w:szCs w:val="19"/>
          <w:lang w:val="en-GB"/>
        </w:rPr>
        <w:t xml:space="preserve"> </w:t>
      </w:r>
      <w:r w:rsidR="00E450ED" w:rsidRPr="00FF4AFA">
        <w:rPr>
          <w:rFonts w:ascii="Fira Sans" w:hAnsi="Fira Sans"/>
          <w:bCs/>
          <w:sz w:val="19"/>
          <w:szCs w:val="19"/>
          <w:lang w:val="en-GB"/>
        </w:rPr>
        <w:t>s</w:t>
      </w:r>
      <w:r w:rsidRPr="00FF4AFA">
        <w:rPr>
          <w:rFonts w:ascii="Fira Sans" w:hAnsi="Fira Sans"/>
          <w:bCs/>
          <w:sz w:val="19"/>
          <w:szCs w:val="19"/>
          <w:lang w:val="en-GB"/>
        </w:rPr>
        <w:t>hould be reported if an e</w:t>
      </w:r>
      <w:r w:rsidR="00A61CBC">
        <w:rPr>
          <w:rFonts w:ascii="Fira Sans" w:hAnsi="Fira Sans"/>
          <w:bCs/>
          <w:sz w:val="19"/>
          <w:szCs w:val="19"/>
          <w:lang w:val="en-GB"/>
        </w:rPr>
        <w:t>vent has not been yet observed</w:t>
      </w:r>
    </w:p>
    <w:p w:rsidR="00994CD5" w:rsidRPr="00FF4AFA" w:rsidRDefault="00994CD5" w:rsidP="00994CD5">
      <w:pPr>
        <w:jc w:val="both"/>
        <w:rPr>
          <w:rFonts w:ascii="Fira Sans" w:hAnsi="Fira Sans"/>
          <w:bCs/>
          <w:sz w:val="19"/>
          <w:szCs w:val="19"/>
          <w:lang w:val="en-GB"/>
        </w:rPr>
      </w:pPr>
      <w:r w:rsidRPr="00FF4AFA">
        <w:rPr>
          <w:rFonts w:ascii="Fira Sans" w:hAnsi="Fira Sans"/>
          <w:b/>
          <w:bCs/>
          <w:sz w:val="19"/>
          <w:szCs w:val="19"/>
          <w:lang w:val="en-GB"/>
        </w:rPr>
        <w:t>L</w:t>
      </w:r>
      <w:r w:rsidRPr="00FF4AFA">
        <w:rPr>
          <w:rFonts w:ascii="Fira Sans" w:hAnsi="Fira Sans"/>
          <w:bCs/>
          <w:sz w:val="19"/>
          <w:szCs w:val="19"/>
          <w:lang w:val="en-GB"/>
        </w:rPr>
        <w:t xml:space="preserve"> </w:t>
      </w:r>
      <w:r w:rsidR="00B071EA" w:rsidRPr="00FF4AFA">
        <w:rPr>
          <w:rFonts w:ascii="Fira Sans" w:hAnsi="Fira Sans"/>
          <w:bCs/>
          <w:sz w:val="19"/>
          <w:szCs w:val="19"/>
          <w:lang w:val="en-GB"/>
        </w:rPr>
        <w:t xml:space="preserve">- </w:t>
      </w:r>
      <w:r w:rsidR="0093793A" w:rsidRPr="00FF4AFA">
        <w:rPr>
          <w:rFonts w:ascii="Fira Sans" w:hAnsi="Fira Sans"/>
          <w:bCs/>
          <w:sz w:val="19"/>
          <w:szCs w:val="19"/>
          <w:lang w:val="en-GB"/>
        </w:rPr>
        <w:t xml:space="preserve"> </w:t>
      </w:r>
      <w:r w:rsidRPr="00FF4AFA">
        <w:rPr>
          <w:rFonts w:ascii="Fira Sans" w:hAnsi="Fira Sans"/>
          <w:bCs/>
          <w:sz w:val="19"/>
          <w:szCs w:val="19"/>
          <w:lang w:val="en-GB"/>
        </w:rPr>
        <w:t>not available</w:t>
      </w:r>
      <w:r w:rsidR="00E450ED" w:rsidRPr="00FF4AFA">
        <w:rPr>
          <w:rFonts w:ascii="Fira Sans" w:hAnsi="Fira Sans"/>
          <w:bCs/>
          <w:sz w:val="19"/>
          <w:szCs w:val="19"/>
          <w:lang w:val="en-GB"/>
        </w:rPr>
        <w:t>,</w:t>
      </w:r>
      <w:r w:rsidRPr="00FF4AFA">
        <w:rPr>
          <w:rFonts w:ascii="Fira Sans" w:hAnsi="Fira Sans"/>
          <w:bCs/>
          <w:sz w:val="19"/>
          <w:szCs w:val="19"/>
          <w:lang w:val="en-GB"/>
        </w:rPr>
        <w:t xml:space="preserve"> </w:t>
      </w:r>
      <w:r w:rsidR="00E450ED" w:rsidRPr="00FF4AFA">
        <w:rPr>
          <w:rFonts w:ascii="Fira Sans" w:hAnsi="Fira Sans"/>
          <w:bCs/>
          <w:sz w:val="19"/>
          <w:szCs w:val="19"/>
          <w:lang w:val="en-GB"/>
        </w:rPr>
        <w:t>s</w:t>
      </w:r>
      <w:r w:rsidRPr="00FF4AFA">
        <w:rPr>
          <w:rFonts w:ascii="Fira Sans" w:hAnsi="Fira Sans"/>
          <w:bCs/>
          <w:sz w:val="19"/>
          <w:szCs w:val="19"/>
          <w:lang w:val="en-GB"/>
        </w:rPr>
        <w:t>hould be reported if the event is observed but the data are not available.</w:t>
      </w:r>
    </w:p>
    <w:p w:rsidR="0057748A" w:rsidRPr="00FF4AFA" w:rsidRDefault="0057748A" w:rsidP="00494849">
      <w:pPr>
        <w:tabs>
          <w:tab w:val="left" w:pos="2322"/>
        </w:tabs>
        <w:jc w:val="both"/>
        <w:rPr>
          <w:rFonts w:ascii="Fira Sans" w:hAnsi="Fira Sans"/>
          <w:bCs/>
          <w:sz w:val="19"/>
          <w:szCs w:val="19"/>
          <w:u w:val="single"/>
          <w:lang w:val="en-GB"/>
        </w:rPr>
      </w:pPr>
      <w:r w:rsidRPr="00FF4AFA">
        <w:rPr>
          <w:rFonts w:ascii="Fira Sans" w:hAnsi="Fira Sans"/>
          <w:bCs/>
          <w:sz w:val="19"/>
          <w:szCs w:val="19"/>
          <w:u w:val="single"/>
          <w:lang w:val="en-GB"/>
        </w:rPr>
        <w:t>Valuation</w:t>
      </w:r>
    </w:p>
    <w:p w:rsidR="0057748A" w:rsidRPr="00FF4AFA" w:rsidRDefault="0057748A" w:rsidP="00BA3000">
      <w:pPr>
        <w:jc w:val="both"/>
        <w:rPr>
          <w:rFonts w:ascii="Fira Sans" w:hAnsi="Fira Sans"/>
          <w:sz w:val="19"/>
          <w:szCs w:val="19"/>
          <w:lang w:val="en-GB"/>
        </w:rPr>
      </w:pPr>
      <w:r w:rsidRPr="00FF4AFA">
        <w:rPr>
          <w:rFonts w:ascii="Fira Sans" w:hAnsi="Fira Sans"/>
          <w:sz w:val="19"/>
          <w:szCs w:val="19"/>
          <w:lang w:val="en-GB"/>
        </w:rPr>
        <w:t>Data in the tables regarding guarantees, PPP contracts and non-performing loans are presented in nominal values.</w:t>
      </w:r>
    </w:p>
    <w:p w:rsidR="000450B1" w:rsidRPr="00FF4AFA" w:rsidRDefault="0093793A" w:rsidP="00BA3000">
      <w:pPr>
        <w:jc w:val="both"/>
        <w:rPr>
          <w:rFonts w:ascii="Fira Sans" w:hAnsi="Fira Sans"/>
          <w:bCs/>
          <w:sz w:val="19"/>
          <w:szCs w:val="19"/>
          <w:u w:val="single"/>
          <w:lang w:val="en-GB"/>
        </w:rPr>
      </w:pPr>
      <w:r w:rsidRPr="00FF4AFA">
        <w:rPr>
          <w:rFonts w:ascii="Fira Sans" w:hAnsi="Fira Sans"/>
          <w:bCs/>
          <w:sz w:val="19"/>
          <w:szCs w:val="19"/>
          <w:u w:val="single"/>
          <w:lang w:val="en-GB"/>
        </w:rPr>
        <w:t xml:space="preserve">Methodological notes </w:t>
      </w:r>
      <w:r w:rsidR="006128ED" w:rsidRPr="00FF4AFA">
        <w:rPr>
          <w:rFonts w:ascii="Fira Sans" w:hAnsi="Fira Sans"/>
          <w:bCs/>
          <w:sz w:val="19"/>
          <w:szCs w:val="19"/>
          <w:u w:val="single"/>
          <w:lang w:val="en-GB"/>
        </w:rPr>
        <w:t>on the tables:</w:t>
      </w:r>
    </w:p>
    <w:p w:rsidR="00BA3000" w:rsidRPr="00FF4AFA" w:rsidRDefault="00A60702" w:rsidP="00BA3000">
      <w:pPr>
        <w:jc w:val="both"/>
        <w:rPr>
          <w:rFonts w:ascii="Fira Sans" w:hAnsi="Fira Sans"/>
          <w:b/>
          <w:bCs/>
          <w:sz w:val="19"/>
          <w:szCs w:val="19"/>
          <w:u w:val="single"/>
          <w:lang w:val="en-GB"/>
        </w:rPr>
      </w:pPr>
      <w:r w:rsidRPr="00FF4AFA">
        <w:rPr>
          <w:rFonts w:ascii="Fira Sans" w:hAnsi="Fira Sans"/>
          <w:b/>
          <w:bCs/>
          <w:sz w:val="19"/>
          <w:szCs w:val="19"/>
          <w:u w:val="single"/>
          <w:lang w:val="en-GB"/>
        </w:rPr>
        <w:t>Guarantees granted by the general government sector</w:t>
      </w:r>
    </w:p>
    <w:p w:rsidR="00BA3000" w:rsidRPr="00FF4AFA" w:rsidRDefault="0093793A" w:rsidP="00BA3000">
      <w:pPr>
        <w:tabs>
          <w:tab w:val="left" w:pos="2322"/>
        </w:tabs>
        <w:jc w:val="both"/>
        <w:rPr>
          <w:rFonts w:ascii="Fira Sans" w:hAnsi="Fira Sans"/>
          <w:sz w:val="19"/>
          <w:szCs w:val="19"/>
          <w:lang w:val="en-GB"/>
        </w:rPr>
      </w:pPr>
      <w:r w:rsidRPr="00FF4AFA">
        <w:rPr>
          <w:rFonts w:ascii="Fira Sans" w:hAnsi="Fira Sans"/>
          <w:b/>
          <w:sz w:val="19"/>
          <w:szCs w:val="19"/>
          <w:lang w:val="en-GB"/>
        </w:rPr>
        <w:t>O</w:t>
      </w:r>
      <w:r w:rsidR="00A60702" w:rsidRPr="00FF4AFA">
        <w:rPr>
          <w:rFonts w:ascii="Fira Sans" w:hAnsi="Fira Sans"/>
          <w:b/>
          <w:sz w:val="19"/>
          <w:szCs w:val="19"/>
          <w:lang w:val="en-GB"/>
        </w:rPr>
        <w:t>ne-off guarantee</w:t>
      </w:r>
      <w:r w:rsidR="00A60702" w:rsidRPr="00FF4AFA">
        <w:rPr>
          <w:rFonts w:ascii="Fira Sans" w:hAnsi="Fira Sans"/>
          <w:sz w:val="19"/>
          <w:szCs w:val="19"/>
          <w:lang w:val="en-GB"/>
        </w:rPr>
        <w:t xml:space="preserve"> is defined as individual, and guarantors are not able to make a reliable estimate of the risk of calls. One-off guarantees are linked to debt instruments (e.g. loans, bonds).</w:t>
      </w:r>
    </w:p>
    <w:p w:rsidR="00DC6BA2" w:rsidRPr="00FF4AFA" w:rsidRDefault="00DC6BA2" w:rsidP="00BA3000">
      <w:pPr>
        <w:tabs>
          <w:tab w:val="left" w:pos="2322"/>
        </w:tabs>
        <w:jc w:val="both"/>
        <w:rPr>
          <w:rFonts w:ascii="Fira Sans" w:hAnsi="Fira Sans"/>
          <w:b/>
          <w:bCs/>
          <w:sz w:val="19"/>
          <w:szCs w:val="19"/>
          <w:lang w:val="en-GB"/>
        </w:rPr>
      </w:pPr>
      <w:r w:rsidRPr="00FF4AFA">
        <w:rPr>
          <w:rFonts w:ascii="Fira Sans" w:hAnsi="Fira Sans"/>
          <w:b/>
          <w:bCs/>
          <w:sz w:val="19"/>
          <w:szCs w:val="19"/>
          <w:lang w:val="en-GB"/>
        </w:rPr>
        <w:t xml:space="preserve">Standardised guarantees </w:t>
      </w:r>
      <w:r w:rsidRPr="00FF4AFA">
        <w:rPr>
          <w:rFonts w:ascii="Fira Sans" w:hAnsi="Fira Sans"/>
          <w:bCs/>
          <w:sz w:val="19"/>
          <w:szCs w:val="19"/>
          <w:lang w:val="en-GB"/>
        </w:rPr>
        <w:t>are guarantees that are issued in large numbers, usually for fairly small amounts, along identical lines. There are three parties involved in these arrangements</w:t>
      </w:r>
      <w:r w:rsidR="00A61CBC">
        <w:rPr>
          <w:rFonts w:ascii="Fira Sans" w:hAnsi="Fira Sans"/>
          <w:bCs/>
          <w:sz w:val="19"/>
          <w:szCs w:val="19"/>
          <w:lang w:val="en-GB"/>
        </w:rPr>
        <w:t xml:space="preserve"> </w:t>
      </w:r>
      <w:r w:rsidRPr="00FF4AFA">
        <w:rPr>
          <w:rFonts w:ascii="Fira Sans" w:hAnsi="Fira Sans"/>
          <w:bCs/>
          <w:sz w:val="19"/>
          <w:szCs w:val="19"/>
          <w:lang w:val="en-GB"/>
        </w:rPr>
        <w:t>- the borrower, the lender and the guarantor. Either the borrower or the lender may contract with the guarantor to repay the lender if the borrower defaults. It is not possible to estimate precisely the risk of each loan being in default but it is possible to estimate how many, out of a large number of such loans, will default. Examples are mortgage loan guarantees, student loan guarantees, etc.</w:t>
      </w:r>
    </w:p>
    <w:p w:rsidR="00BA3000" w:rsidRPr="00FF4AFA" w:rsidRDefault="00EC5810" w:rsidP="00EC5810">
      <w:pPr>
        <w:tabs>
          <w:tab w:val="left" w:pos="2322"/>
        </w:tabs>
        <w:spacing w:after="0"/>
        <w:jc w:val="both"/>
        <w:rPr>
          <w:rFonts w:ascii="Fira Sans" w:hAnsi="Fira Sans"/>
          <w:bCs/>
          <w:sz w:val="19"/>
          <w:szCs w:val="19"/>
          <w:lang w:val="en-GB"/>
        </w:rPr>
      </w:pPr>
      <w:r w:rsidRPr="00FF4AFA">
        <w:rPr>
          <w:rFonts w:ascii="Fira Sans" w:hAnsi="Fira Sans"/>
          <w:b/>
          <w:bCs/>
          <w:sz w:val="19"/>
          <w:szCs w:val="19"/>
          <w:lang w:val="en-GB"/>
        </w:rPr>
        <w:t xml:space="preserve">The data </w:t>
      </w:r>
      <w:r w:rsidR="0093793A" w:rsidRPr="00FF4AFA">
        <w:rPr>
          <w:rFonts w:ascii="Fira Sans" w:hAnsi="Fira Sans"/>
          <w:b/>
          <w:bCs/>
          <w:sz w:val="19"/>
          <w:szCs w:val="19"/>
          <w:lang w:val="en-GB"/>
        </w:rPr>
        <w:t>referring</w:t>
      </w:r>
      <w:r w:rsidR="00F53169" w:rsidRPr="00FF4AFA">
        <w:rPr>
          <w:rFonts w:ascii="Fira Sans" w:hAnsi="Fira Sans"/>
          <w:b/>
          <w:bCs/>
          <w:sz w:val="19"/>
          <w:szCs w:val="19"/>
          <w:lang w:val="en-GB"/>
        </w:rPr>
        <w:t xml:space="preserve"> to </w:t>
      </w:r>
      <w:r w:rsidR="0093793A" w:rsidRPr="00FF4AFA">
        <w:rPr>
          <w:rFonts w:ascii="Fira Sans" w:hAnsi="Fira Sans"/>
          <w:b/>
          <w:bCs/>
          <w:sz w:val="19"/>
          <w:szCs w:val="19"/>
          <w:lang w:val="en-GB"/>
        </w:rPr>
        <w:t>guarantees</w:t>
      </w:r>
      <w:r w:rsidR="00F53169" w:rsidRPr="00FF4AFA">
        <w:rPr>
          <w:rFonts w:ascii="Fira Sans" w:hAnsi="Fira Sans"/>
          <w:b/>
          <w:bCs/>
          <w:sz w:val="19"/>
          <w:szCs w:val="19"/>
          <w:lang w:val="en-GB"/>
        </w:rPr>
        <w:t xml:space="preserve"> </w:t>
      </w:r>
      <w:r w:rsidR="00A61CBC">
        <w:rPr>
          <w:rFonts w:ascii="Fira Sans" w:hAnsi="Fira Sans"/>
          <w:b/>
          <w:bCs/>
          <w:sz w:val="19"/>
          <w:szCs w:val="19"/>
          <w:lang w:val="en-GB"/>
        </w:rPr>
        <w:t xml:space="preserve">do not include </w:t>
      </w:r>
      <w:r w:rsidR="00A61CBC">
        <w:rPr>
          <w:rFonts w:ascii="Fira Sans" w:hAnsi="Fira Sans"/>
          <w:bCs/>
          <w:sz w:val="19"/>
          <w:szCs w:val="19"/>
          <w:lang w:val="en-GB"/>
        </w:rPr>
        <w:t>g</w:t>
      </w:r>
      <w:r w:rsidRPr="00FF4AFA">
        <w:rPr>
          <w:rFonts w:ascii="Fira Sans" w:hAnsi="Fira Sans"/>
          <w:bCs/>
          <w:sz w:val="19"/>
          <w:szCs w:val="19"/>
          <w:lang w:val="en-GB"/>
        </w:rPr>
        <w:t>overnment guarantees issued within the guarantee mechanism under the Framework Agreement of the European Fina</w:t>
      </w:r>
      <w:r w:rsidR="00A61CBC">
        <w:rPr>
          <w:rFonts w:ascii="Fira Sans" w:hAnsi="Fira Sans"/>
          <w:bCs/>
          <w:sz w:val="19"/>
          <w:szCs w:val="19"/>
          <w:lang w:val="en-GB"/>
        </w:rPr>
        <w:t>ncial Stability Facility (EFSF), d</w:t>
      </w:r>
      <w:r w:rsidRPr="00FF4AFA">
        <w:rPr>
          <w:rFonts w:ascii="Fira Sans" w:hAnsi="Fira Sans"/>
          <w:bCs/>
          <w:sz w:val="19"/>
          <w:szCs w:val="19"/>
          <w:lang w:val="en-GB"/>
        </w:rPr>
        <w:t>erivative-type guarantees, that is guarantees that meet the defin</w:t>
      </w:r>
      <w:r w:rsidR="00A61CBC">
        <w:rPr>
          <w:rFonts w:ascii="Fira Sans" w:hAnsi="Fira Sans"/>
          <w:bCs/>
          <w:sz w:val="19"/>
          <w:szCs w:val="19"/>
          <w:lang w:val="en-GB"/>
        </w:rPr>
        <w:t>ition of a financial derivative, d</w:t>
      </w:r>
      <w:r w:rsidRPr="00FF4AFA">
        <w:rPr>
          <w:rFonts w:ascii="Fira Sans" w:hAnsi="Fira Sans"/>
          <w:bCs/>
          <w:sz w:val="19"/>
          <w:szCs w:val="19"/>
          <w:lang w:val="en-GB"/>
        </w:rPr>
        <w:t>eposit insurance gu</w:t>
      </w:r>
      <w:r w:rsidR="00A61CBC">
        <w:rPr>
          <w:rFonts w:ascii="Fira Sans" w:hAnsi="Fira Sans"/>
          <w:bCs/>
          <w:sz w:val="19"/>
          <w:szCs w:val="19"/>
          <w:lang w:val="en-GB"/>
        </w:rPr>
        <w:t xml:space="preserve">arantees and comparable schemes and </w:t>
      </w:r>
      <w:r w:rsidRPr="00FF4AFA">
        <w:rPr>
          <w:rFonts w:ascii="Fira Sans" w:hAnsi="Fira Sans"/>
          <w:bCs/>
          <w:sz w:val="19"/>
          <w:szCs w:val="19"/>
          <w:lang w:val="en-GB"/>
        </w:rPr>
        <w:t>guarantees issued on events which occurrence is very difficult to cover via commercial insurance (earth quakes, large scale flooding, nuclear accidents, certain art exhibitions, etc.).</w:t>
      </w:r>
    </w:p>
    <w:p w:rsidR="00F71A13" w:rsidRPr="00FF4AFA" w:rsidRDefault="00F71A13" w:rsidP="00EC5810">
      <w:pPr>
        <w:tabs>
          <w:tab w:val="left" w:pos="2322"/>
        </w:tabs>
        <w:spacing w:after="0"/>
        <w:jc w:val="both"/>
        <w:rPr>
          <w:rFonts w:ascii="Fira Sans" w:hAnsi="Fira Sans"/>
          <w:bCs/>
          <w:sz w:val="19"/>
          <w:szCs w:val="19"/>
          <w:lang w:val="en-GB"/>
        </w:rPr>
      </w:pPr>
    </w:p>
    <w:p w:rsidR="00EC5810" w:rsidRPr="00FF4AFA" w:rsidRDefault="007E5F85" w:rsidP="00EC5810">
      <w:pPr>
        <w:tabs>
          <w:tab w:val="left" w:pos="2322"/>
        </w:tabs>
        <w:spacing w:after="0"/>
        <w:jc w:val="both"/>
        <w:rPr>
          <w:rFonts w:ascii="Fira Sans" w:hAnsi="Fira Sans"/>
          <w:bCs/>
          <w:sz w:val="19"/>
          <w:szCs w:val="19"/>
          <w:lang w:val="en-GB"/>
        </w:rPr>
      </w:pPr>
      <w:r w:rsidRPr="00FF4AFA">
        <w:rPr>
          <w:rFonts w:ascii="Fira Sans" w:hAnsi="Fira Sans"/>
          <w:bCs/>
          <w:sz w:val="19"/>
          <w:szCs w:val="19"/>
          <w:lang w:val="en-GB"/>
        </w:rPr>
        <w:t>The table covers all subsectors of the general government sector, except for the social security funds subsector.</w:t>
      </w:r>
    </w:p>
    <w:p w:rsidR="00EC5810" w:rsidRPr="00FF4AFA" w:rsidRDefault="00EC5810" w:rsidP="00EC5810">
      <w:pPr>
        <w:tabs>
          <w:tab w:val="left" w:pos="2322"/>
        </w:tabs>
        <w:spacing w:after="0"/>
        <w:jc w:val="both"/>
        <w:rPr>
          <w:rFonts w:ascii="Fira Sans" w:hAnsi="Fira Sans"/>
          <w:bCs/>
          <w:sz w:val="19"/>
          <w:szCs w:val="19"/>
          <w:lang w:val="en-GB"/>
        </w:rPr>
      </w:pPr>
      <w:r w:rsidRPr="00FF4AFA">
        <w:rPr>
          <w:rFonts w:ascii="Fira Sans" w:hAnsi="Fira Sans"/>
          <w:bCs/>
          <w:sz w:val="19"/>
          <w:szCs w:val="19"/>
          <w:lang w:val="en-GB"/>
        </w:rPr>
        <w:t xml:space="preserve">Guarantees provided </w:t>
      </w:r>
      <w:r w:rsidRPr="00FF4AFA">
        <w:rPr>
          <w:rFonts w:ascii="Fira Sans" w:hAnsi="Fira Sans"/>
          <w:b/>
          <w:bCs/>
          <w:sz w:val="19"/>
          <w:szCs w:val="19"/>
          <w:lang w:val="en-GB"/>
        </w:rPr>
        <w:t>only to units classified outside</w:t>
      </w:r>
      <w:r w:rsidRPr="00FF4AFA">
        <w:rPr>
          <w:rFonts w:ascii="Fira Sans" w:hAnsi="Fira Sans"/>
          <w:bCs/>
          <w:sz w:val="19"/>
          <w:szCs w:val="19"/>
          <w:lang w:val="en-GB"/>
        </w:rPr>
        <w:t xml:space="preserve"> general government are to be reported.     </w:t>
      </w:r>
    </w:p>
    <w:p w:rsidR="00EC5810" w:rsidRPr="00FF4AFA" w:rsidRDefault="00EC5810" w:rsidP="00EC5810">
      <w:pPr>
        <w:tabs>
          <w:tab w:val="left" w:pos="2322"/>
        </w:tabs>
        <w:spacing w:after="0"/>
        <w:jc w:val="both"/>
        <w:rPr>
          <w:rFonts w:ascii="Fira Sans" w:hAnsi="Fira Sans"/>
          <w:bCs/>
          <w:sz w:val="19"/>
          <w:szCs w:val="19"/>
          <w:lang w:val="en-GB"/>
        </w:rPr>
      </w:pPr>
      <w:r w:rsidRPr="00FF4AFA">
        <w:rPr>
          <w:rFonts w:ascii="Fira Sans" w:hAnsi="Fira Sans"/>
          <w:bCs/>
          <w:sz w:val="19"/>
          <w:szCs w:val="19"/>
          <w:lang w:val="en-GB"/>
        </w:rPr>
        <w:t>Stocks of guaranteed debt do not include stocks of debt already assumed by government, as recorded in ESA accounts.</w:t>
      </w:r>
    </w:p>
    <w:p w:rsidR="00EC5810" w:rsidRPr="00FF4AFA" w:rsidRDefault="00EC5810" w:rsidP="00EC5810">
      <w:pPr>
        <w:tabs>
          <w:tab w:val="left" w:pos="2322"/>
        </w:tabs>
        <w:spacing w:after="0"/>
        <w:jc w:val="both"/>
        <w:rPr>
          <w:rFonts w:ascii="Fira Sans" w:hAnsi="Fira Sans"/>
          <w:bCs/>
          <w:sz w:val="19"/>
          <w:szCs w:val="19"/>
          <w:lang w:val="en-GB"/>
        </w:rPr>
      </w:pPr>
      <w:r w:rsidRPr="00FF4AFA">
        <w:rPr>
          <w:rFonts w:ascii="Fira Sans" w:hAnsi="Fira Sans"/>
          <w:bCs/>
          <w:sz w:val="19"/>
          <w:szCs w:val="19"/>
          <w:lang w:val="en-GB"/>
        </w:rPr>
        <w:t>The terminology of the table follows the ESA 2010.</w:t>
      </w:r>
    </w:p>
    <w:p w:rsidR="00494849" w:rsidRPr="00FF4AFA" w:rsidRDefault="007E5F85" w:rsidP="00494849">
      <w:pPr>
        <w:tabs>
          <w:tab w:val="left" w:pos="2322"/>
        </w:tabs>
        <w:spacing w:before="240"/>
        <w:jc w:val="both"/>
        <w:rPr>
          <w:rFonts w:ascii="Fira Sans" w:eastAsia="Times New Roman" w:hAnsi="Fira Sans" w:cs="Calibri"/>
          <w:b/>
          <w:bCs/>
          <w:sz w:val="19"/>
          <w:szCs w:val="19"/>
          <w:u w:val="single"/>
          <w:lang w:val="en-GB" w:eastAsia="pl-PL"/>
        </w:rPr>
      </w:pPr>
      <w:r w:rsidRPr="00FF4AFA">
        <w:rPr>
          <w:rFonts w:ascii="Fira Sans" w:eastAsia="Times New Roman" w:hAnsi="Fira Sans" w:cs="Calibri"/>
          <w:b/>
          <w:bCs/>
          <w:sz w:val="19"/>
          <w:szCs w:val="19"/>
          <w:u w:val="single"/>
          <w:lang w:val="en-GB" w:eastAsia="pl-PL"/>
        </w:rPr>
        <w:t>Adjusted capital value of off-balance PPPs</w:t>
      </w:r>
    </w:p>
    <w:p w:rsidR="007E5F85" w:rsidRPr="00FF4AFA" w:rsidRDefault="007E5F85" w:rsidP="007E5F85">
      <w:pPr>
        <w:tabs>
          <w:tab w:val="left" w:pos="2322"/>
        </w:tabs>
        <w:spacing w:before="240"/>
        <w:jc w:val="both"/>
        <w:rPr>
          <w:rFonts w:ascii="Fira Sans" w:eastAsia="Times New Roman" w:hAnsi="Fira Sans" w:cs="Calibri"/>
          <w:sz w:val="19"/>
          <w:szCs w:val="19"/>
          <w:lang w:val="en-GB" w:eastAsia="pl-PL"/>
        </w:rPr>
      </w:pPr>
      <w:r w:rsidRPr="00FF4AFA">
        <w:rPr>
          <w:rFonts w:ascii="Fira Sans" w:eastAsia="Times New Roman" w:hAnsi="Fira Sans" w:cs="Calibri"/>
          <w:sz w:val="19"/>
          <w:szCs w:val="19"/>
          <w:lang w:val="en-GB" w:eastAsia="pl-PL"/>
        </w:rPr>
        <w:t xml:space="preserve">Initial contractual capital value in the contract is progressively reduced over time by the amount of the "economic depreciation" which is calculated on the basis of estimates or actual data. The adjusted capital value reflects the current value of the asset at the time of reporting. The amount is deemed to reflect the GFCF and debt impact in case that government would have to take over the assets during the life of the contract.  </w:t>
      </w:r>
    </w:p>
    <w:p w:rsidR="00494849" w:rsidRPr="00FF4AFA" w:rsidRDefault="00FA728E" w:rsidP="00494849">
      <w:pPr>
        <w:tabs>
          <w:tab w:val="left" w:pos="2322"/>
        </w:tabs>
        <w:spacing w:before="240"/>
        <w:jc w:val="both"/>
        <w:rPr>
          <w:rFonts w:ascii="Fira Sans" w:eastAsia="Times New Roman" w:hAnsi="Fira Sans" w:cs="Calibri"/>
          <w:b/>
          <w:bCs/>
          <w:color w:val="000000"/>
          <w:sz w:val="19"/>
          <w:szCs w:val="19"/>
          <w:u w:val="single"/>
          <w:lang w:val="en-GB" w:eastAsia="pl-PL"/>
        </w:rPr>
      </w:pPr>
      <w:r w:rsidRPr="00FF4AFA">
        <w:rPr>
          <w:rFonts w:ascii="Fira Sans" w:eastAsia="Times New Roman" w:hAnsi="Fira Sans" w:cs="Calibri"/>
          <w:b/>
          <w:bCs/>
          <w:color w:val="000000"/>
          <w:sz w:val="19"/>
          <w:szCs w:val="19"/>
          <w:u w:val="single"/>
          <w:lang w:val="en-GB" w:eastAsia="pl-PL"/>
        </w:rPr>
        <w:t>Non-performing loans (government assets)</w:t>
      </w:r>
    </w:p>
    <w:p w:rsidR="00CE1955" w:rsidRDefault="00FA728E" w:rsidP="00D16265">
      <w:pPr>
        <w:tabs>
          <w:tab w:val="left" w:pos="2322"/>
        </w:tabs>
        <w:jc w:val="both"/>
        <w:rPr>
          <w:rFonts w:ascii="Fira Sans" w:eastAsia="Times New Roman" w:hAnsi="Fira Sans" w:cs="Calibri"/>
          <w:color w:val="000000"/>
          <w:sz w:val="19"/>
          <w:szCs w:val="19"/>
          <w:lang w:val="en-GB" w:eastAsia="pl-PL"/>
        </w:rPr>
      </w:pPr>
      <w:r w:rsidRPr="00FF4AFA">
        <w:rPr>
          <w:rFonts w:ascii="Fira Sans" w:eastAsia="Times New Roman" w:hAnsi="Fira Sans" w:cs="Calibri"/>
          <w:color w:val="000000"/>
          <w:sz w:val="19"/>
          <w:szCs w:val="19"/>
          <w:lang w:val="en-GB" w:eastAsia="pl-PL"/>
        </w:rPr>
        <w:t>A loan is non-performing when payments of interest or principal are past due by 90 days or more, or interest payments equal to 90 days or more have been capitalized, refinanced, or delayed by agreement, or payments are less than 90 days overdue, but there are other good reasons (such as a debtor filing for bankruptcy) to doubt that payments will be made in full (ESA 2010, § 7.101).</w:t>
      </w:r>
    </w:p>
    <w:p w:rsidR="00977796" w:rsidRPr="009237D3" w:rsidRDefault="00977796" w:rsidP="00977796">
      <w:pPr>
        <w:tabs>
          <w:tab w:val="left" w:pos="2322"/>
        </w:tabs>
        <w:spacing w:before="240"/>
        <w:jc w:val="both"/>
        <w:rPr>
          <w:rFonts w:ascii="Fira Sans" w:eastAsia="Times New Roman" w:hAnsi="Fira Sans" w:cs="Calibri"/>
          <w:b/>
          <w:bCs/>
          <w:color w:val="000000"/>
          <w:sz w:val="19"/>
          <w:szCs w:val="19"/>
          <w:u w:val="single"/>
          <w:lang w:val="en-GB" w:eastAsia="pl-PL"/>
        </w:rPr>
      </w:pPr>
      <w:r w:rsidRPr="009237D3">
        <w:rPr>
          <w:rFonts w:ascii="Fira Sans" w:hAnsi="Fira Sans"/>
          <w:b/>
          <w:color w:val="000000"/>
          <w:sz w:val="19"/>
          <w:szCs w:val="19"/>
          <w:u w:val="single"/>
          <w:lang w:val="en"/>
        </w:rPr>
        <w:t>Corporate li</w:t>
      </w:r>
      <w:bookmarkStart w:id="0" w:name="_GoBack"/>
      <w:bookmarkEnd w:id="0"/>
      <w:r w:rsidRPr="009237D3">
        <w:rPr>
          <w:rFonts w:ascii="Fira Sans" w:hAnsi="Fira Sans"/>
          <w:b/>
          <w:color w:val="000000"/>
          <w:sz w:val="19"/>
          <w:szCs w:val="19"/>
          <w:u w:val="single"/>
          <w:lang w:val="en"/>
        </w:rPr>
        <w:t>abilities</w:t>
      </w:r>
    </w:p>
    <w:p w:rsidR="00977796" w:rsidRPr="009237D3" w:rsidRDefault="00977796" w:rsidP="00977796">
      <w:pPr>
        <w:jc w:val="both"/>
        <w:rPr>
          <w:rFonts w:ascii="Fira Sans" w:hAnsi="Fira Sans"/>
          <w:sz w:val="19"/>
          <w:szCs w:val="19"/>
          <w:lang w:val="en-GB"/>
        </w:rPr>
      </w:pPr>
      <w:r w:rsidRPr="009237D3">
        <w:rPr>
          <w:rFonts w:ascii="Fira Sans" w:hAnsi="Fira Sans"/>
          <w:sz w:val="19"/>
          <w:szCs w:val="19"/>
          <w:lang w:val="en"/>
        </w:rPr>
        <w:t xml:space="preserve">Liabilities are defined as the </w:t>
      </w:r>
      <w:r>
        <w:rPr>
          <w:rFonts w:ascii="Fira Sans" w:hAnsi="Fira Sans"/>
          <w:sz w:val="19"/>
          <w:szCs w:val="19"/>
          <w:lang w:val="en"/>
        </w:rPr>
        <w:t>stock</w:t>
      </w:r>
      <w:r w:rsidRPr="009237D3">
        <w:rPr>
          <w:rFonts w:ascii="Fira Sans" w:hAnsi="Fira Sans"/>
          <w:sz w:val="19"/>
          <w:szCs w:val="19"/>
          <w:lang w:val="en"/>
        </w:rPr>
        <w:t xml:space="preserve"> of liabilities reported in the corporate accounting of each company at the end of the year.  The data includes public undertakings, which are classified in S.11, S.12, S.15 and S.2. In the case of indirect ownership, the controlling sub-sector is considered to be the sub-sector at the top of the control chain. The presented data do not include consolidated data within capital groups. The materiality threshold is 0.01% of GDP for each company.</w:t>
      </w:r>
    </w:p>
    <w:p w:rsidR="00977796" w:rsidRPr="009237D3" w:rsidRDefault="00977796" w:rsidP="00977796">
      <w:pPr>
        <w:jc w:val="both"/>
        <w:rPr>
          <w:rFonts w:ascii="Fira Sans" w:hAnsi="Fira Sans"/>
          <w:b/>
          <w:sz w:val="19"/>
          <w:szCs w:val="19"/>
          <w:u w:val="single"/>
          <w:lang w:val="en-GB"/>
        </w:rPr>
      </w:pPr>
      <w:r w:rsidRPr="009237D3">
        <w:rPr>
          <w:rFonts w:ascii="Fira Sans" w:hAnsi="Fira Sans"/>
          <w:b/>
          <w:sz w:val="19"/>
          <w:szCs w:val="19"/>
          <w:u w:val="single"/>
          <w:lang w:val="en"/>
        </w:rPr>
        <w:t>Share of general government in corporate capital</w:t>
      </w:r>
    </w:p>
    <w:p w:rsidR="00977796" w:rsidRPr="00D60DF9" w:rsidRDefault="00977796" w:rsidP="00977796">
      <w:pPr>
        <w:jc w:val="both"/>
        <w:rPr>
          <w:rFonts w:ascii="Fira Sans" w:eastAsia="Times New Roman" w:hAnsi="Fira Sans" w:cs="Calibri"/>
          <w:color w:val="000000"/>
          <w:sz w:val="19"/>
          <w:szCs w:val="19"/>
          <w:lang w:val="en-GB" w:eastAsia="pl-PL"/>
        </w:rPr>
      </w:pPr>
      <w:r w:rsidRPr="009237D3">
        <w:rPr>
          <w:rFonts w:ascii="Fira Sans" w:hAnsi="Fira Sans"/>
          <w:sz w:val="19"/>
          <w:szCs w:val="19"/>
          <w:lang w:val="en"/>
        </w:rPr>
        <w:t xml:space="preserve">General government assets are the value of shares and other </w:t>
      </w:r>
      <w:r w:rsidRPr="00546D66">
        <w:rPr>
          <w:rFonts w:ascii="Fira Sans" w:hAnsi="Fira Sans"/>
          <w:sz w:val="19"/>
          <w:szCs w:val="19"/>
          <w:lang w:val="en"/>
        </w:rPr>
        <w:t xml:space="preserve">equity </w:t>
      </w:r>
      <w:r w:rsidRPr="009237D3">
        <w:rPr>
          <w:rFonts w:ascii="Fira Sans" w:hAnsi="Fira Sans"/>
          <w:sz w:val="19"/>
          <w:szCs w:val="19"/>
          <w:lang w:val="en"/>
        </w:rPr>
        <w:t xml:space="preserve">that represent the </w:t>
      </w:r>
      <w:r w:rsidRPr="00546D66">
        <w:rPr>
          <w:rFonts w:ascii="Fira Sans" w:hAnsi="Fira Sans"/>
          <w:sz w:val="19"/>
          <w:szCs w:val="19"/>
          <w:lang w:val="en"/>
        </w:rPr>
        <w:t>property rights of government on corporation capital</w:t>
      </w:r>
      <w:r w:rsidRPr="009237D3">
        <w:rPr>
          <w:rFonts w:ascii="Fira Sans" w:hAnsi="Fira Sans"/>
          <w:sz w:val="19"/>
          <w:szCs w:val="19"/>
          <w:lang w:val="en"/>
        </w:rPr>
        <w:t xml:space="preserve">, entitling the holders to a share of the company's profit and the net worth of the enterprise in the </w:t>
      </w:r>
      <w:r w:rsidRPr="009237D3">
        <w:rPr>
          <w:rFonts w:ascii="Fira Sans" w:hAnsi="Fira Sans"/>
          <w:sz w:val="19"/>
          <w:szCs w:val="19"/>
          <w:lang w:val="en"/>
        </w:rPr>
        <w:lastRenderedPageBreak/>
        <w:t xml:space="preserve">event of its liquidation. The value presented in % of GDP </w:t>
      </w:r>
      <w:r w:rsidRPr="00546D66">
        <w:rPr>
          <w:rFonts w:ascii="Fira Sans" w:hAnsi="Fira Sans"/>
          <w:sz w:val="19"/>
          <w:szCs w:val="19"/>
          <w:lang w:val="en"/>
        </w:rPr>
        <w:t xml:space="preserve">reflects the amount of government participation (not the whole value of the corporation capital). </w:t>
      </w:r>
      <w:r w:rsidRPr="009237D3">
        <w:rPr>
          <w:rFonts w:ascii="Fira Sans" w:hAnsi="Fira Sans"/>
          <w:sz w:val="19"/>
          <w:szCs w:val="19"/>
          <w:lang w:val="en"/>
        </w:rPr>
        <w:t xml:space="preserve">The indicator covers both direct and indirect ownership of general government in enterprises classified in sector S.11, S.12 and S.2, The data includes </w:t>
      </w:r>
      <w:r>
        <w:rPr>
          <w:rFonts w:ascii="Fira Sans" w:hAnsi="Fira Sans"/>
          <w:sz w:val="19"/>
          <w:szCs w:val="19"/>
          <w:lang w:val="en"/>
        </w:rPr>
        <w:t>each</w:t>
      </w:r>
      <w:r w:rsidRPr="009237D3">
        <w:rPr>
          <w:rFonts w:ascii="Fira Sans" w:hAnsi="Fira Sans"/>
          <w:sz w:val="19"/>
          <w:szCs w:val="19"/>
          <w:lang w:val="en"/>
        </w:rPr>
        <w:t xml:space="preserve"> enterprise in which the value of the share of general government in absolute terms is higher than 0.01% of GDP.  </w:t>
      </w:r>
    </w:p>
    <w:p w:rsidR="00977796" w:rsidRPr="00FF4AFA" w:rsidRDefault="00977796" w:rsidP="00D16265">
      <w:pPr>
        <w:tabs>
          <w:tab w:val="left" w:pos="2322"/>
        </w:tabs>
        <w:jc w:val="both"/>
        <w:rPr>
          <w:rFonts w:ascii="Fira Sans" w:eastAsia="Times New Roman" w:hAnsi="Fira Sans" w:cs="Calibri"/>
          <w:color w:val="000000"/>
          <w:sz w:val="19"/>
          <w:szCs w:val="19"/>
          <w:lang w:val="en-GB" w:eastAsia="pl-PL"/>
        </w:rPr>
      </w:pPr>
    </w:p>
    <w:sectPr w:rsidR="00977796" w:rsidRPr="00FF4AFA" w:rsidSect="00E00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Fira Sans">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F63EA"/>
    <w:multiLevelType w:val="hybridMultilevel"/>
    <w:tmpl w:val="C9F0B5E0"/>
    <w:lvl w:ilvl="0" w:tplc="5024EC8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 w15:restartNumberingAfterBreak="0">
    <w:nsid w:val="5598029A"/>
    <w:multiLevelType w:val="hybridMultilevel"/>
    <w:tmpl w:val="01FEBA7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4A"/>
    <w:rsid w:val="000450B1"/>
    <w:rsid w:val="00082B99"/>
    <w:rsid w:val="00090F4A"/>
    <w:rsid w:val="000C1AB8"/>
    <w:rsid w:val="00144079"/>
    <w:rsid w:val="00150603"/>
    <w:rsid w:val="001645F9"/>
    <w:rsid w:val="00171E22"/>
    <w:rsid w:val="001C6D5F"/>
    <w:rsid w:val="001F40DA"/>
    <w:rsid w:val="0020241D"/>
    <w:rsid w:val="002F368D"/>
    <w:rsid w:val="00331555"/>
    <w:rsid w:val="003456DD"/>
    <w:rsid w:val="003B2008"/>
    <w:rsid w:val="003C0D26"/>
    <w:rsid w:val="003C1A2D"/>
    <w:rsid w:val="00494849"/>
    <w:rsid w:val="004E3858"/>
    <w:rsid w:val="00535B34"/>
    <w:rsid w:val="0053623C"/>
    <w:rsid w:val="00541894"/>
    <w:rsid w:val="00545CC7"/>
    <w:rsid w:val="00553075"/>
    <w:rsid w:val="0057748A"/>
    <w:rsid w:val="005940E4"/>
    <w:rsid w:val="006128ED"/>
    <w:rsid w:val="0069716A"/>
    <w:rsid w:val="00730A8A"/>
    <w:rsid w:val="007A3F51"/>
    <w:rsid w:val="007E5F85"/>
    <w:rsid w:val="007F76EC"/>
    <w:rsid w:val="008B518B"/>
    <w:rsid w:val="0093793A"/>
    <w:rsid w:val="00977796"/>
    <w:rsid w:val="00994CD5"/>
    <w:rsid w:val="009B3915"/>
    <w:rsid w:val="009B52DF"/>
    <w:rsid w:val="00A1326A"/>
    <w:rsid w:val="00A549AF"/>
    <w:rsid w:val="00A60702"/>
    <w:rsid w:val="00A61CBC"/>
    <w:rsid w:val="00A87621"/>
    <w:rsid w:val="00A96923"/>
    <w:rsid w:val="00AB0408"/>
    <w:rsid w:val="00AF3C62"/>
    <w:rsid w:val="00B071EA"/>
    <w:rsid w:val="00B9439D"/>
    <w:rsid w:val="00BA3000"/>
    <w:rsid w:val="00C47101"/>
    <w:rsid w:val="00CA6FC9"/>
    <w:rsid w:val="00CD77BE"/>
    <w:rsid w:val="00CE15B4"/>
    <w:rsid w:val="00CE1955"/>
    <w:rsid w:val="00D16265"/>
    <w:rsid w:val="00D320A2"/>
    <w:rsid w:val="00D61349"/>
    <w:rsid w:val="00DC6BA2"/>
    <w:rsid w:val="00E002A9"/>
    <w:rsid w:val="00E13609"/>
    <w:rsid w:val="00E450ED"/>
    <w:rsid w:val="00EC5810"/>
    <w:rsid w:val="00F53169"/>
    <w:rsid w:val="00F71A13"/>
    <w:rsid w:val="00F74D05"/>
    <w:rsid w:val="00F91AE2"/>
    <w:rsid w:val="00FA728E"/>
    <w:rsid w:val="00FF4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93EE-9FEF-4D78-A37E-28289FDC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9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F40DA"/>
    <w:rPr>
      <w:sz w:val="16"/>
      <w:szCs w:val="16"/>
    </w:rPr>
  </w:style>
  <w:style w:type="paragraph" w:styleId="Tekstkomentarza">
    <w:name w:val="annotation text"/>
    <w:basedOn w:val="Normalny"/>
    <w:link w:val="TekstkomentarzaZnak"/>
    <w:uiPriority w:val="99"/>
    <w:semiHidden/>
    <w:unhideWhenUsed/>
    <w:rsid w:val="001F40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40DA"/>
    <w:rPr>
      <w:sz w:val="20"/>
      <w:szCs w:val="20"/>
    </w:rPr>
  </w:style>
  <w:style w:type="paragraph" w:styleId="Tematkomentarza">
    <w:name w:val="annotation subject"/>
    <w:basedOn w:val="Tekstkomentarza"/>
    <w:next w:val="Tekstkomentarza"/>
    <w:link w:val="TematkomentarzaZnak"/>
    <w:uiPriority w:val="99"/>
    <w:semiHidden/>
    <w:unhideWhenUsed/>
    <w:rsid w:val="001F40DA"/>
    <w:rPr>
      <w:b/>
      <w:bCs/>
    </w:rPr>
  </w:style>
  <w:style w:type="character" w:customStyle="1" w:styleId="TematkomentarzaZnak">
    <w:name w:val="Temat komentarza Znak"/>
    <w:basedOn w:val="TekstkomentarzaZnak"/>
    <w:link w:val="Tematkomentarza"/>
    <w:uiPriority w:val="99"/>
    <w:semiHidden/>
    <w:rsid w:val="001F40DA"/>
    <w:rPr>
      <w:b/>
      <w:bCs/>
      <w:sz w:val="20"/>
      <w:szCs w:val="20"/>
    </w:rPr>
  </w:style>
  <w:style w:type="paragraph" w:styleId="Tekstdymka">
    <w:name w:val="Balloon Text"/>
    <w:basedOn w:val="Normalny"/>
    <w:link w:val="TekstdymkaZnak"/>
    <w:uiPriority w:val="99"/>
    <w:semiHidden/>
    <w:unhideWhenUsed/>
    <w:rsid w:val="001F40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0DA"/>
    <w:rPr>
      <w:rFonts w:ascii="Segoe UI" w:hAnsi="Segoe UI" w:cs="Segoe UI"/>
      <w:sz w:val="18"/>
      <w:szCs w:val="18"/>
    </w:rPr>
  </w:style>
  <w:style w:type="paragraph" w:styleId="Akapitzlist">
    <w:name w:val="List Paragraph"/>
    <w:basedOn w:val="Normalny"/>
    <w:uiPriority w:val="34"/>
    <w:qFormat/>
    <w:rsid w:val="00EC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7772">
      <w:bodyDiv w:val="1"/>
      <w:marLeft w:val="0"/>
      <w:marRight w:val="0"/>
      <w:marTop w:val="0"/>
      <w:marBottom w:val="0"/>
      <w:divBdr>
        <w:top w:val="none" w:sz="0" w:space="0" w:color="auto"/>
        <w:left w:val="none" w:sz="0" w:space="0" w:color="auto"/>
        <w:bottom w:val="none" w:sz="0" w:space="0" w:color="auto"/>
        <w:right w:val="none" w:sz="0" w:space="0" w:color="auto"/>
      </w:divBdr>
    </w:div>
    <w:div w:id="27491544">
      <w:bodyDiv w:val="1"/>
      <w:marLeft w:val="0"/>
      <w:marRight w:val="0"/>
      <w:marTop w:val="0"/>
      <w:marBottom w:val="0"/>
      <w:divBdr>
        <w:top w:val="none" w:sz="0" w:space="0" w:color="auto"/>
        <w:left w:val="none" w:sz="0" w:space="0" w:color="auto"/>
        <w:bottom w:val="none" w:sz="0" w:space="0" w:color="auto"/>
        <w:right w:val="none" w:sz="0" w:space="0" w:color="auto"/>
      </w:divBdr>
    </w:div>
    <w:div w:id="65808700">
      <w:bodyDiv w:val="1"/>
      <w:marLeft w:val="0"/>
      <w:marRight w:val="0"/>
      <w:marTop w:val="0"/>
      <w:marBottom w:val="0"/>
      <w:divBdr>
        <w:top w:val="none" w:sz="0" w:space="0" w:color="auto"/>
        <w:left w:val="none" w:sz="0" w:space="0" w:color="auto"/>
        <w:bottom w:val="none" w:sz="0" w:space="0" w:color="auto"/>
        <w:right w:val="none" w:sz="0" w:space="0" w:color="auto"/>
      </w:divBdr>
    </w:div>
    <w:div w:id="364258742">
      <w:bodyDiv w:val="1"/>
      <w:marLeft w:val="0"/>
      <w:marRight w:val="0"/>
      <w:marTop w:val="0"/>
      <w:marBottom w:val="0"/>
      <w:divBdr>
        <w:top w:val="none" w:sz="0" w:space="0" w:color="auto"/>
        <w:left w:val="none" w:sz="0" w:space="0" w:color="auto"/>
        <w:bottom w:val="none" w:sz="0" w:space="0" w:color="auto"/>
        <w:right w:val="none" w:sz="0" w:space="0" w:color="auto"/>
      </w:divBdr>
    </w:div>
    <w:div w:id="1151870304">
      <w:bodyDiv w:val="1"/>
      <w:marLeft w:val="0"/>
      <w:marRight w:val="0"/>
      <w:marTop w:val="0"/>
      <w:marBottom w:val="0"/>
      <w:divBdr>
        <w:top w:val="none" w:sz="0" w:space="0" w:color="auto"/>
        <w:left w:val="none" w:sz="0" w:space="0" w:color="auto"/>
        <w:bottom w:val="none" w:sz="0" w:space="0" w:color="auto"/>
        <w:right w:val="none" w:sz="0" w:space="0" w:color="auto"/>
      </w:divBdr>
    </w:div>
    <w:div w:id="1167938926">
      <w:bodyDiv w:val="1"/>
      <w:marLeft w:val="0"/>
      <w:marRight w:val="0"/>
      <w:marTop w:val="0"/>
      <w:marBottom w:val="0"/>
      <w:divBdr>
        <w:top w:val="none" w:sz="0" w:space="0" w:color="auto"/>
        <w:left w:val="none" w:sz="0" w:space="0" w:color="auto"/>
        <w:bottom w:val="none" w:sz="0" w:space="0" w:color="auto"/>
        <w:right w:val="none" w:sz="0" w:space="0" w:color="auto"/>
      </w:divBdr>
    </w:div>
    <w:div w:id="1197087621">
      <w:bodyDiv w:val="1"/>
      <w:marLeft w:val="0"/>
      <w:marRight w:val="0"/>
      <w:marTop w:val="0"/>
      <w:marBottom w:val="0"/>
      <w:divBdr>
        <w:top w:val="none" w:sz="0" w:space="0" w:color="auto"/>
        <w:left w:val="none" w:sz="0" w:space="0" w:color="auto"/>
        <w:bottom w:val="none" w:sz="0" w:space="0" w:color="auto"/>
        <w:right w:val="none" w:sz="0" w:space="0" w:color="auto"/>
      </w:divBdr>
    </w:div>
    <w:div w:id="1376999668">
      <w:bodyDiv w:val="1"/>
      <w:marLeft w:val="0"/>
      <w:marRight w:val="0"/>
      <w:marTop w:val="0"/>
      <w:marBottom w:val="0"/>
      <w:divBdr>
        <w:top w:val="none" w:sz="0" w:space="0" w:color="auto"/>
        <w:left w:val="none" w:sz="0" w:space="0" w:color="auto"/>
        <w:bottom w:val="none" w:sz="0" w:space="0" w:color="auto"/>
        <w:right w:val="none" w:sz="0" w:space="0" w:color="auto"/>
      </w:divBdr>
    </w:div>
    <w:div w:id="1427069661">
      <w:bodyDiv w:val="1"/>
      <w:marLeft w:val="0"/>
      <w:marRight w:val="0"/>
      <w:marTop w:val="0"/>
      <w:marBottom w:val="0"/>
      <w:divBdr>
        <w:top w:val="none" w:sz="0" w:space="0" w:color="auto"/>
        <w:left w:val="none" w:sz="0" w:space="0" w:color="auto"/>
        <w:bottom w:val="none" w:sz="0" w:space="0" w:color="auto"/>
        <w:right w:val="none" w:sz="0" w:space="0" w:color="auto"/>
      </w:divBdr>
    </w:div>
    <w:div w:id="1475373515">
      <w:bodyDiv w:val="1"/>
      <w:marLeft w:val="0"/>
      <w:marRight w:val="0"/>
      <w:marTop w:val="0"/>
      <w:marBottom w:val="0"/>
      <w:divBdr>
        <w:top w:val="none" w:sz="0" w:space="0" w:color="auto"/>
        <w:left w:val="none" w:sz="0" w:space="0" w:color="auto"/>
        <w:bottom w:val="none" w:sz="0" w:space="0" w:color="auto"/>
        <w:right w:val="none" w:sz="0" w:space="0" w:color="auto"/>
      </w:divBdr>
    </w:div>
    <w:div w:id="2001040265">
      <w:bodyDiv w:val="1"/>
      <w:marLeft w:val="0"/>
      <w:marRight w:val="0"/>
      <w:marTop w:val="0"/>
      <w:marBottom w:val="0"/>
      <w:divBdr>
        <w:top w:val="none" w:sz="0" w:space="0" w:color="auto"/>
        <w:left w:val="none" w:sz="0" w:space="0" w:color="auto"/>
        <w:bottom w:val="none" w:sz="0" w:space="0" w:color="auto"/>
        <w:right w:val="none" w:sz="0" w:space="0" w:color="auto"/>
      </w:divBdr>
    </w:div>
    <w:div w:id="2006349867">
      <w:bodyDiv w:val="1"/>
      <w:marLeft w:val="0"/>
      <w:marRight w:val="0"/>
      <w:marTop w:val="0"/>
      <w:marBottom w:val="0"/>
      <w:divBdr>
        <w:top w:val="none" w:sz="0" w:space="0" w:color="auto"/>
        <w:left w:val="none" w:sz="0" w:space="0" w:color="auto"/>
        <w:bottom w:val="none" w:sz="0" w:space="0" w:color="auto"/>
        <w:right w:val="none" w:sz="0" w:space="0" w:color="auto"/>
      </w:divBdr>
    </w:div>
    <w:div w:id="2015496296">
      <w:bodyDiv w:val="1"/>
      <w:marLeft w:val="0"/>
      <w:marRight w:val="0"/>
      <w:marTop w:val="0"/>
      <w:marBottom w:val="0"/>
      <w:divBdr>
        <w:top w:val="none" w:sz="0" w:space="0" w:color="auto"/>
        <w:left w:val="none" w:sz="0" w:space="0" w:color="auto"/>
        <w:bottom w:val="none" w:sz="0" w:space="0" w:color="auto"/>
        <w:right w:val="none" w:sz="0" w:space="0" w:color="auto"/>
      </w:divBdr>
    </w:div>
    <w:div w:id="2029257097">
      <w:bodyDiv w:val="1"/>
      <w:marLeft w:val="0"/>
      <w:marRight w:val="0"/>
      <w:marTop w:val="0"/>
      <w:marBottom w:val="0"/>
      <w:divBdr>
        <w:top w:val="none" w:sz="0" w:space="0" w:color="auto"/>
        <w:left w:val="none" w:sz="0" w:space="0" w:color="auto"/>
        <w:bottom w:val="none" w:sz="0" w:space="0" w:color="auto"/>
        <w:right w:val="none" w:sz="0" w:space="0" w:color="auto"/>
      </w:divBdr>
    </w:div>
    <w:div w:id="20767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3907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2023-10-30T10:44:00Z</cp:lastPrinted>
  <dcterms:created xsi:type="dcterms:W3CDTF">2024-10-30T12:22:00Z</dcterms:created>
  <dcterms:modified xsi:type="dcterms:W3CDTF">2024-12-29T14:49:00Z</dcterms:modified>
</cp:coreProperties>
</file>