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9D" w:rsidRPr="004E607A" w:rsidRDefault="003C71E6" w:rsidP="00BF6A9D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BF6A9D" w:rsidRPr="001C7B5F" w:rsidRDefault="003C71E6" w:rsidP="00BF6A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BF6A9D" w:rsidRPr="004E65D9" w:rsidRDefault="003C71E6" w:rsidP="00BF6A9D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BF6A9D" w:rsidRPr="00EE75C1" w:rsidRDefault="003C71E6" w:rsidP="00BF6A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F6A9D" w:rsidRPr="00EE75C1" w:rsidRDefault="003C71E6" w:rsidP="00BF6A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BF6A9D" w:rsidRPr="00EE75C1" w:rsidRDefault="003C71E6" w:rsidP="00BF6A9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BF6A9D" w:rsidRDefault="003C71E6" w:rsidP="00BF6A9D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r>
        <w:t>21 maja 2021 r.</w:t>
      </w:r>
      <w:bookmarkEnd w:id="0"/>
    </w:p>
    <w:p w:rsidR="00BF6A9D" w:rsidRDefault="003C71E6" w:rsidP="00BF6A9D"/>
    <w:p w:rsidR="00BF6A9D" w:rsidRDefault="003C71E6" w:rsidP="00BF6A9D"/>
    <w:p w:rsidR="00BF6A9D" w:rsidRDefault="003C71E6" w:rsidP="00BF6A9D"/>
    <w:p w:rsidR="00BF6A9D" w:rsidRDefault="003C71E6" w:rsidP="00BF6A9D"/>
    <w:p w:rsidR="00BF6A9D" w:rsidRPr="00D85864" w:rsidRDefault="003C71E6" w:rsidP="00BF6A9D">
      <w:pPr>
        <w:spacing w:line="276" w:lineRule="auto"/>
      </w:pPr>
    </w:p>
    <w:p w:rsidR="00BF6A9D" w:rsidRPr="00283966" w:rsidRDefault="003C71E6" w:rsidP="00BF6A9D">
      <w:pPr>
        <w:spacing w:line="276" w:lineRule="auto"/>
        <w:rPr>
          <w:sz w:val="20"/>
        </w:rPr>
      </w:pPr>
      <w:bookmarkStart w:id="1" w:name="_GoBack"/>
      <w:r>
        <w:rPr>
          <w:sz w:val="20"/>
        </w:rPr>
        <w:t xml:space="preserve">          WNP-I.4131.98</w:t>
      </w:r>
      <w:r w:rsidRPr="00283966">
        <w:rPr>
          <w:sz w:val="20"/>
        </w:rPr>
        <w:t>.2021</w:t>
      </w:r>
      <w:r>
        <w:rPr>
          <w:sz w:val="20"/>
        </w:rPr>
        <w:t>.KS</w:t>
      </w:r>
    </w:p>
    <w:bookmarkEnd w:id="1"/>
    <w:p w:rsidR="00BF6A9D" w:rsidRPr="00A433E2" w:rsidRDefault="003C71E6" w:rsidP="00BF6A9D">
      <w:pPr>
        <w:spacing w:line="276" w:lineRule="auto"/>
        <w:rPr>
          <w:sz w:val="20"/>
        </w:rPr>
      </w:pPr>
    </w:p>
    <w:p w:rsidR="00BF6A9D" w:rsidRPr="00A433E2" w:rsidRDefault="003C71E6" w:rsidP="00BF6A9D">
      <w:pPr>
        <w:tabs>
          <w:tab w:val="left" w:pos="4095"/>
        </w:tabs>
        <w:spacing w:line="276" w:lineRule="auto"/>
        <w:rPr>
          <w:sz w:val="20"/>
        </w:rPr>
      </w:pPr>
    </w:p>
    <w:p w:rsidR="00BF6A9D" w:rsidRPr="00D114FC" w:rsidRDefault="003C71E6" w:rsidP="00BF6A9D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Rada Miejska Góry Kalwarii</w:t>
      </w:r>
    </w:p>
    <w:p w:rsidR="00BF6A9D" w:rsidRDefault="003C71E6" w:rsidP="00BF6A9D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Rynek im. Biskupa </w:t>
      </w:r>
    </w:p>
    <w:p w:rsidR="00BF6A9D" w:rsidRPr="00D114FC" w:rsidRDefault="003C71E6" w:rsidP="00BF6A9D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Stefana</w:t>
      </w:r>
      <w:r>
        <w:rPr>
          <w:b/>
          <w:sz w:val="28"/>
          <w:lang w:eastAsia="ar-SA"/>
        </w:rPr>
        <w:t xml:space="preserve"> Wierzbowskiego 1</w:t>
      </w:r>
    </w:p>
    <w:p w:rsidR="00BF6A9D" w:rsidRPr="00D114FC" w:rsidRDefault="003C71E6" w:rsidP="00BF6A9D">
      <w:pPr>
        <w:spacing w:line="276" w:lineRule="auto"/>
        <w:ind w:left="4678"/>
        <w:jc w:val="both"/>
      </w:pPr>
      <w:r>
        <w:rPr>
          <w:b/>
          <w:sz w:val="28"/>
          <w:lang w:eastAsia="ar-SA"/>
        </w:rPr>
        <w:t>05-530 Góra Kalwaria</w:t>
      </w:r>
    </w:p>
    <w:p w:rsidR="00BF6A9D" w:rsidRDefault="003C71E6" w:rsidP="00BF6A9D">
      <w:pPr>
        <w:spacing w:line="276" w:lineRule="auto"/>
        <w:jc w:val="both"/>
        <w:rPr>
          <w:i/>
        </w:rPr>
      </w:pPr>
    </w:p>
    <w:p w:rsidR="00BF6A9D" w:rsidRDefault="003C71E6" w:rsidP="00BF6A9D">
      <w:pPr>
        <w:spacing w:line="276" w:lineRule="auto"/>
        <w:jc w:val="both"/>
        <w:rPr>
          <w:i/>
        </w:rPr>
      </w:pPr>
    </w:p>
    <w:p w:rsidR="00BF6A9D" w:rsidRPr="00283966" w:rsidRDefault="003C71E6" w:rsidP="00BF6A9D">
      <w:pPr>
        <w:spacing w:line="276" w:lineRule="auto"/>
        <w:jc w:val="both"/>
      </w:pPr>
    </w:p>
    <w:p w:rsidR="00BF6A9D" w:rsidRPr="00D114FC" w:rsidRDefault="003C71E6" w:rsidP="00BF6A9D">
      <w:pPr>
        <w:spacing w:line="360" w:lineRule="auto"/>
        <w:jc w:val="center"/>
        <w:rPr>
          <w:b/>
        </w:rPr>
      </w:pPr>
      <w:r w:rsidRPr="00D114FC">
        <w:rPr>
          <w:b/>
        </w:rPr>
        <w:t>Rozstrzygnięcie nadzorcze</w:t>
      </w:r>
    </w:p>
    <w:p w:rsidR="00BF6A9D" w:rsidRPr="00D114FC" w:rsidRDefault="003C71E6" w:rsidP="00BF6A9D">
      <w:pPr>
        <w:spacing w:line="360" w:lineRule="auto"/>
        <w:jc w:val="both"/>
      </w:pPr>
      <w:r w:rsidRPr="00D114FC">
        <w:t xml:space="preserve">Działając na podstawie art. 91 ust. 1, w związku z art. 86 ustawy z dnia 8 marca 1990 r. </w:t>
      </w:r>
      <w:r>
        <w:br/>
      </w:r>
      <w:r>
        <w:t xml:space="preserve">o samorządzie gminnym (Dz. U. z 2020 </w:t>
      </w:r>
      <w:r w:rsidRPr="00D114FC">
        <w:t xml:space="preserve">r. poz. 713, z </w:t>
      </w:r>
      <w:proofErr w:type="spellStart"/>
      <w:r w:rsidRPr="00D114FC">
        <w:t>późn</w:t>
      </w:r>
      <w:proofErr w:type="spellEnd"/>
      <w:r w:rsidRPr="00D114FC">
        <w:t>. zm.)</w:t>
      </w:r>
    </w:p>
    <w:p w:rsidR="00BF6A9D" w:rsidRPr="00D114FC" w:rsidRDefault="003C71E6" w:rsidP="00BF6A9D">
      <w:pPr>
        <w:spacing w:line="360" w:lineRule="auto"/>
        <w:jc w:val="center"/>
        <w:rPr>
          <w:b/>
        </w:rPr>
      </w:pPr>
      <w:r w:rsidRPr="00D114FC">
        <w:rPr>
          <w:b/>
        </w:rPr>
        <w:t>stwierdzam nieważność</w:t>
      </w:r>
    </w:p>
    <w:p w:rsidR="00BF6A9D" w:rsidRDefault="003C71E6" w:rsidP="00BF6A9D">
      <w:pPr>
        <w:spacing w:line="360" w:lineRule="auto"/>
        <w:jc w:val="both"/>
        <w:rPr>
          <w:i/>
        </w:rPr>
      </w:pPr>
      <w:r>
        <w:t xml:space="preserve">uchwały Rady Miejskiej Góry Kalwarii Nr L/422/2021 z dnia 28 kwietnia 2021 r. </w:t>
      </w:r>
      <w:r w:rsidRPr="00D114FC">
        <w:rPr>
          <w:i/>
        </w:rPr>
        <w:t>w sprawie</w:t>
      </w:r>
      <w:r>
        <w:rPr>
          <w:i/>
        </w:rPr>
        <w:t xml:space="preserve"> </w:t>
      </w:r>
      <w:r>
        <w:rPr>
          <w:i/>
        </w:rPr>
        <w:t xml:space="preserve">regulaminu Targowiska </w:t>
      </w:r>
      <w:r>
        <w:rPr>
          <w:i/>
        </w:rPr>
        <w:t xml:space="preserve">Miejskiego w Górze Kalwarii </w:t>
      </w:r>
      <w:r>
        <w:rPr>
          <w:b/>
        </w:rPr>
        <w:t>w zakresie § 11 Załą</w:t>
      </w:r>
      <w:r w:rsidRPr="00E84C5E">
        <w:rPr>
          <w:b/>
        </w:rPr>
        <w:t xml:space="preserve">cznika </w:t>
      </w:r>
      <w:r>
        <w:rPr>
          <w:b/>
        </w:rPr>
        <w:br/>
      </w:r>
      <w:r w:rsidRPr="00E84C5E">
        <w:rPr>
          <w:b/>
        </w:rPr>
        <w:t>do uchwały</w:t>
      </w:r>
      <w:r w:rsidRPr="0070146D">
        <w:t>.</w:t>
      </w:r>
    </w:p>
    <w:p w:rsidR="00BF6A9D" w:rsidRDefault="003C71E6" w:rsidP="00BF6A9D">
      <w:pPr>
        <w:spacing w:line="360" w:lineRule="auto"/>
        <w:jc w:val="center"/>
        <w:rPr>
          <w:b/>
        </w:rPr>
      </w:pPr>
      <w:r w:rsidRPr="00BF6A9D">
        <w:rPr>
          <w:b/>
        </w:rPr>
        <w:t>Uzasadnienie</w:t>
      </w:r>
    </w:p>
    <w:p w:rsidR="002F3AE6" w:rsidRDefault="003C71E6" w:rsidP="00630C83">
      <w:pPr>
        <w:suppressAutoHyphens/>
        <w:spacing w:line="360" w:lineRule="auto"/>
        <w:ind w:firstLine="708"/>
        <w:jc w:val="both"/>
        <w:rPr>
          <w:rFonts w:eastAsia="Calibri"/>
          <w:bCs/>
          <w:i/>
          <w:iCs/>
          <w:lang w:eastAsia="en-US"/>
        </w:rPr>
      </w:pPr>
      <w:r w:rsidRPr="002F3AE6">
        <w:rPr>
          <w:bCs/>
          <w:lang w:eastAsia="ar-SA"/>
        </w:rPr>
        <w:t xml:space="preserve">Na sesji, która </w:t>
      </w:r>
      <w:r>
        <w:rPr>
          <w:bCs/>
          <w:lang w:eastAsia="ar-SA"/>
        </w:rPr>
        <w:t xml:space="preserve">odbyła się w dniu 28 kwietnia 2021 </w:t>
      </w:r>
      <w:r w:rsidRPr="002F3AE6">
        <w:rPr>
          <w:bCs/>
          <w:lang w:eastAsia="ar-SA"/>
        </w:rPr>
        <w:t>r. Rada Miejsk</w:t>
      </w:r>
      <w:r w:rsidRPr="002F3AE6">
        <w:rPr>
          <w:bCs/>
          <w:lang w:eastAsia="ar-SA"/>
        </w:rPr>
        <w:t xml:space="preserve">a Góry Kalwarii </w:t>
      </w:r>
      <w:r>
        <w:rPr>
          <w:bCs/>
          <w:lang w:eastAsia="ar-SA"/>
        </w:rPr>
        <w:t>podjęła uchwałę Nr L/422/2021</w:t>
      </w:r>
      <w:r w:rsidRPr="002F3AE6">
        <w:rPr>
          <w:bCs/>
          <w:i/>
          <w:iCs/>
          <w:lang w:eastAsia="ar-SA"/>
        </w:rPr>
        <w:t xml:space="preserve"> w</w:t>
      </w:r>
      <w:r w:rsidRPr="002F3AE6">
        <w:rPr>
          <w:bCs/>
          <w:lang w:eastAsia="ar-SA"/>
        </w:rPr>
        <w:t xml:space="preserve"> </w:t>
      </w:r>
      <w:r w:rsidRPr="002F3AE6">
        <w:rPr>
          <w:bCs/>
          <w:i/>
          <w:iCs/>
          <w:lang w:eastAsia="ar-SA"/>
        </w:rPr>
        <w:t xml:space="preserve">sprawie </w:t>
      </w:r>
      <w:r w:rsidRPr="002F3AE6">
        <w:rPr>
          <w:rFonts w:eastAsia="Calibri"/>
          <w:bCs/>
          <w:i/>
          <w:iCs/>
          <w:lang w:eastAsia="en-US"/>
        </w:rPr>
        <w:t xml:space="preserve">regulaminu </w:t>
      </w:r>
      <w:r>
        <w:rPr>
          <w:rFonts w:eastAsia="Calibri"/>
          <w:bCs/>
          <w:i/>
          <w:iCs/>
          <w:lang w:eastAsia="en-US"/>
        </w:rPr>
        <w:t>Targowiska Miejskiego w Górze Kalwarii.</w:t>
      </w:r>
    </w:p>
    <w:p w:rsidR="002F3AE6" w:rsidRPr="002F3AE6" w:rsidRDefault="003C71E6" w:rsidP="00630C83">
      <w:pPr>
        <w:suppressAutoHyphens/>
        <w:spacing w:line="360" w:lineRule="auto"/>
        <w:ind w:firstLine="708"/>
        <w:jc w:val="both"/>
        <w:rPr>
          <w:b/>
          <w:lang w:eastAsia="ar-SA"/>
        </w:rPr>
      </w:pPr>
      <w:r>
        <w:rPr>
          <w:rFonts w:eastAsia="Calibri"/>
          <w:bCs/>
          <w:iCs/>
          <w:lang w:eastAsia="en-US"/>
        </w:rPr>
        <w:t xml:space="preserve">Uchwała </w:t>
      </w:r>
      <w:r>
        <w:rPr>
          <w:rFonts w:eastAsia="Calibri"/>
          <w:bCs/>
          <w:iCs/>
          <w:lang w:eastAsia="en-US"/>
        </w:rPr>
        <w:t>została doręczona</w:t>
      </w:r>
      <w:r>
        <w:rPr>
          <w:rFonts w:eastAsia="Calibri"/>
          <w:bCs/>
          <w:iCs/>
          <w:lang w:eastAsia="en-US"/>
        </w:rPr>
        <w:t xml:space="preserve"> </w:t>
      </w:r>
      <w:r>
        <w:rPr>
          <w:rFonts w:eastAsia="Calibri"/>
          <w:bCs/>
          <w:iCs/>
          <w:lang w:eastAsia="en-US"/>
        </w:rPr>
        <w:t xml:space="preserve">organowi nadzoru </w:t>
      </w:r>
      <w:r>
        <w:rPr>
          <w:rFonts w:eastAsia="Calibri"/>
          <w:bCs/>
          <w:iCs/>
          <w:lang w:eastAsia="en-US"/>
        </w:rPr>
        <w:t xml:space="preserve">w dniu 11 maja 2021 r. </w:t>
      </w:r>
    </w:p>
    <w:p w:rsidR="002F3AE6" w:rsidRDefault="003C71E6" w:rsidP="00630C83">
      <w:pPr>
        <w:spacing w:line="360" w:lineRule="auto"/>
        <w:ind w:firstLine="708"/>
        <w:jc w:val="both"/>
      </w:pPr>
      <w:r w:rsidRPr="002F3AE6">
        <w:rPr>
          <w:rFonts w:eastAsia="MS Mincho"/>
        </w:rPr>
        <w:t xml:space="preserve">Podstawę prawną skarżonej uchwały stanowi </w:t>
      </w:r>
      <w:r>
        <w:rPr>
          <w:rFonts w:eastAsia="MS Mincho"/>
        </w:rPr>
        <w:t>art. 7 ust. 1 pkt 11 oraz art. 40</w:t>
      </w:r>
      <w:r w:rsidRPr="002F3AE6">
        <w:rPr>
          <w:rFonts w:eastAsia="MS Mincho"/>
        </w:rPr>
        <w:t xml:space="preserve"> </w:t>
      </w:r>
      <w:r>
        <w:rPr>
          <w:rFonts w:eastAsia="MS Mincho"/>
        </w:rPr>
        <w:t xml:space="preserve">ust. 2 pkt 4 ustawy z dnia </w:t>
      </w:r>
      <w:r w:rsidRPr="00D114FC">
        <w:t xml:space="preserve">8 marca 1990 r. </w:t>
      </w:r>
      <w:r>
        <w:t xml:space="preserve">o samorządzie gminnym (Dz. U. z 2020 </w:t>
      </w:r>
      <w:r w:rsidRPr="00D114FC">
        <w:t xml:space="preserve">r. poz. 713, z </w:t>
      </w:r>
      <w:proofErr w:type="spellStart"/>
      <w:r w:rsidRPr="00D114FC">
        <w:t>późn</w:t>
      </w:r>
      <w:proofErr w:type="spellEnd"/>
      <w:r w:rsidRPr="00D114FC">
        <w:t>. zm.)</w:t>
      </w:r>
      <w:r>
        <w:t>, zwanej dalej ,,</w:t>
      </w:r>
      <w:proofErr w:type="spellStart"/>
      <w:r>
        <w:t>u.s.g</w:t>
      </w:r>
      <w:proofErr w:type="spellEnd"/>
      <w:r>
        <w:t>”.</w:t>
      </w:r>
    </w:p>
    <w:p w:rsidR="00DC0F1D" w:rsidRPr="005E7F72" w:rsidRDefault="003C71E6" w:rsidP="00630C83">
      <w:pPr>
        <w:spacing w:line="360" w:lineRule="auto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1D10C4">
        <w:t xml:space="preserve">Należy wskazać, że zgodnie z art. 7 ust. 1 pkt 11 </w:t>
      </w:r>
      <w:proofErr w:type="spellStart"/>
      <w:r w:rsidRPr="001D10C4">
        <w:t>u.s.g</w:t>
      </w:r>
      <w:proofErr w:type="spellEnd"/>
      <w:r w:rsidRPr="001D10C4">
        <w:t xml:space="preserve">. zaspokajanie zbiorowych potrzeb wspólnoty należy do zadań własnych </w:t>
      </w:r>
      <w:r w:rsidRPr="001D10C4">
        <w:t>gminy. W szczególności zadania własne obejmują sprawy targowisk i hal targowych.</w:t>
      </w:r>
      <w:r w:rsidRPr="001D10C4">
        <w:rPr>
          <w:rFonts w:ascii="Calibri" w:hAnsi="Calibri" w:cs="Calibri"/>
        </w:rPr>
        <w:t xml:space="preserve"> </w:t>
      </w:r>
      <w:r w:rsidRPr="001D10C4">
        <w:t xml:space="preserve">Natomiast </w:t>
      </w:r>
      <w:r>
        <w:t>z</w:t>
      </w:r>
      <w:r w:rsidRPr="00B767B5">
        <w:t>godnie z art. 40 us</w:t>
      </w:r>
      <w:r>
        <w:t xml:space="preserve">t. 1 </w:t>
      </w:r>
      <w:proofErr w:type="spellStart"/>
      <w:r>
        <w:t>u.s.g</w:t>
      </w:r>
      <w:proofErr w:type="spellEnd"/>
      <w:r>
        <w:t xml:space="preserve">. gminie na podstawie </w:t>
      </w:r>
      <w:r w:rsidRPr="00B767B5">
        <w:t>upoważnień ustawowych przysługuje prawo stanowienia aktów prawa miejscowego obowiązujących na obszarze gminy. Z k</w:t>
      </w:r>
      <w:r w:rsidRPr="00B767B5">
        <w:t xml:space="preserve">olei zgodnie z dyspozycją art. 40 ust. 2 pkt 4 </w:t>
      </w:r>
      <w:proofErr w:type="spellStart"/>
      <w:r w:rsidRPr="00B767B5">
        <w:t>u.s.g</w:t>
      </w:r>
      <w:proofErr w:type="spellEnd"/>
      <w:r w:rsidRPr="00B767B5">
        <w:t xml:space="preserve">. </w:t>
      </w:r>
      <w:r>
        <w:br/>
      </w:r>
      <w:r w:rsidRPr="00B767B5">
        <w:t xml:space="preserve">na podstawie ww. ustawy organy gminy mogą wydawać akty prawa miejscowego w zakresie zasad i trybu korzystania z gminnych obiektów i urządzeń użyteczności publicznej. </w:t>
      </w:r>
      <w:r>
        <w:lastRenderedPageBreak/>
        <w:t>Niewątpliwie targowisko</w:t>
      </w:r>
      <w:r w:rsidRPr="00B767B5">
        <w:t xml:space="preserve"> </w:t>
      </w:r>
      <w:r>
        <w:t>miejskie na</w:t>
      </w:r>
      <w:r>
        <w:t>leży</w:t>
      </w:r>
      <w:r w:rsidRPr="00B767B5">
        <w:t xml:space="preserve"> d</w:t>
      </w:r>
      <w:r>
        <w:t xml:space="preserve">o kategorii obiektów </w:t>
      </w:r>
      <w:r>
        <w:t xml:space="preserve">użyteczności publicznej, </w:t>
      </w:r>
      <w:r>
        <w:br/>
        <w:t xml:space="preserve">a Miasto i Gmina Góra Kalwaria organizując na swoim terenie targowisko dla mieszkańców, realizuje swe zadania z zakresu użyteczności publicznej. Następnie należy podkreślić, że </w:t>
      </w:r>
      <w:r w:rsidRPr="00B767B5">
        <w:rPr>
          <w:rFonts w:eastAsiaTheme="minorHAnsi"/>
          <w:lang w:eastAsia="en-US"/>
        </w:rPr>
        <w:t>użyte przez ustawodawcę po</w:t>
      </w:r>
      <w:r w:rsidRPr="00B767B5">
        <w:rPr>
          <w:rFonts w:eastAsiaTheme="minorHAnsi"/>
          <w:lang w:eastAsia="en-US"/>
        </w:rPr>
        <w:t xml:space="preserve">jęcie </w:t>
      </w:r>
      <w:r w:rsidRPr="00B767B5">
        <w:rPr>
          <w:rFonts w:eastAsiaTheme="minorHAnsi"/>
          <w:i/>
          <w:lang w:eastAsia="en-US"/>
        </w:rPr>
        <w:t>,,zasady i tryb korzystania”</w:t>
      </w:r>
      <w:r w:rsidRPr="00B767B5">
        <w:rPr>
          <w:rFonts w:eastAsiaTheme="minorHAnsi"/>
          <w:lang w:eastAsia="en-US"/>
        </w:rPr>
        <w:t xml:space="preserve"> zawiera w sobie kompetencję organu stanowiącego gminy do formułowania, w stosunku do obiektów i urządzeń użyteczności publicznej, norm i zasad postępowania. Jednakże należy wskazać, że stanowiąc na podstawie cytowanego pr</w:t>
      </w:r>
      <w:r w:rsidRPr="00B767B5">
        <w:rPr>
          <w:rFonts w:eastAsiaTheme="minorHAnsi"/>
          <w:lang w:eastAsia="en-US"/>
        </w:rPr>
        <w:t xml:space="preserve">zepisu akt prawa miejscowego, organ stanowiący gminy jest ograniczony obowiązującym porządkiem prawnym, którego nie może w sposób dowolny naruszać </w:t>
      </w:r>
      <w:r>
        <w:rPr>
          <w:rFonts w:eastAsiaTheme="minorHAnsi"/>
          <w:lang w:eastAsia="en-US"/>
        </w:rPr>
        <w:br/>
        <w:t>l</w:t>
      </w:r>
      <w:r w:rsidRPr="00B767B5">
        <w:rPr>
          <w:rFonts w:eastAsiaTheme="minorHAnsi"/>
          <w:lang w:eastAsia="en-US"/>
        </w:rPr>
        <w:t>ub modyfikować (wyrok Wojewódzkiego Sądu Administracyjnego w Gorzowie Wielkopolskim z dnia 23 listopada 201</w:t>
      </w:r>
      <w:r w:rsidRPr="00B767B5">
        <w:rPr>
          <w:rFonts w:eastAsiaTheme="minorHAnsi"/>
          <w:lang w:eastAsia="en-US"/>
        </w:rPr>
        <w:t xml:space="preserve">7 r. sygn. akt </w:t>
      </w:r>
      <w:hyperlink r:id="rId5" w:history="1">
        <w:r w:rsidRPr="00B767B5">
          <w:rPr>
            <w:rFonts w:eastAsiaTheme="minorHAnsi"/>
            <w:lang w:eastAsia="en-US"/>
          </w:rPr>
          <w:t>II SA/Go 932/17</w:t>
        </w:r>
      </w:hyperlink>
      <w:r w:rsidRPr="00B767B5">
        <w:rPr>
          <w:rFonts w:eastAsiaTheme="minorHAnsi"/>
          <w:lang w:eastAsia="en-US"/>
        </w:rPr>
        <w:t xml:space="preserve">). Nadto Wojewódzki Sąd Administracyjny w Gorzowie Wielkopolskim w wyroku z dnia 28 marca 2018 r. sygn. akt </w:t>
      </w:r>
      <w:r>
        <w:rPr>
          <w:rFonts w:eastAsiaTheme="minorHAnsi"/>
          <w:lang w:eastAsia="en-US"/>
        </w:rPr>
        <w:br/>
      </w:r>
      <w:hyperlink r:id="rId6" w:history="1">
        <w:r w:rsidRPr="00B767B5">
          <w:rPr>
            <w:rFonts w:eastAsiaTheme="minorHAnsi"/>
            <w:lang w:eastAsia="en-US"/>
          </w:rPr>
          <w:t>II SA/Go 97/18</w:t>
        </w:r>
      </w:hyperlink>
      <w:r w:rsidRPr="00B767B5">
        <w:rPr>
          <w:rFonts w:eastAsiaTheme="minorHAnsi"/>
          <w:lang w:eastAsia="en-US"/>
        </w:rPr>
        <w:t xml:space="preserve"> wskazał dodatkowo, że: ,,</w:t>
      </w:r>
      <w:r w:rsidRPr="00B767B5">
        <w:rPr>
          <w:rFonts w:eastAsiaTheme="minorHAnsi"/>
          <w:b/>
          <w:i/>
          <w:lang w:eastAsia="en-US"/>
        </w:rPr>
        <w:t xml:space="preserve">Regulaminy wydawane na podstawie </w:t>
      </w:r>
      <w:hyperlink r:id="rId7" w:history="1">
        <w:r w:rsidRPr="00B767B5">
          <w:rPr>
            <w:rFonts w:eastAsiaTheme="minorHAnsi"/>
            <w:b/>
            <w:i/>
            <w:lang w:eastAsia="en-US"/>
          </w:rPr>
          <w:t>art. 40 u</w:t>
        </w:r>
        <w:r w:rsidRPr="00B767B5">
          <w:rPr>
            <w:rFonts w:eastAsiaTheme="minorHAnsi"/>
            <w:b/>
            <w:i/>
            <w:lang w:eastAsia="en-US"/>
          </w:rPr>
          <w:t>st. 2 pkt 4</w:t>
        </w:r>
      </w:hyperlink>
      <w:r w:rsidRPr="00B767B5">
        <w:rPr>
          <w:rFonts w:eastAsiaTheme="minorHAnsi"/>
          <w:b/>
          <w:i/>
          <w:lang w:eastAsia="en-US"/>
        </w:rPr>
        <w:t xml:space="preserve"> </w:t>
      </w:r>
      <w:proofErr w:type="spellStart"/>
      <w:r w:rsidRPr="00B767B5">
        <w:rPr>
          <w:rFonts w:eastAsiaTheme="minorHAnsi"/>
          <w:b/>
          <w:i/>
          <w:lang w:eastAsia="en-US"/>
        </w:rPr>
        <w:t>SamGminU</w:t>
      </w:r>
      <w:proofErr w:type="spellEnd"/>
      <w:r w:rsidRPr="00B767B5">
        <w:rPr>
          <w:rFonts w:eastAsiaTheme="minorHAnsi"/>
          <w:b/>
          <w:i/>
          <w:lang w:eastAsia="en-US"/>
        </w:rPr>
        <w:t xml:space="preserve"> nie mogą być utożsamiane z przepisami porządkowymi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 (wyrok NSA z dnia 6 października 2009 r., sygn. akt I OSK 252/09, Ł. Złakowski (w) R. Hauser, </w:t>
      </w:r>
      <w:r>
        <w:rPr>
          <w:rFonts w:eastAsiaTheme="minorHAnsi"/>
          <w:i/>
          <w:color w:val="000000"/>
          <w:shd w:val="clear" w:color="auto" w:fill="FFFFFF"/>
          <w:lang w:eastAsia="en-US"/>
        </w:rPr>
        <w:br/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Z. Niewiadomski (red), </w:t>
      </w:r>
      <w:proofErr w:type="spellStart"/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>u.s.g</w:t>
      </w:r>
      <w:proofErr w:type="spellEnd"/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>. Komentarz, C.H. Beck 2011, s. 438).</w:t>
      </w:r>
      <w:r w:rsidRPr="00B767B5">
        <w:rPr>
          <w:rFonts w:eastAsiaTheme="minorHAnsi"/>
          <w:i/>
          <w:lang w:eastAsia="en-US"/>
        </w:rPr>
        <w:t xml:space="preserve"> Użyte w </w:t>
      </w:r>
      <w:hyperlink r:id="rId8" w:history="1">
        <w:r w:rsidRPr="00B767B5">
          <w:rPr>
            <w:rFonts w:eastAsiaTheme="minorHAnsi"/>
            <w:i/>
            <w:lang w:eastAsia="en-US"/>
          </w:rPr>
          <w:t>art. 40 ust. 2 pkt 4</w:t>
        </w:r>
      </w:hyperlink>
      <w:r w:rsidRPr="00B767B5">
        <w:rPr>
          <w:rFonts w:eastAsiaTheme="minorHAnsi"/>
          <w:i/>
          <w:lang w:eastAsia="en-US"/>
        </w:rPr>
        <w:t xml:space="preserve"> </w:t>
      </w:r>
      <w:proofErr w:type="spellStart"/>
      <w:r w:rsidRPr="00B767B5">
        <w:rPr>
          <w:rFonts w:eastAsiaTheme="minorHAnsi"/>
          <w:i/>
          <w:lang w:eastAsia="en-US"/>
        </w:rPr>
        <w:t>SamGminU</w:t>
      </w:r>
      <w:proofErr w:type="spellEnd"/>
      <w:r w:rsidRPr="00B767B5">
        <w:rPr>
          <w:rFonts w:eastAsiaTheme="minorHAnsi"/>
          <w:i/>
          <w:lang w:eastAsia="en-US"/>
        </w:rPr>
        <w:t xml:space="preserve"> pojęcie ,,zasady i tryb korzystania” zawiera w sobie kompetencję organu stanowiącego gminy do formułowania w stosu</w:t>
      </w:r>
      <w:r w:rsidRPr="00B767B5">
        <w:rPr>
          <w:rFonts w:eastAsiaTheme="minorHAnsi"/>
          <w:i/>
          <w:lang w:eastAsia="en-US"/>
        </w:rPr>
        <w:t xml:space="preserve">nku do obiektów i urządzeń użyteczności publicznej norm i zasad prawidłowego postępowania, ustalania obowiązujących reguł zachowania się, określenia ustalonego porządku zachowania się. Oznacza to w konsekwencji uprawnienie rady gminy do wprowadzenia reguł </w:t>
      </w:r>
      <w:r w:rsidRPr="00B767B5">
        <w:rPr>
          <w:rFonts w:eastAsiaTheme="minorHAnsi"/>
          <w:i/>
          <w:lang w:eastAsia="en-US"/>
        </w:rPr>
        <w:t xml:space="preserve">dotyczących obowiązującego sposobu zachowania się podmiotów, które przebywają na terenach lub w obiektach o jakich mowa </w:t>
      </w:r>
      <w:r>
        <w:rPr>
          <w:rFonts w:eastAsiaTheme="minorHAnsi"/>
          <w:i/>
          <w:lang w:eastAsia="en-US"/>
        </w:rPr>
        <w:br/>
      </w:r>
      <w:r w:rsidRPr="00B767B5">
        <w:rPr>
          <w:rFonts w:eastAsiaTheme="minorHAnsi"/>
          <w:i/>
          <w:lang w:eastAsia="en-US"/>
        </w:rPr>
        <w:t xml:space="preserve">w </w:t>
      </w:r>
      <w:hyperlink r:id="rId9" w:history="1">
        <w:r w:rsidRPr="00B767B5">
          <w:rPr>
            <w:rFonts w:eastAsiaTheme="minorHAnsi"/>
            <w:i/>
            <w:lang w:eastAsia="en-US"/>
          </w:rPr>
          <w:t>art. 40 ust. 2 pkt 4</w:t>
        </w:r>
      </w:hyperlink>
      <w:r w:rsidRPr="00B767B5">
        <w:rPr>
          <w:rFonts w:eastAsiaTheme="minorHAnsi"/>
          <w:i/>
          <w:lang w:eastAsia="en-US"/>
        </w:rPr>
        <w:t xml:space="preserve"> </w:t>
      </w:r>
      <w:proofErr w:type="spellStart"/>
      <w:r w:rsidRPr="00B767B5">
        <w:rPr>
          <w:rFonts w:eastAsiaTheme="minorHAnsi"/>
          <w:i/>
          <w:lang w:eastAsia="en-US"/>
        </w:rPr>
        <w:t>SamGminU</w:t>
      </w:r>
      <w:proofErr w:type="spellEnd"/>
      <w:r w:rsidRPr="00B767B5">
        <w:rPr>
          <w:rFonts w:eastAsiaTheme="minorHAnsi"/>
          <w:i/>
          <w:lang w:eastAsia="en-US"/>
        </w:rPr>
        <w:t xml:space="preserve">. </w:t>
      </w:r>
      <w:r w:rsidRPr="00B767B5">
        <w:rPr>
          <w:rFonts w:eastAsiaTheme="minorHAnsi"/>
          <w:b/>
          <w:i/>
          <w:lang w:eastAsia="en-US"/>
        </w:rPr>
        <w:t xml:space="preserve">Normy prawa miejscowego muszą bowiem ściśle mieścić </w:t>
      </w:r>
      <w:r>
        <w:rPr>
          <w:rFonts w:eastAsiaTheme="minorHAnsi"/>
          <w:b/>
          <w:i/>
          <w:lang w:eastAsia="en-US"/>
        </w:rPr>
        <w:br/>
      </w:r>
      <w:r w:rsidRPr="00B767B5">
        <w:rPr>
          <w:rFonts w:eastAsiaTheme="minorHAnsi"/>
          <w:b/>
          <w:i/>
          <w:lang w:eastAsia="en-US"/>
        </w:rPr>
        <w:t xml:space="preserve">się w granicach ustawowej delegacji, która w tym przypadku nie upoważnia do odstępstw </w:t>
      </w:r>
      <w:r>
        <w:rPr>
          <w:rFonts w:eastAsiaTheme="minorHAnsi"/>
          <w:b/>
          <w:i/>
          <w:lang w:eastAsia="en-US"/>
        </w:rPr>
        <w:br/>
      </w:r>
      <w:r w:rsidRPr="00B767B5">
        <w:rPr>
          <w:rFonts w:eastAsiaTheme="minorHAnsi"/>
          <w:b/>
          <w:i/>
          <w:lang w:eastAsia="en-US"/>
        </w:rPr>
        <w:t>od przepisów ogólnie obowiązujących.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 Regulacje zawarte w akcie prawa miejscowego </w:t>
      </w:r>
      <w:r w:rsidRPr="00B767B5">
        <w:rPr>
          <w:rFonts w:eastAsiaTheme="minorHAnsi"/>
          <w:b/>
          <w:i/>
          <w:color w:val="000000"/>
          <w:shd w:val="clear" w:color="auto" w:fill="FFFFFF"/>
          <w:lang w:eastAsia="en-US"/>
        </w:rPr>
        <w:t>mają na celu jedynie uzup</w:t>
      </w:r>
      <w:r w:rsidRPr="00B767B5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ełnienie przepisów powszechnie obowiązujących rangi ustawowej, </w:t>
      </w:r>
      <w:r>
        <w:rPr>
          <w:rFonts w:eastAsiaTheme="minorHAnsi"/>
          <w:b/>
          <w:i/>
          <w:color w:val="000000"/>
          <w:shd w:val="clear" w:color="auto" w:fill="FFFFFF"/>
          <w:lang w:eastAsia="en-US"/>
        </w:rPr>
        <w:br/>
      </w:r>
      <w:r w:rsidRPr="00B767B5">
        <w:rPr>
          <w:rFonts w:eastAsiaTheme="minorHAnsi"/>
          <w:b/>
          <w:i/>
          <w:color w:val="000000"/>
          <w:shd w:val="clear" w:color="auto" w:fill="FFFFFF"/>
          <w:lang w:eastAsia="en-US"/>
        </w:rPr>
        <w:t>a zatem nie mogą ich zastępować, tak więc niedopuszczalne jest dokonywanie powtórzeń przepisów zawartych w aktach wyższej rangi i tym bardziej poddaniu ich jakiejkolwiek modyfikacji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 xml:space="preserve"> (por. wyro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>k</w:t>
      </w:r>
      <w:r>
        <w:rPr>
          <w:rFonts w:eastAsiaTheme="minorHAnsi"/>
          <w:i/>
          <w:color w:val="000000"/>
          <w:shd w:val="clear" w:color="auto" w:fill="FFFFFF"/>
          <w:lang w:eastAsia="en-US"/>
        </w:rPr>
        <w:t xml:space="preserve"> NSA </w:t>
      </w:r>
      <w:r w:rsidRPr="00B767B5">
        <w:rPr>
          <w:rFonts w:eastAsiaTheme="minorHAnsi"/>
          <w:i/>
          <w:color w:val="000000"/>
          <w:shd w:val="clear" w:color="auto" w:fill="FFFFFF"/>
          <w:lang w:eastAsia="en-US"/>
        </w:rPr>
        <w:t>z dnia 8 kwietnia 2008 r., II OSK 370/07)”</w:t>
      </w:r>
      <w:r w:rsidRPr="00B767B5">
        <w:rPr>
          <w:rFonts w:eastAsiaTheme="minorHAnsi"/>
          <w:color w:val="000000"/>
          <w:shd w:val="clear" w:color="auto" w:fill="FFFFFF"/>
          <w:lang w:eastAsia="en-US"/>
        </w:rPr>
        <w:t>.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Powyższą tezę powtórzył </w:t>
      </w:r>
      <w:r w:rsidRPr="005E7F72">
        <w:rPr>
          <w:shd w:val="clear" w:color="auto" w:fill="FFFFFF"/>
        </w:rPr>
        <w:t>Naczeln</w:t>
      </w:r>
      <w:r>
        <w:rPr>
          <w:shd w:val="clear" w:color="auto" w:fill="FFFFFF"/>
        </w:rPr>
        <w:t>y</w:t>
      </w:r>
      <w:r w:rsidRPr="005E7F72">
        <w:rPr>
          <w:shd w:val="clear" w:color="auto" w:fill="FFFFFF"/>
        </w:rPr>
        <w:t xml:space="preserve"> Sąd Administracyj</w:t>
      </w:r>
      <w:r>
        <w:rPr>
          <w:shd w:val="clear" w:color="auto" w:fill="FFFFFF"/>
        </w:rPr>
        <w:t>ny w</w:t>
      </w:r>
      <w:r w:rsidRPr="005E7F72">
        <w:rPr>
          <w:shd w:val="clear" w:color="auto" w:fill="FFFFFF"/>
        </w:rPr>
        <w:t xml:space="preserve"> wyroku </w:t>
      </w:r>
      <w:r>
        <w:rPr>
          <w:shd w:val="clear" w:color="auto" w:fill="FFFFFF"/>
        </w:rPr>
        <w:t xml:space="preserve">z dnia 25 czerwca 2015 r. sygn. akt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>II OSK 1333/15</w:t>
      </w:r>
      <w:r>
        <w:rPr>
          <w:shd w:val="clear" w:color="auto" w:fill="FFFFFF"/>
        </w:rPr>
        <w:t>, w którym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stwierdził, że</w:t>
      </w:r>
      <w:r>
        <w:rPr>
          <w:shd w:val="clear" w:color="auto" w:fill="FFFFFF"/>
        </w:rPr>
        <w:t xml:space="preserve">: </w:t>
      </w:r>
      <w:r w:rsidRPr="005E7F72">
        <w:rPr>
          <w:shd w:val="clear" w:color="auto" w:fill="FFFFFF"/>
        </w:rPr>
        <w:t>„</w:t>
      </w:r>
      <w:r w:rsidRPr="005E7F72">
        <w:rPr>
          <w:i/>
          <w:shd w:val="clear" w:color="auto" w:fill="FFFFFF"/>
        </w:rPr>
        <w:t xml:space="preserve">W utrwalonym orzecznictwie sądowo-administracyjnym uznaje się, że powtórzenie regulacji ustawowych bądź ich modyfikacja </w:t>
      </w:r>
      <w:r>
        <w:rPr>
          <w:i/>
          <w:shd w:val="clear" w:color="auto" w:fill="FFFFFF"/>
        </w:rPr>
        <w:br/>
      </w:r>
      <w:r w:rsidRPr="005E7F72">
        <w:rPr>
          <w:i/>
          <w:shd w:val="clear" w:color="auto" w:fill="FFFFFF"/>
        </w:rPr>
        <w:t>i uzupełnienie przez przepisy gminne jest niezgodne z zasadami legislacji. Uchwała rady gminy nie może regulować jeszcze raz tego, co j</w:t>
      </w:r>
      <w:r w:rsidRPr="005E7F72">
        <w:rPr>
          <w:i/>
          <w:shd w:val="clear" w:color="auto" w:fill="FFFFFF"/>
        </w:rPr>
        <w:t xml:space="preserve">est już zawarte w obowiązującej ustawie. Taka uchwała, jako istotnie naruszająca prawo, jest nieważna. Zawsze bowiem tego rodzaju </w:t>
      </w:r>
      <w:r w:rsidRPr="005E7F72">
        <w:rPr>
          <w:i/>
          <w:shd w:val="clear" w:color="auto" w:fill="FFFFFF"/>
        </w:rPr>
        <w:lastRenderedPageBreak/>
        <w:t>powtórzenie jest normatywnie zbędne, gdyż powtarzany przepis już obowiązuje, jak też jest dezinformujące. Trzeba bowiem liczyć</w:t>
      </w:r>
      <w:r w:rsidRPr="005E7F72">
        <w:rPr>
          <w:i/>
          <w:shd w:val="clear" w:color="auto" w:fill="FFFFFF"/>
        </w:rPr>
        <w:t xml:space="preserve"> się z tym, że powtórzony przepis będzie interpretowany w kontekście uchwały, w której go powtórzono, co może prowadzić do całkowitej lub częściowej zmiany intencji prawodawcy.”</w:t>
      </w:r>
    </w:p>
    <w:p w:rsidR="00B767B5" w:rsidRPr="00B767B5" w:rsidRDefault="003C71E6" w:rsidP="00630C83">
      <w:pPr>
        <w:spacing w:line="360" w:lineRule="auto"/>
        <w:ind w:firstLine="709"/>
        <w:jc w:val="both"/>
      </w:pPr>
      <w:r w:rsidRPr="00B767B5">
        <w:t>Przenosząc powyższe na kanwę niniejszej sprawy wskaz</w:t>
      </w:r>
      <w:r>
        <w:t>ać należy na poniżej wymie</w:t>
      </w:r>
      <w:r>
        <w:t>nioną regulację regulaminu, która wydana została</w:t>
      </w:r>
      <w:r w:rsidRPr="00B767B5">
        <w:t xml:space="preserve"> z istotnym naruszeniem prawa.</w:t>
      </w:r>
    </w:p>
    <w:p w:rsidR="00BF6A9D" w:rsidRPr="00D74736" w:rsidRDefault="003C71E6" w:rsidP="00630C83">
      <w:pPr>
        <w:suppressAutoHyphens/>
        <w:spacing w:line="360" w:lineRule="auto"/>
        <w:ind w:firstLine="709"/>
        <w:jc w:val="both"/>
        <w:rPr>
          <w:b/>
          <w:i/>
        </w:rPr>
      </w:pPr>
      <w:r>
        <w:t xml:space="preserve">W § 11 </w:t>
      </w:r>
      <w:r>
        <w:t>Załącznika do uchwały, zwanego dalej „</w:t>
      </w:r>
      <w:r>
        <w:t>regulamin</w:t>
      </w:r>
      <w:r>
        <w:t>em”,</w:t>
      </w:r>
      <w:r>
        <w:t xml:space="preserve"> Rada Miejska postanowiła, że:</w:t>
      </w:r>
      <w:r>
        <w:t xml:space="preserve"> </w:t>
      </w:r>
      <w:r w:rsidRPr="00D74736">
        <w:rPr>
          <w:b/>
          <w:i/>
        </w:rPr>
        <w:t>,, Na targowisku nie mogą być sprzedawane żywe zwierzęta z wyjątkiem ryb i drobiu”.</w:t>
      </w:r>
    </w:p>
    <w:p w:rsidR="000825DD" w:rsidRDefault="003C71E6" w:rsidP="00630C83">
      <w:pPr>
        <w:spacing w:line="336" w:lineRule="auto"/>
        <w:ind w:firstLine="708"/>
        <w:jc w:val="both"/>
      </w:pPr>
      <w:r>
        <w:t>Rada</w:t>
      </w:r>
      <w:r>
        <w:t xml:space="preserve"> Miejska wprowadziła w regulaminie zakaz</w:t>
      </w:r>
      <w:r w:rsidRPr="00A6060A">
        <w:t xml:space="preserve"> sprzedaży na terenie targowiska</w:t>
      </w:r>
      <w:r>
        <w:t xml:space="preserve"> miejskiego</w:t>
      </w:r>
      <w:r w:rsidRPr="00A6060A">
        <w:t xml:space="preserve"> ,,</w:t>
      </w:r>
      <w:r w:rsidRPr="00A6060A">
        <w:rPr>
          <w:i/>
        </w:rPr>
        <w:t>żywych zwierząt”</w:t>
      </w:r>
      <w:r>
        <w:t xml:space="preserve">. Chociaż ustawodawca nie wprowadził legalnej definicji ,,zwierzęcia”, ograniczając się tylko do określenia wobec jakich kategorii zwierząt stosuje </w:t>
      </w:r>
      <w:r>
        <w:br/>
      </w:r>
      <w:r>
        <w:t xml:space="preserve">się </w:t>
      </w:r>
      <w:r>
        <w:t>ustawę</w:t>
      </w:r>
      <w:r w:rsidRPr="0089549A">
        <w:t xml:space="preserve"> </w:t>
      </w:r>
      <w:r>
        <w:t xml:space="preserve">z dnia 21 sierpnia 1997 r. </w:t>
      </w:r>
      <w:r w:rsidRPr="005922F9">
        <w:t>o ochronie zwierząt</w:t>
      </w:r>
      <w:r>
        <w:t xml:space="preserve"> (Dz. U. z 2020 r. poz. 638</w:t>
      </w:r>
      <w:r w:rsidRPr="005922F9">
        <w:t>)</w:t>
      </w:r>
      <w:r>
        <w:t>, zwanej dalej ,,</w:t>
      </w:r>
      <w:proofErr w:type="spellStart"/>
      <w:r>
        <w:t>u.o.z</w:t>
      </w:r>
      <w:proofErr w:type="spellEnd"/>
      <w:r>
        <w:t xml:space="preserve">.”,  w oparciu o art. 1 ust. 1 </w:t>
      </w:r>
      <w:proofErr w:type="spellStart"/>
      <w:r>
        <w:t>u.o.z</w:t>
      </w:r>
      <w:proofErr w:type="spellEnd"/>
      <w:r>
        <w:t xml:space="preserve">. </w:t>
      </w:r>
      <w:r>
        <w:t xml:space="preserve">za </w:t>
      </w:r>
      <w:r>
        <w:t>zwierzę uznaje się istotę żyjącą, która posiada zdolność do odczuwania cierpienia oraz która nie jest rzeczą.</w:t>
      </w:r>
      <w:r>
        <w:t xml:space="preserve"> </w:t>
      </w:r>
      <w:r>
        <w:t>Do</w:t>
      </w:r>
      <w:r>
        <w:t xml:space="preserve"> zwierząt</w:t>
      </w:r>
      <w:r>
        <w:t xml:space="preserve"> </w:t>
      </w:r>
      <w:r>
        <w:t>zaliczane</w:t>
      </w:r>
      <w:r w:rsidRPr="005922F9">
        <w:t xml:space="preserve"> </w:t>
      </w:r>
      <w:r>
        <w:br/>
        <w:t xml:space="preserve">są </w:t>
      </w:r>
      <w:r w:rsidRPr="005922F9">
        <w:t>zarówno zwierzęta domowe,</w:t>
      </w:r>
      <w:r w:rsidRPr="005922F9">
        <w:rPr>
          <w:shd w:val="clear" w:color="auto" w:fill="FFFFFF"/>
        </w:rPr>
        <w:t xml:space="preserve"> </w:t>
      </w:r>
      <w:r>
        <w:rPr>
          <w:shd w:val="clear" w:color="auto" w:fill="FFFFFF"/>
        </w:rPr>
        <w:t>jak i zwierzęta gospodarskie</w:t>
      </w:r>
      <w:r>
        <w:rPr>
          <w:shd w:val="clear" w:color="auto" w:fill="FFFFFF"/>
        </w:rPr>
        <w:t xml:space="preserve"> oraz zwierzęta wolno żyjące</w:t>
      </w:r>
      <w:r>
        <w:rPr>
          <w:shd w:val="clear" w:color="auto" w:fill="FFFFFF"/>
        </w:rPr>
        <w:t>. Przez zwierz</w:t>
      </w:r>
      <w:r>
        <w:rPr>
          <w:shd w:val="clear" w:color="auto" w:fill="FFFFFF"/>
        </w:rPr>
        <w:t>ę</w:t>
      </w:r>
      <w:r>
        <w:rPr>
          <w:shd w:val="clear" w:color="auto" w:fill="FFFFFF"/>
        </w:rPr>
        <w:t xml:space="preserve"> domowe </w:t>
      </w:r>
      <w:r w:rsidRPr="005922F9">
        <w:rPr>
          <w:shd w:val="clear" w:color="auto" w:fill="FFFFFF"/>
        </w:rPr>
        <w:t>rozumie się</w:t>
      </w:r>
      <w:r w:rsidRPr="005922F9">
        <w:rPr>
          <w:b/>
          <w:shd w:val="clear" w:color="auto" w:fill="FFFFFF"/>
        </w:rPr>
        <w:t xml:space="preserve"> </w:t>
      </w:r>
      <w:r w:rsidRPr="005922F9">
        <w:rPr>
          <w:rStyle w:val="highlight-disabled"/>
          <w:shd w:val="clear" w:color="auto" w:fill="FFFFFF"/>
        </w:rPr>
        <w:t>zwierzęta</w:t>
      </w:r>
      <w:r w:rsidRPr="005922F9">
        <w:rPr>
          <w:shd w:val="clear" w:color="auto" w:fill="FFFFFF"/>
        </w:rPr>
        <w:t xml:space="preserve"> tradycyjnie przebywające wraz z człowiekiem w jego domu lub innym odpowiednim pomieszczeniu, utrzymywane </w:t>
      </w:r>
      <w:r w:rsidRPr="005922F9">
        <w:rPr>
          <w:shd w:val="clear" w:color="auto" w:fill="FFFFFF"/>
        </w:rPr>
        <w:t>przez człowieka w charakterze jego towarzysza</w:t>
      </w:r>
      <w:r>
        <w:rPr>
          <w:b/>
          <w:shd w:val="clear" w:color="auto" w:fill="FFFFFF"/>
        </w:rPr>
        <w:t xml:space="preserve"> (</w:t>
      </w:r>
      <w:r w:rsidRPr="005922F9">
        <w:t xml:space="preserve">art. 4 pkt 17 </w:t>
      </w:r>
      <w:proofErr w:type="spellStart"/>
      <w:r>
        <w:t>u.o.z</w:t>
      </w:r>
      <w:proofErr w:type="spellEnd"/>
      <w:r>
        <w:t>.),</w:t>
      </w:r>
      <w:r>
        <w:rPr>
          <w:b/>
        </w:rPr>
        <w:t xml:space="preserve"> </w:t>
      </w:r>
      <w:r w:rsidRPr="00CC5B6B">
        <w:t>zaś przez</w:t>
      </w:r>
      <w:r w:rsidRPr="005922F9">
        <w:t xml:space="preserve"> zwierzęta gospodarskie</w:t>
      </w:r>
      <w:r w:rsidRPr="00330BAF">
        <w:t xml:space="preserve"> </w:t>
      </w:r>
      <w:r w:rsidRPr="005922F9">
        <w:rPr>
          <w:shd w:val="clear" w:color="auto" w:fill="FFFFFF"/>
        </w:rPr>
        <w:t xml:space="preserve">rozumie się </w:t>
      </w:r>
      <w:r w:rsidRPr="005922F9">
        <w:rPr>
          <w:rStyle w:val="highlight-disabled"/>
          <w:shd w:val="clear" w:color="auto" w:fill="FFFFFF"/>
        </w:rPr>
        <w:t>zwierzęta</w:t>
      </w:r>
      <w:r w:rsidRPr="005922F9">
        <w:rPr>
          <w:shd w:val="clear" w:color="auto" w:fill="FFFFFF"/>
        </w:rPr>
        <w:t xml:space="preserve"> gospodarskie w rozumieniu przepisów</w:t>
      </w:r>
      <w:bookmarkStart w:id="2" w:name="highlightHit_46"/>
      <w:bookmarkEnd w:id="2"/>
      <w:r w:rsidRPr="005922F9">
        <w:rPr>
          <w:shd w:val="clear" w:color="auto" w:fill="FFFFFF"/>
        </w:rPr>
        <w:t xml:space="preserve"> </w:t>
      </w:r>
      <w:r w:rsidRPr="005922F9">
        <w:rPr>
          <w:rStyle w:val="highlight-disabled"/>
          <w:shd w:val="clear" w:color="auto" w:fill="FFFFFF"/>
        </w:rPr>
        <w:t>o</w:t>
      </w:r>
      <w:r w:rsidRPr="005922F9">
        <w:rPr>
          <w:shd w:val="clear" w:color="auto" w:fill="FFFFFF"/>
        </w:rPr>
        <w:t xml:space="preserve"> organizacji hodowli i rozrodzie</w:t>
      </w:r>
      <w:bookmarkStart w:id="3" w:name="highlightHit_47"/>
      <w:bookmarkEnd w:id="3"/>
      <w:r w:rsidRPr="005922F9">
        <w:rPr>
          <w:shd w:val="clear" w:color="auto" w:fill="FFFFFF"/>
        </w:rPr>
        <w:t xml:space="preserve"> </w:t>
      </w:r>
      <w:r w:rsidRPr="005922F9">
        <w:rPr>
          <w:rStyle w:val="highlight-disabled"/>
          <w:shd w:val="clear" w:color="auto" w:fill="FFFFFF"/>
        </w:rPr>
        <w:t>zwierząt</w:t>
      </w:r>
      <w:r w:rsidRPr="005922F9">
        <w:rPr>
          <w:shd w:val="clear" w:color="auto" w:fill="FFFFFF"/>
        </w:rPr>
        <w:t xml:space="preserve"> gospodarskich (</w:t>
      </w:r>
      <w:r w:rsidRPr="005922F9">
        <w:t xml:space="preserve">art. 4 pkt 18 </w:t>
      </w:r>
      <w:proofErr w:type="spellStart"/>
      <w:r>
        <w:t>u.o.z</w:t>
      </w:r>
      <w:proofErr w:type="spellEnd"/>
      <w:r>
        <w:t>.</w:t>
      </w:r>
      <w:r w:rsidRPr="005922F9">
        <w:t>)</w:t>
      </w:r>
      <w:r>
        <w:t xml:space="preserve">, a przez </w:t>
      </w:r>
      <w:r>
        <w:t>zwierzęta wolno żyjące (dzikie) rozumie się zwierzęta nieudomowione żyjące w warunkach niezależnych od człowieka</w:t>
      </w:r>
      <w:r w:rsidRPr="00C57AE3">
        <w:t>.</w:t>
      </w:r>
      <w:r>
        <w:rPr>
          <w:b/>
        </w:rPr>
        <w:t xml:space="preserve"> </w:t>
      </w:r>
      <w:r w:rsidRPr="001C1473">
        <w:t>Z kolei</w:t>
      </w:r>
      <w:r>
        <w:rPr>
          <w:b/>
        </w:rPr>
        <w:t xml:space="preserve"> </w:t>
      </w:r>
      <w:r>
        <w:t>u</w:t>
      </w:r>
      <w:r w:rsidRPr="001C1473">
        <w:t xml:space="preserve">stawa </w:t>
      </w:r>
      <w:r>
        <w:br/>
      </w:r>
      <w:r w:rsidRPr="001C1473">
        <w:t xml:space="preserve">z dnia 10 grudnia 2020 r. o organizacji hodowli i rozrodzie zwierząt gospodarskich </w:t>
      </w:r>
      <w:r>
        <w:br/>
      </w:r>
      <w:r w:rsidRPr="001C1473">
        <w:t>(Dz. U. z 2021 r. poz. 36) w art. 2 ust. 1</w:t>
      </w:r>
      <w:r w:rsidRPr="001C1473">
        <w:t xml:space="preserve"> zawiera katalog poszczególnych gatunków zaliczanych do grupy zwierząt gospodarskich</w:t>
      </w:r>
      <w:r>
        <w:t xml:space="preserve"> </w:t>
      </w:r>
      <w:r>
        <w:t>(</w:t>
      </w:r>
      <w:r>
        <w:t xml:space="preserve">przeznaczonych </w:t>
      </w:r>
      <w:r>
        <w:t>dla</w:t>
      </w:r>
      <w:r>
        <w:t xml:space="preserve"> ch</w:t>
      </w:r>
      <w:r>
        <w:t>owu</w:t>
      </w:r>
      <w:r>
        <w:t xml:space="preserve"> </w:t>
      </w:r>
      <w:r>
        <w:t>lub hodowli</w:t>
      </w:r>
      <w:r>
        <w:t>).</w:t>
      </w:r>
    </w:p>
    <w:p w:rsidR="00A6060A" w:rsidRPr="006351A9" w:rsidRDefault="003C71E6" w:rsidP="00630C83">
      <w:pPr>
        <w:spacing w:line="336" w:lineRule="auto"/>
        <w:ind w:firstLine="708"/>
        <w:jc w:val="both"/>
      </w:pPr>
      <w:r>
        <w:t>Po pierwsze, o</w:t>
      </w:r>
      <w:r w:rsidRPr="005B42FC">
        <w:t xml:space="preserve">rgan nadzoru wskazuje, że </w:t>
      </w:r>
      <w:r w:rsidRPr="001A2788">
        <w:rPr>
          <w:b/>
        </w:rPr>
        <w:t xml:space="preserve">kwestia </w:t>
      </w:r>
      <w:r w:rsidRPr="001A2788">
        <w:rPr>
          <w:b/>
        </w:rPr>
        <w:t>dotycząca zakazu sprzedaży</w:t>
      </w:r>
      <w:r w:rsidRPr="001A2788">
        <w:rPr>
          <w:b/>
        </w:rPr>
        <w:t xml:space="preserve"> zwierząt </w:t>
      </w:r>
      <w:r w:rsidRPr="001A2788">
        <w:rPr>
          <w:b/>
        </w:rPr>
        <w:t xml:space="preserve">domowych </w:t>
      </w:r>
      <w:r w:rsidRPr="001A2788">
        <w:rPr>
          <w:b/>
        </w:rPr>
        <w:t xml:space="preserve">została </w:t>
      </w:r>
      <w:r w:rsidRPr="001A2788">
        <w:rPr>
          <w:b/>
        </w:rPr>
        <w:t xml:space="preserve">uregulowana </w:t>
      </w:r>
      <w:r w:rsidRPr="001A2788">
        <w:rPr>
          <w:b/>
        </w:rPr>
        <w:t xml:space="preserve">w </w:t>
      </w:r>
      <w:r w:rsidRPr="001A2788">
        <w:rPr>
          <w:b/>
        </w:rPr>
        <w:t>ustawie o ochron</w:t>
      </w:r>
      <w:r w:rsidRPr="001A2788">
        <w:rPr>
          <w:b/>
        </w:rPr>
        <w:t>ie</w:t>
      </w:r>
      <w:r w:rsidRPr="001A2788">
        <w:rPr>
          <w:b/>
        </w:rPr>
        <w:t xml:space="preserve"> zwierząt</w:t>
      </w:r>
      <w:r>
        <w:t xml:space="preserve">. </w:t>
      </w:r>
      <w:r>
        <w:t xml:space="preserve">Zgodnie z art. 10a ust. 1 </w:t>
      </w:r>
      <w:r>
        <w:t>pkt 1 ww. ustawy z</w:t>
      </w:r>
      <w:r>
        <w:t xml:space="preserve">abrania się wprowadzania do obrotu zwierząt domowych </w:t>
      </w:r>
      <w:r>
        <w:br/>
      </w:r>
      <w:r>
        <w:t>na targowiskach, targach i giełdach.</w:t>
      </w:r>
      <w:r w:rsidRPr="006339C7">
        <w:rPr>
          <w:sz w:val="21"/>
          <w:szCs w:val="21"/>
        </w:rPr>
        <w:t xml:space="preserve"> </w:t>
      </w:r>
      <w:r>
        <w:t>Z powołanego</w:t>
      </w:r>
      <w:r w:rsidRPr="005E7F72">
        <w:t xml:space="preserve"> przepisu </w:t>
      </w:r>
      <w:r w:rsidRPr="005E7F72">
        <w:t xml:space="preserve">wynika </w:t>
      </w:r>
      <w:r w:rsidRPr="005E7F72">
        <w:t>ustawowy za</w:t>
      </w:r>
      <w:r w:rsidRPr="005E7F72">
        <w:t>k</w:t>
      </w:r>
      <w:r w:rsidRPr="005E7F72">
        <w:t xml:space="preserve">az sprzedaży zwierząt domowych </w:t>
      </w:r>
      <w:r w:rsidRPr="005E7F72">
        <w:t>na placach targowych.</w:t>
      </w:r>
      <w:r w:rsidRPr="0033001F">
        <w:rPr>
          <w:b/>
        </w:rPr>
        <w:t xml:space="preserve"> </w:t>
      </w:r>
    </w:p>
    <w:p w:rsidR="00D05AB2" w:rsidRPr="003A3753" w:rsidRDefault="003C71E6" w:rsidP="00630C83">
      <w:pPr>
        <w:spacing w:line="360" w:lineRule="auto"/>
        <w:ind w:firstLine="851"/>
        <w:jc w:val="both"/>
        <w:rPr>
          <w:rFonts w:eastAsiaTheme="minorHAnsi"/>
          <w:lang w:eastAsia="en-US"/>
        </w:rPr>
      </w:pPr>
      <w:r>
        <w:t>Po wtóre,</w:t>
      </w:r>
      <w:r w:rsidRPr="005E7F72">
        <w:t xml:space="preserve"> </w:t>
      </w:r>
      <w:r w:rsidRPr="001A2788">
        <w:rPr>
          <w:b/>
        </w:rPr>
        <w:t>m</w:t>
      </w:r>
      <w:r w:rsidRPr="001A2788">
        <w:rPr>
          <w:b/>
        </w:rPr>
        <w:t xml:space="preserve">ateria </w:t>
      </w:r>
      <w:r w:rsidRPr="001A2788">
        <w:rPr>
          <w:b/>
        </w:rPr>
        <w:t xml:space="preserve">dotycząca </w:t>
      </w:r>
      <w:r w:rsidRPr="001A2788">
        <w:rPr>
          <w:b/>
        </w:rPr>
        <w:t>obrotu</w:t>
      </w:r>
      <w:r w:rsidRPr="001A2788">
        <w:rPr>
          <w:b/>
        </w:rPr>
        <w:t xml:space="preserve"> zwierz</w:t>
      </w:r>
      <w:r w:rsidRPr="001A2788">
        <w:rPr>
          <w:b/>
        </w:rPr>
        <w:t>ętami gospodarskimi</w:t>
      </w:r>
      <w:r w:rsidRPr="001A2788">
        <w:rPr>
          <w:b/>
        </w:rPr>
        <w:t xml:space="preserve"> zawarta jest </w:t>
      </w:r>
      <w:r>
        <w:rPr>
          <w:b/>
        </w:rPr>
        <w:br/>
      </w:r>
      <w:r w:rsidRPr="001A2788">
        <w:rPr>
          <w:b/>
        </w:rPr>
        <w:t xml:space="preserve">w </w:t>
      </w:r>
      <w:r w:rsidRPr="001A2788">
        <w:rPr>
          <w:rFonts w:eastAsiaTheme="minorHAnsi"/>
          <w:b/>
          <w:lang w:eastAsia="en-US"/>
        </w:rPr>
        <w:t>ustawie z dnia</w:t>
      </w:r>
      <w:r>
        <w:rPr>
          <w:rFonts w:eastAsiaTheme="minorHAnsi"/>
          <w:b/>
          <w:lang w:eastAsia="en-US"/>
        </w:rPr>
        <w:t xml:space="preserve"> </w:t>
      </w:r>
      <w:r w:rsidRPr="001A2788">
        <w:rPr>
          <w:rFonts w:eastAsiaTheme="minorHAnsi"/>
          <w:b/>
          <w:lang w:eastAsia="en-US"/>
        </w:rPr>
        <w:t xml:space="preserve">11 marca 2004 r. o ochronie </w:t>
      </w:r>
      <w:r w:rsidRPr="001A2788">
        <w:rPr>
          <w:rFonts w:eastAsiaTheme="minorHAnsi"/>
          <w:b/>
          <w:lang w:eastAsia="en-US"/>
        </w:rPr>
        <w:t xml:space="preserve">zdrowia </w:t>
      </w:r>
      <w:r w:rsidRPr="001A2788">
        <w:rPr>
          <w:rFonts w:eastAsiaTheme="minorHAnsi"/>
          <w:b/>
          <w:lang w:eastAsia="en-US"/>
        </w:rPr>
        <w:t>zwierząt o</w:t>
      </w:r>
      <w:r w:rsidRPr="001A2788">
        <w:rPr>
          <w:rFonts w:eastAsiaTheme="minorHAnsi"/>
          <w:b/>
          <w:lang w:eastAsia="en-US"/>
        </w:rPr>
        <w:t xml:space="preserve">raz zwalczaniu chorób zakaźnych zwierząt </w:t>
      </w:r>
      <w:r w:rsidRPr="00CC1779">
        <w:rPr>
          <w:rFonts w:eastAsiaTheme="minorHAnsi"/>
          <w:lang w:eastAsia="en-US"/>
        </w:rPr>
        <w:t xml:space="preserve">(Dz. U. z </w:t>
      </w:r>
      <w:r w:rsidRPr="00CC1779">
        <w:rPr>
          <w:rFonts w:eastAsiaTheme="minorHAnsi"/>
          <w:lang w:eastAsia="en-US"/>
        </w:rPr>
        <w:t>2020 r. poz. 1421</w:t>
      </w:r>
      <w:r w:rsidRPr="00CC1779">
        <w:rPr>
          <w:rFonts w:eastAsiaTheme="minorHAnsi"/>
          <w:lang w:eastAsia="en-US"/>
        </w:rPr>
        <w:t>)</w:t>
      </w:r>
      <w:r w:rsidRPr="00D05AB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Ustawa ta </w:t>
      </w:r>
      <w:r>
        <w:rPr>
          <w:rFonts w:eastAsiaTheme="minorHAnsi"/>
          <w:lang w:eastAsia="en-US"/>
        </w:rPr>
        <w:t>reguluje w sposób</w:t>
      </w:r>
      <w:r w:rsidRPr="00C84EFC">
        <w:rPr>
          <w:shd w:val="clear" w:color="auto" w:fill="FFFFFF"/>
        </w:rPr>
        <w:t xml:space="preserve"> szczegółow</w:t>
      </w:r>
      <w:r>
        <w:rPr>
          <w:shd w:val="clear" w:color="auto" w:fill="FFFFFF"/>
        </w:rPr>
        <w:t>y</w:t>
      </w:r>
      <w:r w:rsidRPr="00C84EFC">
        <w:rPr>
          <w:shd w:val="clear" w:color="auto" w:fill="FFFFFF"/>
        </w:rPr>
        <w:t xml:space="preserve"> wymagania weterynaryjne odnoszące się do różnego typu działalności ludzkiej związanej </w:t>
      </w:r>
      <w:r>
        <w:rPr>
          <w:shd w:val="clear" w:color="auto" w:fill="FFFFFF"/>
        </w:rPr>
        <w:br/>
      </w:r>
      <w:r w:rsidRPr="00C84EFC">
        <w:rPr>
          <w:shd w:val="clear" w:color="auto" w:fill="FFFFFF"/>
        </w:rPr>
        <w:t>ze zwierzętami, w tym działalności o charakterze zarobkowym</w:t>
      </w:r>
      <w:r>
        <w:rPr>
          <w:shd w:val="clear" w:color="auto" w:fill="FFFFFF"/>
        </w:rPr>
        <w:t>. Celem ustawy jest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m.in. </w:t>
      </w:r>
      <w:r>
        <w:rPr>
          <w:shd w:val="clear" w:color="auto" w:fill="FFFFFF"/>
        </w:rPr>
        <w:lastRenderedPageBreak/>
        <w:t>zagwarantowani</w:t>
      </w:r>
      <w:r>
        <w:rPr>
          <w:shd w:val="clear" w:color="auto" w:fill="FFFFFF"/>
        </w:rPr>
        <w:t>e</w:t>
      </w:r>
      <w:r>
        <w:rPr>
          <w:shd w:val="clear" w:color="auto" w:fill="FFFFFF"/>
        </w:rPr>
        <w:t xml:space="preserve"> należytej opieki nad zwierzętami prowadzącej do utrzymania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właściwe</w:t>
      </w:r>
      <w:r>
        <w:rPr>
          <w:shd w:val="clear" w:color="auto" w:fill="FFFFFF"/>
        </w:rPr>
        <w:t xml:space="preserve">go stanu ich zdrowia, </w:t>
      </w:r>
      <w:r>
        <w:rPr>
          <w:shd w:val="clear" w:color="auto" w:fill="FFFFFF"/>
        </w:rPr>
        <w:t>zwalczania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chorób zakaźnych</w:t>
      </w:r>
      <w:r>
        <w:rPr>
          <w:shd w:val="clear" w:color="auto" w:fill="FFFFFF"/>
        </w:rPr>
        <w:t xml:space="preserve"> zwierząt</w:t>
      </w:r>
      <w:r>
        <w:rPr>
          <w:shd w:val="clear" w:color="auto" w:fill="FFFFFF"/>
        </w:rPr>
        <w:t>, a także</w:t>
      </w:r>
      <w:r>
        <w:rPr>
          <w:shd w:val="clear" w:color="auto" w:fill="FFFFFF"/>
        </w:rPr>
        <w:t xml:space="preserve"> ochron</w:t>
      </w:r>
      <w:r>
        <w:rPr>
          <w:shd w:val="clear" w:color="auto" w:fill="FFFFFF"/>
        </w:rPr>
        <w:t>a</w:t>
      </w:r>
      <w:r>
        <w:rPr>
          <w:shd w:val="clear" w:color="auto" w:fill="FFFFFF"/>
        </w:rPr>
        <w:t xml:space="preserve"> ludzi </w:t>
      </w:r>
      <w:r>
        <w:rPr>
          <w:shd w:val="clear" w:color="auto" w:fill="FFFFFF"/>
        </w:rPr>
        <w:t>przed spożywaniem produktów pochodzących od zwierząt zakażonych</w:t>
      </w:r>
      <w:r>
        <w:rPr>
          <w:shd w:val="clear" w:color="auto" w:fill="FFFFFF"/>
        </w:rPr>
        <w:t>, mogących spowodować bezpośrednie zagrożenie ich życia lub zdrowia.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Stąd też w</w:t>
      </w:r>
      <w:r w:rsidRPr="00C84EFC">
        <w:rPr>
          <w:rFonts w:eastAsiaTheme="minorHAnsi"/>
          <w:lang w:eastAsia="en-US"/>
        </w:rPr>
        <w:t xml:space="preserve"> art. 1 pkt 1 </w:t>
      </w:r>
      <w:r w:rsidRPr="00C84EFC">
        <w:rPr>
          <w:rFonts w:eastAsiaTheme="minorHAnsi"/>
          <w:lang w:eastAsia="en-US"/>
        </w:rPr>
        <w:t xml:space="preserve">ww. </w:t>
      </w:r>
      <w:r w:rsidRPr="00C84EFC">
        <w:rPr>
          <w:rFonts w:eastAsiaTheme="minorHAnsi"/>
          <w:lang w:eastAsia="en-US"/>
        </w:rPr>
        <w:t xml:space="preserve">ustawa </w:t>
      </w:r>
      <w:r w:rsidRPr="00C84EFC">
        <w:rPr>
          <w:rFonts w:eastAsiaTheme="minorHAnsi"/>
          <w:lang w:eastAsia="en-US"/>
        </w:rPr>
        <w:t>określa</w:t>
      </w:r>
      <w:r w:rsidRPr="00C84EFC">
        <w:rPr>
          <w:rFonts w:eastAsiaTheme="minorHAnsi"/>
          <w:lang w:eastAsia="en-US"/>
        </w:rPr>
        <w:t xml:space="preserve"> wymagania weterynaryjne dla podejmowania i prowadzenia działalności w zakresie, który szczegółowo wymienia i który nazywa ,,działalnością nadzorowaną”. Wśród wymienionych rodzajów działalności </w:t>
      </w:r>
      <w:r>
        <w:rPr>
          <w:rFonts w:eastAsiaTheme="minorHAnsi"/>
          <w:lang w:eastAsia="en-US"/>
        </w:rPr>
        <w:t xml:space="preserve">nadzorowanej </w:t>
      </w:r>
      <w:r>
        <w:rPr>
          <w:rFonts w:eastAsiaTheme="minorHAnsi"/>
          <w:lang w:eastAsia="en-US"/>
        </w:rPr>
        <w:t xml:space="preserve">ustawodawca </w:t>
      </w:r>
      <w:r>
        <w:rPr>
          <w:rFonts w:eastAsiaTheme="minorHAnsi"/>
          <w:lang w:eastAsia="en-US"/>
        </w:rPr>
        <w:t>wymienia</w:t>
      </w:r>
      <w:r w:rsidRPr="00C84EFC">
        <w:rPr>
          <w:rFonts w:eastAsiaTheme="minorHAnsi"/>
          <w:lang w:eastAsia="en-US"/>
        </w:rPr>
        <w:t xml:space="preserve"> m.in</w:t>
      </w:r>
      <w:r w:rsidRPr="00630C83">
        <w:rPr>
          <w:rFonts w:eastAsiaTheme="minorHAnsi"/>
          <w:lang w:eastAsia="en-US"/>
        </w:rPr>
        <w:t>. obr</w:t>
      </w:r>
      <w:r w:rsidRPr="00630C83">
        <w:rPr>
          <w:rFonts w:eastAsiaTheme="minorHAnsi"/>
          <w:lang w:eastAsia="en-US"/>
        </w:rPr>
        <w:t>ót</w:t>
      </w:r>
      <w:r w:rsidRPr="00630C83">
        <w:rPr>
          <w:rFonts w:eastAsiaTheme="minorHAnsi"/>
          <w:lang w:eastAsia="en-US"/>
        </w:rPr>
        <w:t xml:space="preserve"> zwierzętami</w:t>
      </w:r>
      <w:r w:rsidRPr="00C84EF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br/>
      </w:r>
      <w:r w:rsidRPr="00C84EFC">
        <w:rPr>
          <w:rFonts w:eastAsiaTheme="minorHAnsi"/>
          <w:lang w:eastAsia="en-US"/>
        </w:rPr>
        <w:t xml:space="preserve">z </w:t>
      </w:r>
      <w:r w:rsidRPr="00C84EFC">
        <w:rPr>
          <w:rFonts w:eastAsiaTheme="minorHAnsi"/>
          <w:lang w:eastAsia="en-US"/>
        </w:rPr>
        <w:t>wyjątkiem obrotu prowadzonego w ramach działalności rolniczej w rozumieniu przepisów prawa działalności gospodarczej</w:t>
      </w:r>
      <w:r w:rsidRPr="00637F00">
        <w:rPr>
          <w:rFonts w:eastAsiaTheme="minorHAnsi"/>
          <w:lang w:eastAsia="en-US"/>
        </w:rPr>
        <w:t>,</w:t>
      </w:r>
      <w:r w:rsidRPr="00C84EFC">
        <w:rPr>
          <w:rFonts w:eastAsiaTheme="minorHAnsi"/>
          <w:b/>
          <w:lang w:eastAsia="en-US"/>
        </w:rPr>
        <w:t xml:space="preserve"> </w:t>
      </w:r>
      <w:r w:rsidRPr="00C84EFC">
        <w:rPr>
          <w:rFonts w:eastAsiaTheme="minorHAnsi"/>
          <w:lang w:eastAsia="en-US"/>
        </w:rPr>
        <w:t>pośrednictwa w tym obrocie lub skupu zwierząt</w:t>
      </w:r>
      <w:r>
        <w:rPr>
          <w:rFonts w:eastAsiaTheme="minorHAnsi"/>
          <w:b/>
          <w:lang w:eastAsia="en-US"/>
        </w:rPr>
        <w:t xml:space="preserve"> </w:t>
      </w:r>
      <w:r w:rsidRPr="00C84EFC">
        <w:rPr>
          <w:rFonts w:eastAsiaTheme="minorHAnsi"/>
          <w:lang w:eastAsia="en-US"/>
        </w:rPr>
        <w:t>(art. 1 pkt 1 lit. c ww. ustawy)</w:t>
      </w:r>
      <w:r w:rsidRPr="00C84EFC">
        <w:rPr>
          <w:shd w:val="clear" w:color="auto" w:fill="FFFFFF"/>
        </w:rPr>
        <w:t xml:space="preserve">. </w:t>
      </w:r>
      <w:r w:rsidRPr="00C84EFC">
        <w:rPr>
          <w:rFonts w:eastAsiaTheme="minorHAnsi"/>
          <w:lang w:eastAsia="en-US"/>
        </w:rPr>
        <w:t>Przy czym zgodnie z art. 4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ust. 1 ww. ustawy </w:t>
      </w:r>
      <w:r w:rsidRPr="00C84EFC">
        <w:rPr>
          <w:rFonts w:eastAsiaTheme="minorHAnsi"/>
          <w:lang w:eastAsia="en-US"/>
        </w:rPr>
        <w:t>p</w:t>
      </w:r>
      <w:r w:rsidRPr="00C84EFC">
        <w:t xml:space="preserve">odmiot </w:t>
      </w:r>
      <w:r w:rsidRPr="00C84EFC">
        <w:t>prowadzący działalnoś</w:t>
      </w:r>
      <w:r>
        <w:t>ć</w:t>
      </w:r>
      <w:r w:rsidRPr="00C84EFC">
        <w:t xml:space="preserve"> </w:t>
      </w:r>
      <w:r w:rsidRPr="00C84EFC">
        <w:t>nadzorowan</w:t>
      </w:r>
      <w:r>
        <w:t>ą</w:t>
      </w:r>
      <w:r w:rsidRPr="00C84EFC">
        <w:t xml:space="preserve"> jest obowiązany spełniać wymagania weterynaryjne w zakresie zapewnienia wymagań lokalizacyjnych, zdrowotnych, higienicznych, sanitarnych, or</w:t>
      </w:r>
      <w:r>
        <w:t xml:space="preserve">ganizacyjnych, technicznych lub </w:t>
      </w:r>
      <w:r w:rsidRPr="00C84EFC">
        <w:t>technologicznych, zabezpieczających przed zagroże</w:t>
      </w:r>
      <w:r w:rsidRPr="00C84EFC">
        <w:t xml:space="preserve">niem epizootycznym, epidemicznym lub zapewniające właściwą jakość produktów, </w:t>
      </w:r>
      <w:r w:rsidRPr="00C84EFC">
        <w:t xml:space="preserve">obejmujące </w:t>
      </w:r>
      <w:r>
        <w:br/>
      </w:r>
      <w:r w:rsidRPr="00C84EFC">
        <w:t>w szczególności wymagania wymienione w art. 4 ust</w:t>
      </w:r>
      <w:r>
        <w:t>.</w:t>
      </w:r>
      <w:r>
        <w:t xml:space="preserve"> 2 ww. ustawy. </w:t>
      </w:r>
      <w:r>
        <w:rPr>
          <w:rFonts w:eastAsiaTheme="minorHAnsi"/>
          <w:lang w:eastAsia="en-US"/>
        </w:rPr>
        <w:t xml:space="preserve">Zgodnie </w:t>
      </w:r>
      <w:r w:rsidRPr="00783E81">
        <w:rPr>
          <w:rFonts w:eastAsiaTheme="minorHAnsi"/>
          <w:lang w:eastAsia="en-US"/>
        </w:rPr>
        <w:t xml:space="preserve">zaś </w:t>
      </w:r>
      <w:r w:rsidRPr="00783E81">
        <w:rPr>
          <w:rFonts w:eastAsiaTheme="minorHAnsi"/>
          <w:lang w:eastAsia="en-US"/>
        </w:rPr>
        <w:t xml:space="preserve">z art. 5 </w:t>
      </w:r>
      <w:r w:rsidRPr="00783E81">
        <w:rPr>
          <w:rFonts w:eastAsiaTheme="minorHAnsi"/>
          <w:lang w:eastAsia="en-US"/>
        </w:rPr>
        <w:t xml:space="preserve">ust. </w:t>
      </w:r>
      <w:r w:rsidRPr="00783E81">
        <w:rPr>
          <w:rFonts w:eastAsiaTheme="minorHAnsi"/>
          <w:lang w:eastAsia="en-US"/>
        </w:rPr>
        <w:t xml:space="preserve">1 pkt 1 ww. ustawy </w:t>
      </w:r>
      <w:r>
        <w:rPr>
          <w:rFonts w:eastAsiaTheme="minorHAnsi"/>
          <w:lang w:eastAsia="en-US"/>
        </w:rPr>
        <w:t xml:space="preserve">prowadzenie działalności nadzorowanej w zakresie </w:t>
      </w:r>
      <w:r w:rsidRPr="00783E81">
        <w:rPr>
          <w:rFonts w:eastAsiaTheme="minorHAnsi"/>
          <w:lang w:eastAsia="en-US"/>
        </w:rPr>
        <w:t>obr</w:t>
      </w:r>
      <w:r>
        <w:rPr>
          <w:rFonts w:eastAsiaTheme="minorHAnsi"/>
          <w:lang w:eastAsia="en-US"/>
        </w:rPr>
        <w:t>otu</w:t>
      </w:r>
      <w:r w:rsidRPr="00783E81">
        <w:rPr>
          <w:rFonts w:eastAsiaTheme="minorHAnsi"/>
          <w:lang w:eastAsia="en-US"/>
        </w:rPr>
        <w:t xml:space="preserve"> z</w:t>
      </w:r>
      <w:r w:rsidRPr="00783E81">
        <w:rPr>
          <w:rFonts w:eastAsiaTheme="minorHAnsi"/>
          <w:lang w:eastAsia="en-US"/>
        </w:rPr>
        <w:t xml:space="preserve">wierzętami </w:t>
      </w:r>
      <w:r w:rsidRPr="00783E81">
        <w:rPr>
          <w:shd w:val="clear" w:color="auto" w:fill="FFFFFF"/>
        </w:rPr>
        <w:t>wymaga decyzji powiatowego lekarza weterynarii, zezwalającej na jej podjęcie po stwierdzeniu spełniania wymagań weterynaryjnych określonych dla prowadzenia danego rodzaju działalności</w:t>
      </w:r>
      <w:r w:rsidRPr="00783E81">
        <w:rPr>
          <w:shd w:val="clear" w:color="auto" w:fill="FFFFFF"/>
        </w:rPr>
        <w:t xml:space="preserve">. </w:t>
      </w:r>
    </w:p>
    <w:p w:rsidR="000C01EC" w:rsidRDefault="003C71E6" w:rsidP="00CC1779">
      <w:pPr>
        <w:spacing w:line="36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Ponadto należy wskazać, że wymagania weterynaryjne dla działalności nadzorowanej w zakresie obrotu zwierzętami określają przepisy rozporządzenia </w:t>
      </w:r>
      <w:r w:rsidRPr="005922F9">
        <w:rPr>
          <w:shd w:val="clear" w:color="auto" w:fill="FFFFFF"/>
        </w:rPr>
        <w:t>Ministr</w:t>
      </w:r>
      <w:r>
        <w:rPr>
          <w:shd w:val="clear" w:color="auto" w:fill="FFFFFF"/>
        </w:rPr>
        <w:t>a</w:t>
      </w:r>
      <w:r w:rsidRPr="005922F9">
        <w:rPr>
          <w:shd w:val="clear" w:color="auto" w:fill="FFFFFF"/>
        </w:rPr>
        <w:t xml:space="preserve"> Rolnictwa </w:t>
      </w:r>
      <w:r>
        <w:rPr>
          <w:shd w:val="clear" w:color="auto" w:fill="FFFFFF"/>
        </w:rPr>
        <w:br/>
      </w:r>
      <w:r w:rsidRPr="005922F9">
        <w:rPr>
          <w:shd w:val="clear" w:color="auto" w:fill="FFFFFF"/>
        </w:rPr>
        <w:t xml:space="preserve">i Rozwoju Wsi </w:t>
      </w:r>
      <w:r>
        <w:rPr>
          <w:shd w:val="clear" w:color="auto" w:fill="FFFFFF"/>
        </w:rPr>
        <w:t>z</w:t>
      </w:r>
      <w:r>
        <w:rPr>
          <w:shd w:val="clear" w:color="auto" w:fill="FFFFFF"/>
        </w:rPr>
        <w:t xml:space="preserve"> dnia 25 czerwca </w:t>
      </w:r>
      <w:r w:rsidRPr="005922F9">
        <w:rPr>
          <w:shd w:val="clear" w:color="auto" w:fill="FFFFFF"/>
        </w:rPr>
        <w:t>2008 r. w zakresie szczegółowych wymagań weterynaryjnych dl</w:t>
      </w:r>
      <w:r w:rsidRPr="005922F9">
        <w:rPr>
          <w:shd w:val="clear" w:color="auto" w:fill="FFFFFF"/>
        </w:rPr>
        <w:t xml:space="preserve">a prowadzenia działalności w zakresie obrotu zwierzętami, pośrednictwa w tym obrocie </w:t>
      </w:r>
      <w:r>
        <w:rPr>
          <w:shd w:val="clear" w:color="auto" w:fill="FFFFFF"/>
        </w:rPr>
        <w:br/>
      </w:r>
      <w:r w:rsidRPr="005922F9">
        <w:rPr>
          <w:shd w:val="clear" w:color="auto" w:fill="FFFFFF"/>
        </w:rPr>
        <w:t>lub skupu zwierząt (Dz. U</w:t>
      </w:r>
      <w:r>
        <w:rPr>
          <w:shd w:val="clear" w:color="auto" w:fill="FFFFFF"/>
        </w:rPr>
        <w:t>.</w:t>
      </w:r>
      <w:r w:rsidRPr="005922F9">
        <w:rPr>
          <w:shd w:val="clear" w:color="auto" w:fill="FFFFFF"/>
        </w:rPr>
        <w:t xml:space="preserve"> z 2008 r. </w:t>
      </w:r>
      <w:r w:rsidRPr="005922F9">
        <w:rPr>
          <w:shd w:val="clear" w:color="auto" w:fill="FFFFFF"/>
        </w:rPr>
        <w:t>Nr 122, poz. 790</w:t>
      </w:r>
      <w:r>
        <w:rPr>
          <w:shd w:val="clear" w:color="auto" w:fill="FFFFFF"/>
        </w:rPr>
        <w:t xml:space="preserve">). </w:t>
      </w:r>
    </w:p>
    <w:p w:rsidR="00C22EA7" w:rsidRDefault="003C71E6" w:rsidP="00630C83">
      <w:pPr>
        <w:spacing w:line="360" w:lineRule="auto"/>
        <w:ind w:firstLine="851"/>
        <w:jc w:val="both"/>
        <w:rPr>
          <w:shd w:val="clear" w:color="auto" w:fill="FFFFFF"/>
        </w:rPr>
      </w:pPr>
      <w:r w:rsidRPr="00456576">
        <w:rPr>
          <w:shd w:val="clear" w:color="auto" w:fill="FFFFFF"/>
        </w:rPr>
        <w:t>Wobec tego zasadne jest stwierdzenie, że w regulaminie targowiska nie powinny być ujmowane</w:t>
      </w:r>
      <w:r>
        <w:rPr>
          <w:shd w:val="clear" w:color="auto" w:fill="FFFFFF"/>
        </w:rPr>
        <w:t xml:space="preserve"> zagadnienia dotyczące </w:t>
      </w:r>
      <w:r>
        <w:rPr>
          <w:shd w:val="clear" w:color="auto" w:fill="FFFFFF"/>
        </w:rPr>
        <w:t>obrotu</w:t>
      </w:r>
      <w:r w:rsidRPr="00456576">
        <w:rPr>
          <w:shd w:val="clear" w:color="auto" w:fill="FFFFFF"/>
        </w:rPr>
        <w:t xml:space="preserve"> zwierz</w:t>
      </w:r>
      <w:r>
        <w:rPr>
          <w:shd w:val="clear" w:color="auto" w:fill="FFFFFF"/>
        </w:rPr>
        <w:t>ę</w:t>
      </w:r>
      <w:r w:rsidRPr="00456576">
        <w:rPr>
          <w:shd w:val="clear" w:color="auto" w:fill="FFFFFF"/>
        </w:rPr>
        <w:t>t</w:t>
      </w:r>
      <w:r>
        <w:rPr>
          <w:shd w:val="clear" w:color="auto" w:fill="FFFFFF"/>
        </w:rPr>
        <w:t>ami.</w:t>
      </w:r>
    </w:p>
    <w:p w:rsidR="00456576" w:rsidRPr="00C22EA7" w:rsidRDefault="003C71E6" w:rsidP="00630C83">
      <w:pPr>
        <w:spacing w:line="360" w:lineRule="auto"/>
        <w:ind w:firstLine="851"/>
        <w:jc w:val="both"/>
        <w:rPr>
          <w:shd w:val="clear" w:color="auto" w:fill="FFFFFF"/>
        </w:rPr>
      </w:pPr>
      <w:r>
        <w:t>Następnie należy wskazać, że z</w:t>
      </w:r>
      <w:r w:rsidRPr="009E0702">
        <w:t>godnie z art. 20 Konstytucji społeczna gospodarka rynkowa, oparta jest m.in. na wolności działalności gospodarczej i stanowi podstawę ustroju gospodarczego RP. Oznacza to, że wolność gospodarcza jest uważan</w:t>
      </w:r>
      <w:r w:rsidRPr="009E0702">
        <w:t>a za warunek funkc</w:t>
      </w:r>
      <w:r>
        <w:t xml:space="preserve">jonowania gospodarki rynkowej, </w:t>
      </w:r>
      <w:r w:rsidRPr="009E0702">
        <w:t xml:space="preserve">a zatem ustawodawca, a tym bardziej </w:t>
      </w:r>
      <w:proofErr w:type="spellStart"/>
      <w:r w:rsidRPr="001A2788">
        <w:rPr>
          <w:b/>
        </w:rPr>
        <w:t>uchwałodawca</w:t>
      </w:r>
      <w:proofErr w:type="spellEnd"/>
      <w:r w:rsidRPr="001A2788">
        <w:rPr>
          <w:b/>
        </w:rPr>
        <w:t xml:space="preserve"> </w:t>
      </w:r>
      <w:r w:rsidRPr="001A2788">
        <w:rPr>
          <w:b/>
        </w:rPr>
        <w:br/>
        <w:t>nie może wolności działalności gospodarczej reglamentować w sposób dowolny</w:t>
      </w:r>
      <w:r w:rsidRPr="009E0702">
        <w:t xml:space="preserve">. Art. 22 Konstytucji stawia w tym względzie dwa warunki: w płaszczyźnie formalnej wymaga, </w:t>
      </w:r>
      <w:r>
        <w:br/>
      </w:r>
      <w:r w:rsidRPr="009E0702">
        <w:t xml:space="preserve">by ograniczenie było wprowadzone w drodze ustawy, w płaszczyźnie materialnej zaś - </w:t>
      </w:r>
      <w:r>
        <w:br/>
      </w:r>
      <w:r w:rsidRPr="009E0702">
        <w:t>by uzasadnione było „ważnym interesem publicznym”. Rozwój społeczny i gospodarcz</w:t>
      </w:r>
      <w:r w:rsidRPr="009E0702">
        <w:t xml:space="preserve">y </w:t>
      </w:r>
      <w:r w:rsidRPr="009E0702">
        <w:lastRenderedPageBreak/>
        <w:t xml:space="preserve">polega na nieustannych zmianach form handlu i produkcji, wobec czego bezzasadne </w:t>
      </w:r>
      <w:r>
        <w:br/>
      </w:r>
      <w:r w:rsidRPr="009E0702">
        <w:t xml:space="preserve">jest przekonanie, iż hamowanie metodami administracyjnymi zmian form handlu </w:t>
      </w:r>
      <w:r>
        <w:br/>
      </w:r>
      <w:r w:rsidRPr="009E0702">
        <w:t>czy korzystania z prawa wolności gospodarczej mogłoby być skuteczną metodą ochrony ważnego inter</w:t>
      </w:r>
      <w:r w:rsidRPr="009E0702">
        <w:t xml:space="preserve">esu publicznego, na co wielokrotnie wskazywał Trybunał Konstytucyjny. </w:t>
      </w:r>
      <w:r>
        <w:br/>
      </w:r>
      <w:r w:rsidRPr="009E0702">
        <w:t xml:space="preserve">A zatem tworzenie przepisów ograniczających swobodę działalności gospodarczej, za czym </w:t>
      </w:r>
      <w:r>
        <w:br/>
      </w:r>
      <w:r w:rsidRPr="009E0702">
        <w:t xml:space="preserve">nie przemawiałby ważny interes publiczny, </w:t>
      </w:r>
      <w:r w:rsidRPr="001228C8">
        <w:t xml:space="preserve">jest niezgodne z art. 20 </w:t>
      </w:r>
      <w:r w:rsidRPr="001228C8">
        <w:t xml:space="preserve">Konstytucji, który </w:t>
      </w:r>
      <w:r w:rsidRPr="001228C8">
        <w:rPr>
          <w:rFonts w:eastAsiaTheme="minorHAnsi"/>
          <w:lang w:eastAsia="en-US"/>
        </w:rPr>
        <w:t>stanowi, że</w:t>
      </w:r>
      <w:r w:rsidRPr="001228C8">
        <w:rPr>
          <w:rFonts w:eastAsiaTheme="minorHAnsi"/>
          <w:lang w:eastAsia="en-US"/>
        </w:rPr>
        <w:t xml:space="preserve"> społeczna gospodarka rynkowa oparta na wolności działalności gospodarczej, własności prywatnej oraz solidarności, dialogu i współpracy partnerów społecznych stanowi podstawę ustroju gospodarczego Rzeczypospolitej Polskiej oraz </w:t>
      </w:r>
      <w:r>
        <w:rPr>
          <w:rFonts w:eastAsiaTheme="minorHAnsi"/>
          <w:lang w:eastAsia="en-US"/>
        </w:rPr>
        <w:t>z</w:t>
      </w:r>
      <w:r>
        <w:rPr>
          <w:rFonts w:eastAsiaTheme="minorHAnsi"/>
          <w:lang w:eastAsia="en-US"/>
        </w:rPr>
        <w:t xml:space="preserve"> </w:t>
      </w:r>
      <w:hyperlink r:id="rId10" w:anchor="/document/16798613?unitId=art(22)&amp;cm=DOCUMENT" w:history="1">
        <w:r w:rsidRPr="001228C8">
          <w:rPr>
            <w:rFonts w:eastAsiaTheme="minorHAnsi"/>
            <w:lang w:eastAsia="en-US"/>
          </w:rPr>
          <w:t>art. 22</w:t>
        </w:r>
      </w:hyperlink>
      <w:r w:rsidRPr="001228C8">
        <w:rPr>
          <w:rFonts w:eastAsiaTheme="minorHAnsi"/>
          <w:lang w:eastAsia="en-US"/>
        </w:rPr>
        <w:t xml:space="preserve"> Konstytucji</w:t>
      </w:r>
      <w:r>
        <w:rPr>
          <w:rFonts w:eastAsiaTheme="minorHAnsi"/>
          <w:lang w:eastAsia="en-US"/>
        </w:rPr>
        <w:t xml:space="preserve">. </w:t>
      </w:r>
      <w:r w:rsidRPr="009E0702">
        <w:t xml:space="preserve">Istotny jest w tym miejscu także art. </w:t>
      </w:r>
      <w:r>
        <w:t xml:space="preserve">31 ust. 1 Konstytucji. Zgodnie </w:t>
      </w:r>
      <w:r w:rsidRPr="009E0702">
        <w:t xml:space="preserve">z przywołanym przepisem „Ograniczenia </w:t>
      </w:r>
      <w:r>
        <w:br/>
      </w:r>
      <w:r w:rsidRPr="009E0702">
        <w:t>w zakresie korzysta</w:t>
      </w:r>
      <w:r>
        <w:t xml:space="preserve">nia z konstytucyjnych wolności </w:t>
      </w:r>
      <w:r w:rsidRPr="009E0702">
        <w:t xml:space="preserve">i praw mogą być </w:t>
      </w:r>
      <w:r w:rsidRPr="009E0702">
        <w:t xml:space="preserve">ustanawiane tylko </w:t>
      </w:r>
      <w:r>
        <w:br/>
      </w:r>
      <w:r w:rsidRPr="009E0702">
        <w:t>w ustawie i tylko wtedy, gdy s</w:t>
      </w:r>
      <w:r>
        <w:t xml:space="preserve">ą konieczne </w:t>
      </w:r>
      <w:r w:rsidRPr="009E0702">
        <w:t xml:space="preserve">w demokratycznym państwie dla jego bezpieczeństwa lub porządku publicznego bądź dla ochrony środowiska, zdrowia </w:t>
      </w:r>
      <w:r>
        <w:br/>
      </w:r>
      <w:r w:rsidRPr="009E0702">
        <w:t>i moralności publicznej albo wolności i praw innych osób. Ograniczenia te nie mogą</w:t>
      </w:r>
      <w:r w:rsidRPr="009E0702">
        <w:t xml:space="preserve"> naruszać istoty wolności i praw˝. Przepis ten (podobnie jak art. 22 Konstytucji RP) przewiduje zarówno warunek formalny (wyłączność ustawy jako źródła ograniczenia) jak i materialny. </w:t>
      </w:r>
    </w:p>
    <w:p w:rsidR="00456576" w:rsidRPr="00EF6A2C" w:rsidRDefault="003C71E6" w:rsidP="00630C83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9E0702">
        <w:t xml:space="preserve">Uzupełnieniem wskazanych przepisów jest ustawa </w:t>
      </w:r>
      <w:r w:rsidRPr="009E0702">
        <w:rPr>
          <w:rFonts w:eastAsiaTheme="minorHAnsi"/>
          <w:color w:val="000000"/>
          <w:lang w:eastAsia="en-US"/>
        </w:rPr>
        <w:t xml:space="preserve">z dnia 6 marca 2018 r. </w:t>
      </w:r>
      <w:r w:rsidRPr="009E0702">
        <w:rPr>
          <w:rFonts w:eastAsiaTheme="minorHAnsi"/>
          <w:bCs/>
          <w:color w:val="000000"/>
          <w:lang w:eastAsia="en-US"/>
        </w:rPr>
        <w:t>P</w:t>
      </w:r>
      <w:r w:rsidRPr="009E0702">
        <w:rPr>
          <w:rFonts w:eastAsiaTheme="minorHAnsi"/>
          <w:bCs/>
          <w:color w:val="000000"/>
          <w:lang w:eastAsia="en-US"/>
        </w:rPr>
        <w:t>ra</w:t>
      </w:r>
      <w:r>
        <w:rPr>
          <w:rFonts w:eastAsiaTheme="minorHAnsi"/>
          <w:bCs/>
          <w:color w:val="000000"/>
          <w:lang w:eastAsia="en-US"/>
        </w:rPr>
        <w:t>wo przedsiębiorców (Dz.U. z 2021 r. poz. 162</w:t>
      </w:r>
      <w:r w:rsidRPr="009E0702">
        <w:rPr>
          <w:rFonts w:eastAsiaTheme="minorHAnsi"/>
          <w:bCs/>
          <w:color w:val="000000"/>
          <w:lang w:eastAsia="en-US"/>
        </w:rPr>
        <w:t xml:space="preserve">). Preambuła ww. ustawy stanowi, że </w:t>
      </w:r>
      <w:r w:rsidRPr="00CC1779">
        <w:rPr>
          <w:i/>
        </w:rPr>
        <w:t>„</w:t>
      </w:r>
      <w:r w:rsidRPr="00CC1779">
        <w:rPr>
          <w:rFonts w:eastAsiaTheme="minorHAnsi"/>
          <w:i/>
          <w:color w:val="000000"/>
          <w:lang w:eastAsia="en-US"/>
        </w:rPr>
        <w:t xml:space="preserve">kierując </w:t>
      </w:r>
      <w:r w:rsidRPr="00CC1779">
        <w:rPr>
          <w:rFonts w:eastAsiaTheme="minorHAnsi"/>
          <w:i/>
          <w:color w:val="000000"/>
          <w:lang w:eastAsia="en-US"/>
        </w:rPr>
        <w:br/>
      </w:r>
      <w:r w:rsidRPr="00CC1779">
        <w:rPr>
          <w:rFonts w:eastAsiaTheme="minorHAnsi"/>
          <w:i/>
          <w:color w:val="000000"/>
          <w:lang w:eastAsia="en-US"/>
        </w:rPr>
        <w:t xml:space="preserve">się konstytucyjną zasadą wolności działalności gospodarczej, a także innymi zasadami konstytucyjnymi mającymi znaczenie dla przedsiębiorców i wykonywanej przez </w:t>
      </w:r>
      <w:r w:rsidRPr="00CC1779">
        <w:rPr>
          <w:rFonts w:eastAsiaTheme="minorHAnsi"/>
          <w:i/>
          <w:color w:val="000000"/>
          <w:lang w:eastAsia="en-US"/>
        </w:rPr>
        <w:t>nich działalności gospodarczej, w tym zasadami praworządności, pewności prawa, niedyskryminacji oraz zrównoważonego rozwoju, uznając, że ochrona i wspieranie wolności działalności gospodarczej przyczyniają się do rozwoju gospodarki oraz do wzrostu dobrobyt</w:t>
      </w:r>
      <w:r w:rsidRPr="00CC1779">
        <w:rPr>
          <w:rFonts w:eastAsiaTheme="minorHAnsi"/>
          <w:i/>
          <w:color w:val="000000"/>
          <w:lang w:eastAsia="en-US"/>
        </w:rPr>
        <w:t>u społecznego, dążąc do zagwarantowania praw przedsiębiorców oraz uwzględniając potrzebę zapewnienia ciągłego rozwoju działalności gospodarczej w warunkach wolnej konkurencji,  uch</w:t>
      </w:r>
      <w:r w:rsidRPr="00CC1779">
        <w:rPr>
          <w:rFonts w:eastAsiaTheme="minorHAnsi"/>
          <w:i/>
          <w:color w:val="000000"/>
          <w:lang w:eastAsia="en-US"/>
        </w:rPr>
        <w:t>wala się”</w:t>
      </w:r>
      <w:r>
        <w:rPr>
          <w:rFonts w:eastAsiaTheme="minorHAnsi"/>
          <w:color w:val="000000"/>
          <w:lang w:eastAsia="en-US"/>
        </w:rPr>
        <w:t xml:space="preserve">  przedmiotową ustawę.</w:t>
      </w:r>
      <w:r w:rsidRPr="00EB323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7158A">
        <w:rPr>
          <w:rFonts w:eastAsiaTheme="minorHAnsi"/>
          <w:lang w:eastAsia="en-US"/>
        </w:rPr>
        <w:t xml:space="preserve">Natomiast </w:t>
      </w:r>
      <w:hyperlink r:id="rId11" w:anchor="/document/18701388?unitId=art(2)&amp;cm=DOCUMENT" w:history="1">
        <w:r>
          <w:rPr>
            <w:rFonts w:eastAsiaTheme="minorHAnsi"/>
            <w:lang w:eastAsia="en-US"/>
          </w:rPr>
          <w:t>a</w:t>
        </w:r>
        <w:r w:rsidRPr="0047158A">
          <w:rPr>
            <w:rFonts w:eastAsiaTheme="minorHAnsi"/>
            <w:lang w:eastAsia="en-US"/>
          </w:rPr>
          <w:t>rt. 2</w:t>
        </w:r>
      </w:hyperlink>
      <w:r w:rsidRPr="00EF6A2C">
        <w:rPr>
          <w:rFonts w:eastAsiaTheme="minorHAnsi"/>
          <w:lang w:eastAsia="en-US"/>
        </w:rPr>
        <w:t xml:space="preserve"> ustawy Prawo przedsiębiorców stanowi, </w:t>
      </w:r>
      <w:r>
        <w:rPr>
          <w:rFonts w:eastAsiaTheme="minorHAnsi"/>
          <w:lang w:eastAsia="en-US"/>
        </w:rPr>
        <w:br/>
      </w:r>
      <w:r w:rsidRPr="00EF6A2C">
        <w:rPr>
          <w:rFonts w:eastAsiaTheme="minorHAnsi"/>
          <w:lang w:eastAsia="en-US"/>
        </w:rPr>
        <w:t xml:space="preserve">że podejmowanie, wykonywanie i zakończenie działalności gospodarczej jest wolne dla każdego na równych prawach. </w:t>
      </w:r>
      <w:r w:rsidRPr="00D8686B">
        <w:rPr>
          <w:lang w:eastAsia="ar-SA"/>
        </w:rPr>
        <w:t xml:space="preserve">Z kolei </w:t>
      </w:r>
      <w:r w:rsidRPr="00D8686B">
        <w:rPr>
          <w:rFonts w:eastAsiaTheme="minorHAnsi"/>
          <w:bCs/>
          <w:color w:val="000000"/>
          <w:lang w:eastAsia="en-US"/>
        </w:rPr>
        <w:t>w</w:t>
      </w:r>
      <w:r w:rsidRPr="00D8686B">
        <w:rPr>
          <w:rFonts w:eastAsiaTheme="minorHAnsi"/>
          <w:bCs/>
          <w:color w:val="000000"/>
          <w:lang w:eastAsia="en-US"/>
        </w:rPr>
        <w:t xml:space="preserve"> myśl art. 8 ww. ustawy </w:t>
      </w:r>
      <w:r w:rsidRPr="00CC1779">
        <w:rPr>
          <w:rFonts w:eastAsiaTheme="minorHAnsi"/>
          <w:bCs/>
          <w:i/>
          <w:color w:val="000000"/>
          <w:lang w:eastAsia="en-US"/>
        </w:rPr>
        <w:t>„</w:t>
      </w:r>
      <w:r w:rsidRPr="00CC1779">
        <w:rPr>
          <w:i/>
        </w:rPr>
        <w:t>Przedsiębior</w:t>
      </w:r>
      <w:r w:rsidRPr="00CC1779">
        <w:rPr>
          <w:i/>
        </w:rPr>
        <w:t xml:space="preserve">ca może </w:t>
      </w:r>
      <w:r w:rsidRPr="00CC1779">
        <w:rPr>
          <w:i/>
        </w:rPr>
        <w:t xml:space="preserve">podejmować wszelkie działania, </w:t>
      </w:r>
      <w:r w:rsidRPr="00CC1779">
        <w:rPr>
          <w:i/>
        </w:rPr>
        <w:t>z wyjątkiem tych, których zakazują przepisy prawa. Przedsiębiorca może być obowiązany do określonego zachowania tylko na podstawie przepisów prawa”</w:t>
      </w:r>
      <w:r w:rsidRPr="00D8686B">
        <w:t>.</w:t>
      </w:r>
      <w:r w:rsidRPr="009E0702">
        <w:t xml:space="preserve"> </w:t>
      </w:r>
    </w:p>
    <w:p w:rsidR="00807050" w:rsidRPr="00D8686B" w:rsidRDefault="003C71E6" w:rsidP="00630C8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8686B">
        <w:t>Z uwagi na powyższe, w</w:t>
      </w:r>
      <w:r w:rsidRPr="00D8686B">
        <w:t xml:space="preserve"> ocenie organu nadzoru</w:t>
      </w:r>
      <w:r>
        <w:t xml:space="preserve">, dla wprowadzenia ograniczeń </w:t>
      </w:r>
      <w:r>
        <w:br/>
      </w:r>
      <w:r>
        <w:t>na poziomie uchwały</w:t>
      </w:r>
      <w:r w:rsidRPr="00683874">
        <w:rPr>
          <w:rFonts w:eastAsiaTheme="minorHAnsi"/>
          <w:lang w:eastAsia="en-US"/>
        </w:rPr>
        <w:t xml:space="preserve"> istnieć </w:t>
      </w:r>
      <w:r>
        <w:rPr>
          <w:rFonts w:eastAsiaTheme="minorHAnsi"/>
          <w:lang w:eastAsia="en-US"/>
        </w:rPr>
        <w:t xml:space="preserve">musi </w:t>
      </w:r>
      <w:r w:rsidRPr="00683874">
        <w:rPr>
          <w:rFonts w:eastAsiaTheme="minorHAnsi"/>
          <w:lang w:eastAsia="en-US"/>
        </w:rPr>
        <w:t>wyraźna delegacja ustawowa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B</w:t>
      </w:r>
      <w:r>
        <w:rPr>
          <w:rFonts w:eastAsiaTheme="minorHAnsi"/>
          <w:lang w:eastAsia="en-US"/>
        </w:rPr>
        <w:t xml:space="preserve">rak </w:t>
      </w:r>
      <w:r>
        <w:rPr>
          <w:rFonts w:eastAsiaTheme="minorHAnsi"/>
          <w:lang w:eastAsia="en-US"/>
        </w:rPr>
        <w:t xml:space="preserve">jest </w:t>
      </w:r>
      <w:r>
        <w:rPr>
          <w:rFonts w:eastAsiaTheme="minorHAnsi"/>
          <w:lang w:eastAsia="en-US"/>
        </w:rPr>
        <w:t xml:space="preserve">delegacji dla rady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lastRenderedPageBreak/>
        <w:t xml:space="preserve">do ustanowienia zakazu handlu </w:t>
      </w:r>
      <w:r>
        <w:rPr>
          <w:rFonts w:eastAsiaTheme="minorHAnsi"/>
          <w:lang w:eastAsia="en-US"/>
        </w:rPr>
        <w:t xml:space="preserve">zwierzętami </w:t>
      </w:r>
      <w:r>
        <w:rPr>
          <w:rFonts w:eastAsiaTheme="minorHAnsi"/>
          <w:lang w:eastAsia="en-US"/>
        </w:rPr>
        <w:t xml:space="preserve">domowymi i gospodarskimi </w:t>
      </w:r>
      <w:r>
        <w:rPr>
          <w:rFonts w:eastAsiaTheme="minorHAnsi"/>
          <w:lang w:eastAsia="en-US"/>
        </w:rPr>
        <w:t xml:space="preserve">w uchwale dotyczącej </w:t>
      </w:r>
      <w:r>
        <w:rPr>
          <w:rFonts w:eastAsiaTheme="minorHAnsi"/>
          <w:lang w:eastAsia="en-US"/>
        </w:rPr>
        <w:t>zasad i trybu korzystania z obiekt</w:t>
      </w:r>
      <w:r>
        <w:rPr>
          <w:rFonts w:eastAsiaTheme="minorHAnsi"/>
          <w:lang w:eastAsia="en-US"/>
        </w:rPr>
        <w:t>ów</w:t>
      </w:r>
      <w:r>
        <w:rPr>
          <w:rFonts w:eastAsiaTheme="minorHAnsi"/>
          <w:lang w:eastAsia="en-US"/>
        </w:rPr>
        <w:t xml:space="preserve"> użyteczno</w:t>
      </w:r>
      <w:r>
        <w:rPr>
          <w:rFonts w:eastAsiaTheme="minorHAnsi"/>
          <w:lang w:eastAsia="en-US"/>
        </w:rPr>
        <w:t>ści publicznej.</w:t>
      </w:r>
    </w:p>
    <w:p w:rsidR="00086821" w:rsidRPr="00086821" w:rsidRDefault="003C71E6" w:rsidP="00630C83">
      <w:pPr>
        <w:widowControl w:val="0"/>
        <w:spacing w:line="360" w:lineRule="auto"/>
        <w:ind w:firstLine="740"/>
        <w:jc w:val="both"/>
        <w:rPr>
          <w:rFonts w:eastAsia="Calibri"/>
          <w:color w:val="000000"/>
          <w:lang w:bidi="pl-PL"/>
        </w:rPr>
      </w:pPr>
      <w:r w:rsidRPr="00086821">
        <w:rPr>
          <w:rFonts w:eastAsia="Calibri"/>
          <w:color w:val="000000"/>
          <w:lang w:bidi="pl-PL"/>
        </w:rPr>
        <w:t>W nawiązaniu do powyższego należy stwierdzić, że w świetle art. 94 Konstytucji RP organy samorządu terytorialnego wydają akty prawa miejscowego obowiązujące na obszarze działania tych organów, na podstawie i w granicach upoważnień zawartych</w:t>
      </w:r>
      <w:r w:rsidRPr="00086821">
        <w:rPr>
          <w:rFonts w:eastAsia="Calibri"/>
          <w:color w:val="000000"/>
          <w:lang w:bidi="pl-PL"/>
        </w:rPr>
        <w:t xml:space="preserve"> w ustawie. Oznacza to, że do wydania aktu prawa miejscowego wymagane jest zawarte w ustawie odrębne upoważnienie konkretnego organu do uregulowania w określonej formie danego zakresu spraw. Jednocześnie konstytucyjna zasada praworządności wyrażona w art. </w:t>
      </w:r>
      <w:r w:rsidRPr="00086821">
        <w:rPr>
          <w:rFonts w:eastAsia="Calibri"/>
          <w:color w:val="000000"/>
          <w:lang w:bidi="pl-PL"/>
        </w:rPr>
        <w:t>7 Konstytucji RP wymaga, żeby materia regulowana wydanym aktem normatywnym wynikała z upoważnienia ustawowego i mieściła się w granicach prawa. Wynika to również wprost z przepisów ustawy o samorządzie gminnym, a zwłaszcza z art. 40 tej ustawy, zgodnie z k</w:t>
      </w:r>
      <w:r w:rsidRPr="00086821">
        <w:rPr>
          <w:rFonts w:eastAsia="Calibri"/>
          <w:color w:val="000000"/>
          <w:lang w:bidi="pl-PL"/>
        </w:rPr>
        <w:t xml:space="preserve">tórym gminie przysługuje prawo stanowienia aktów prawa miejscowego obowiązujących na obszarze gminy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na podstawie upoważnień ustawowych. Należy zatem wyraźnie podkreślić, iż wszelkie uchwały podejmowane przez radę gminy muszą nie tylko mieć umocowanie w ob</w:t>
      </w:r>
      <w:r w:rsidRPr="00086821">
        <w:rPr>
          <w:rFonts w:eastAsia="Calibri"/>
          <w:color w:val="000000"/>
          <w:lang w:bidi="pl-PL"/>
        </w:rPr>
        <w:t>owiązujących przepisach prawa, ale też zapisy zawarte w uchwałach nie mogą przepisów tych naruszać. Ustawodawca, formułując określoną delegację do wydania aktu wykonawczego, przekazuje upoważnienie do uregulowania wyłącznie kwestii wynikających z upoważnie</w:t>
      </w:r>
      <w:r w:rsidRPr="00086821">
        <w:rPr>
          <w:rFonts w:eastAsia="Calibri"/>
          <w:color w:val="000000"/>
          <w:lang w:bidi="pl-PL"/>
        </w:rPr>
        <w:t xml:space="preserve">nia. Zatem niedopuszczalna jest realizacja upoważnienia ustawowego regulująca kwestie nie przekazane </w:t>
      </w:r>
      <w:r w:rsidRPr="00086821">
        <w:rPr>
          <w:rFonts w:eastAsia="Calibri"/>
          <w:color w:val="000000"/>
          <w:lang w:bidi="pl-PL"/>
        </w:rPr>
        <w:br/>
        <w:t xml:space="preserve">do uregulowania w upoważnieniu. Takie działanie Rady Miejskiej należy rozumieć jako działanie z przekroczeniem upoważnienia ustawowego, a w konsekwencji, </w:t>
      </w:r>
      <w:r w:rsidRPr="00086821">
        <w:rPr>
          <w:rFonts w:eastAsia="Calibri"/>
          <w:color w:val="000000"/>
          <w:lang w:bidi="pl-PL"/>
        </w:rPr>
        <w:t xml:space="preserve">wobec zawarcia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w skarżonej uchwale przepisów wykraczających poza delegację ustawową, powoduje konieczność przywrócenia stanu zgodnego z prawem.</w:t>
      </w:r>
    </w:p>
    <w:p w:rsidR="00086821" w:rsidRPr="00086821" w:rsidRDefault="003C71E6" w:rsidP="00630C83">
      <w:pPr>
        <w:widowControl w:val="0"/>
        <w:spacing w:line="360" w:lineRule="auto"/>
        <w:ind w:firstLine="740"/>
        <w:jc w:val="both"/>
        <w:rPr>
          <w:rFonts w:eastAsia="Calibri"/>
          <w:color w:val="000000"/>
          <w:lang w:bidi="pl-PL"/>
        </w:rPr>
      </w:pPr>
      <w:proofErr w:type="spellStart"/>
      <w:r w:rsidRPr="00086821">
        <w:rPr>
          <w:rFonts w:eastAsia="Calibri"/>
          <w:i/>
          <w:iCs/>
          <w:color w:val="000000"/>
          <w:lang w:bidi="pl-PL"/>
        </w:rPr>
        <w:t>Materiałnoprawna</w:t>
      </w:r>
      <w:proofErr w:type="spellEnd"/>
      <w:r w:rsidRPr="00086821">
        <w:rPr>
          <w:rFonts w:eastAsia="Calibri"/>
          <w:i/>
          <w:iCs/>
          <w:color w:val="000000"/>
          <w:lang w:bidi="pl-PL"/>
        </w:rPr>
        <w:t xml:space="preserve"> podstawa do działania rady gminy w zakresie stanowienia aktów prawa miejscowego musi bowiem wy</w:t>
      </w:r>
      <w:r w:rsidRPr="00086821">
        <w:rPr>
          <w:rFonts w:eastAsia="Calibri"/>
          <w:i/>
          <w:iCs/>
          <w:color w:val="000000"/>
          <w:lang w:bidi="pl-PL"/>
        </w:rPr>
        <w:t>nikać wprost z zapisów ustawy (delegacji ustawowej) i nie może być oparta na ogólnych przepisach zawartych w ustawach. Zgodnie z zasadą legalności (art. 7 Konstytucji RP), organy władzy publicznej działają na podstawie i w granicach prawa. Rada gminy obowi</w:t>
      </w:r>
      <w:r w:rsidRPr="00086821">
        <w:rPr>
          <w:rFonts w:eastAsia="Calibri"/>
          <w:i/>
          <w:iCs/>
          <w:color w:val="000000"/>
          <w:lang w:bidi="pl-PL"/>
        </w:rPr>
        <w:t xml:space="preserve">ązana jest; zatem przestrzegać zakresu upoważniania ustawowego udzielonego jej przez ustawę w zakresie tworzenia aktów prawa miejscowego, a w ramach udzielonej jej delegacji w tych działaniach </w:t>
      </w:r>
      <w:r w:rsidRPr="00086821">
        <w:rPr>
          <w:rFonts w:eastAsia="Calibri"/>
          <w:i/>
          <w:iCs/>
          <w:color w:val="000000"/>
          <w:u w:val="single"/>
          <w:lang w:bidi="pl-PL"/>
        </w:rPr>
        <w:t>nie może wykraczać w materie uregulowaną ustawą</w:t>
      </w:r>
      <w:r w:rsidRPr="00086821">
        <w:rPr>
          <w:rFonts w:eastAsia="Calibri"/>
          <w:i/>
          <w:iCs/>
          <w:color w:val="000000"/>
          <w:lang w:bidi="pl-PL"/>
        </w:rPr>
        <w:t>. (...)".</w:t>
      </w:r>
      <w:r w:rsidRPr="00086821">
        <w:rPr>
          <w:rFonts w:eastAsia="Calibri"/>
          <w:color w:val="000000"/>
          <w:lang w:bidi="pl-PL"/>
        </w:rPr>
        <w:t xml:space="preserve"> (por. uzasadnienie do Wyroku WSA w Olsztynie z dnia 12 stycznia 2016 r. sygn. akt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t>II SA/OI 1269/15).</w:t>
      </w:r>
    </w:p>
    <w:p w:rsidR="0063791A" w:rsidRPr="0063791A" w:rsidRDefault="003C71E6" w:rsidP="00630C83">
      <w:pPr>
        <w:spacing w:line="360" w:lineRule="auto"/>
        <w:ind w:firstLine="708"/>
        <w:jc w:val="both"/>
      </w:pPr>
      <w:r w:rsidRPr="0063791A">
        <w:t xml:space="preserve">Mając na uwadze powyższe, stwierdzenie nieważności przedmiotowej </w:t>
      </w:r>
      <w:r w:rsidRPr="0063791A">
        <w:rPr>
          <w:bCs/>
        </w:rPr>
        <w:t xml:space="preserve">uchwały </w:t>
      </w:r>
      <w:r w:rsidRPr="0063791A">
        <w:t xml:space="preserve">Rady </w:t>
      </w:r>
      <w:r>
        <w:t>Miejskiej Góry Kalwarii</w:t>
      </w:r>
      <w:r w:rsidRPr="0063791A">
        <w:t xml:space="preserve">, we wskazanej w petitum części, jest w pełni </w:t>
      </w:r>
      <w:r w:rsidRPr="0063791A">
        <w:t>uzasadnione.</w:t>
      </w:r>
    </w:p>
    <w:p w:rsidR="0063791A" w:rsidRPr="0063791A" w:rsidRDefault="003C71E6" w:rsidP="00630C83">
      <w:pPr>
        <w:spacing w:line="360" w:lineRule="auto"/>
        <w:ind w:firstLine="708"/>
        <w:jc w:val="both"/>
      </w:pPr>
      <w:r w:rsidRPr="0063791A">
        <w:lastRenderedPageBreak/>
        <w:t xml:space="preserve">Na niniejsze rozstrzygnięcie nadzorcze </w:t>
      </w:r>
      <w:r>
        <w:t>Miastu</w:t>
      </w:r>
      <w:r w:rsidRPr="0063791A">
        <w:t xml:space="preserve"> przysługuje skarga do Wojewódzkiego Sądu Administracyjnego w Warszawie w terminie 30 dni od daty jego doręczenia, wnoszona </w:t>
      </w:r>
      <w:r w:rsidRPr="0063791A">
        <w:br/>
        <w:t>za pośrednictwem organu, który skarżone orzeczenie wydał</w:t>
      </w:r>
      <w:r>
        <w:t>.</w:t>
      </w:r>
    </w:p>
    <w:p w:rsidR="0063791A" w:rsidRPr="0063791A" w:rsidRDefault="003C71E6" w:rsidP="00630C83">
      <w:pPr>
        <w:spacing w:line="360" w:lineRule="auto"/>
        <w:ind w:firstLine="708"/>
        <w:jc w:val="both"/>
      </w:pPr>
      <w:r w:rsidRPr="0063791A">
        <w:t>Informuję, że r</w:t>
      </w:r>
      <w:r w:rsidRPr="0063791A">
        <w:t>ozstrzygnięcie nadzorcze wstrzymuje wykonanie uchwały z mocy prawa, w części objętej orzeczeniem, z dniem jego doręczenia.</w:t>
      </w:r>
    </w:p>
    <w:p w:rsidR="00BF6A9D" w:rsidRPr="0063791A" w:rsidRDefault="003C71E6" w:rsidP="004E78DF">
      <w:pPr>
        <w:spacing w:line="360" w:lineRule="auto"/>
        <w:jc w:val="both"/>
      </w:pPr>
    </w:p>
    <w:p w:rsidR="00BF6A9D" w:rsidRPr="0063791A" w:rsidRDefault="003C71E6" w:rsidP="004E78DF">
      <w:pPr>
        <w:ind w:firstLine="708"/>
        <w:jc w:val="both"/>
      </w:pPr>
    </w:p>
    <w:p w:rsidR="00BF6A9D" w:rsidRDefault="003C71E6" w:rsidP="004E78DF">
      <w:pPr>
        <w:ind w:firstLine="708"/>
        <w:jc w:val="both"/>
      </w:pPr>
    </w:p>
    <w:p w:rsidR="00BF6A9D" w:rsidRDefault="003C71E6" w:rsidP="004E78DF">
      <w:pPr>
        <w:spacing w:line="276" w:lineRule="auto"/>
        <w:ind w:firstLine="720"/>
        <w:jc w:val="center"/>
        <w:rPr>
          <w:i/>
        </w:rPr>
      </w:pPr>
    </w:p>
    <w:p w:rsidR="00BF6A9D" w:rsidRDefault="003C71E6" w:rsidP="004E78DF">
      <w:pPr>
        <w:spacing w:line="276" w:lineRule="auto"/>
        <w:ind w:firstLine="720"/>
        <w:jc w:val="center"/>
        <w:rPr>
          <w:i/>
        </w:rPr>
      </w:pPr>
      <w:bookmarkStart w:id="4" w:name="ezdPracownikNazwa"/>
      <w:r>
        <w:rPr>
          <w:i/>
        </w:rPr>
        <w:t>Konstanty Radziwiłł</w:t>
      </w:r>
      <w:bookmarkEnd w:id="4"/>
    </w:p>
    <w:p w:rsidR="00BF6A9D" w:rsidRDefault="003C71E6" w:rsidP="004E78DF">
      <w:pPr>
        <w:spacing w:line="276" w:lineRule="auto"/>
        <w:ind w:firstLine="720"/>
        <w:jc w:val="center"/>
        <w:rPr>
          <w:i/>
        </w:rPr>
      </w:pPr>
      <w:bookmarkStart w:id="5" w:name="ezdPracownikStanowisko"/>
      <w:r>
        <w:rPr>
          <w:i/>
        </w:rPr>
        <w:t>Wojewoda Mazowiecki</w:t>
      </w:r>
      <w:bookmarkEnd w:id="5"/>
    </w:p>
    <w:p w:rsidR="00BF6A9D" w:rsidRPr="008D53A2" w:rsidRDefault="003C71E6" w:rsidP="004E78DF">
      <w:pPr>
        <w:spacing w:line="276" w:lineRule="auto"/>
        <w:rPr>
          <w:i/>
        </w:rPr>
      </w:pPr>
    </w:p>
    <w:p w:rsidR="00BF6A9D" w:rsidRPr="007A371C" w:rsidRDefault="003C71E6" w:rsidP="00BF6A9D">
      <w:pPr>
        <w:spacing w:line="276" w:lineRule="auto"/>
        <w:ind w:left="4963" w:hanging="1561"/>
        <w:jc w:val="center"/>
        <w:rPr>
          <w:sz w:val="20"/>
          <w:szCs w:val="20"/>
        </w:rPr>
      </w:pPr>
      <w:r>
        <w:rPr>
          <w:sz w:val="20"/>
          <w:szCs w:val="20"/>
        </w:rPr>
        <w:t>/</w:t>
      </w:r>
      <w:r w:rsidRPr="007A371C">
        <w:rPr>
          <w:sz w:val="20"/>
          <w:szCs w:val="20"/>
        </w:rPr>
        <w:t>podpisano bezpiecznym podpisem elektronicznym</w:t>
      </w:r>
    </w:p>
    <w:p w:rsidR="00BF6A9D" w:rsidRPr="007A371C" w:rsidRDefault="003C71E6" w:rsidP="00BF6A9D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7A371C">
        <w:rPr>
          <w:sz w:val="20"/>
          <w:szCs w:val="20"/>
        </w:rPr>
        <w:t>weryfikowanym ważn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kwalifikowan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certy</w:t>
      </w:r>
      <w:r w:rsidRPr="007A371C">
        <w:rPr>
          <w:sz w:val="20"/>
          <w:szCs w:val="20"/>
        </w:rPr>
        <w:t>fikat</w:t>
      </w:r>
      <w:r>
        <w:rPr>
          <w:sz w:val="20"/>
          <w:szCs w:val="20"/>
        </w:rPr>
        <w:t>em</w:t>
      </w:r>
      <w:r w:rsidRPr="007A371C">
        <w:rPr>
          <w:sz w:val="20"/>
          <w:szCs w:val="20"/>
        </w:rPr>
        <w:t>/</w:t>
      </w:r>
    </w:p>
    <w:p w:rsidR="00B13EC7" w:rsidRDefault="003C71E6" w:rsidP="00BF6A9D"/>
    <w:sectPr w:rsidR="00B1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E6"/>
    <w:rsid w:val="003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14F76-4D08-48CB-9801-F15C213F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6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81573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BF6A9D"/>
    <w:rPr>
      <w:b/>
      <w:bCs/>
    </w:rPr>
  </w:style>
  <w:style w:type="paragraph" w:styleId="NormalnyWeb">
    <w:name w:val="Normal (Web)"/>
    <w:basedOn w:val="Normalny"/>
    <w:uiPriority w:val="99"/>
    <w:unhideWhenUsed/>
    <w:rsid w:val="00807050"/>
    <w:pPr>
      <w:spacing w:before="100" w:beforeAutospacing="1" w:after="100" w:afterAutospacing="1"/>
    </w:pPr>
  </w:style>
  <w:style w:type="character" w:customStyle="1" w:styleId="highlight-disabled">
    <w:name w:val="highlight-disabled"/>
    <w:basedOn w:val="Domylnaczcionkaakapitu"/>
    <w:rsid w:val="00DD1C18"/>
  </w:style>
  <w:style w:type="character" w:styleId="Hipercze">
    <w:name w:val="Hyperlink"/>
    <w:basedOn w:val="Domylnaczcionkaakapitu"/>
    <w:uiPriority w:val="99"/>
    <w:semiHidden/>
    <w:unhideWhenUsed/>
    <w:rsid w:val="00BB45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2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g-scope">
    <w:name w:val="ng-scope"/>
    <w:basedOn w:val="Normalny"/>
    <w:rsid w:val="00BC4580"/>
    <w:pPr>
      <w:spacing w:before="100" w:beforeAutospacing="1" w:after="100" w:afterAutospacing="1"/>
    </w:pPr>
  </w:style>
  <w:style w:type="character" w:customStyle="1" w:styleId="ng-binding">
    <w:name w:val="ng-binding"/>
    <w:basedOn w:val="Domylnaczcionkaakapitu"/>
    <w:rsid w:val="00BC4580"/>
  </w:style>
  <w:style w:type="character" w:customStyle="1" w:styleId="ng-scope1">
    <w:name w:val="ng-scope1"/>
    <w:basedOn w:val="Domylnaczcionkaakapitu"/>
    <w:rsid w:val="00BC4580"/>
  </w:style>
  <w:style w:type="character" w:customStyle="1" w:styleId="unit-link">
    <w:name w:val="unit-link"/>
    <w:basedOn w:val="Domylnaczcionkaakapitu"/>
    <w:rsid w:val="00BC4580"/>
  </w:style>
  <w:style w:type="character" w:customStyle="1" w:styleId="li-px">
    <w:name w:val="li-px"/>
    <w:basedOn w:val="Domylnaczcionkaakapitu"/>
    <w:rsid w:val="009F02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F7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573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3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zgu2teltqmfyc4njthe4tkmjqg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iojzgu2teltqmfyc4njthe4tkmjqg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rswglrtgy3dmobtg4ydg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galis.pl/document-view.seam?documentId=mrswglrtgy3dmmzrgyydc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ip.legalis.pl/document-view.seam?documentId=mfrxilrtg4ytiojzgu2teltqmfyc4njthe4tkmj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2407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2021-05-19T21:45:00Z</cp:lastPrinted>
  <dcterms:created xsi:type="dcterms:W3CDTF">2021-05-21T13:09:00Z</dcterms:created>
  <dcterms:modified xsi:type="dcterms:W3CDTF">2021-05-21T13:09:00Z</dcterms:modified>
</cp:coreProperties>
</file>