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6DE0F" w14:textId="77777777" w:rsidR="008F4360" w:rsidRDefault="008F4360" w:rsidP="008F4360">
      <w:pPr>
        <w:pStyle w:val="ROZDZODDZPRZEDMprzedmiotregulacjirozdziauluboddziau"/>
      </w:pPr>
      <w:r w:rsidRPr="00DD22DF">
        <w:t>UZASADNIENIE</w:t>
      </w:r>
    </w:p>
    <w:p w14:paraId="0B61C31D" w14:textId="77777777" w:rsidR="008F4360" w:rsidRPr="00886C01" w:rsidRDefault="008F4360" w:rsidP="008F4360">
      <w:pPr>
        <w:pStyle w:val="ARTartustawynprozporzdzenia"/>
      </w:pPr>
    </w:p>
    <w:p w14:paraId="4086E4F6" w14:textId="77777777" w:rsidR="008F4360" w:rsidRPr="001E60A8" w:rsidRDefault="008F4360" w:rsidP="001E60A8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1E60A8">
        <w:rPr>
          <w:rFonts w:ascii="Times New Roman" w:hAnsi="Times New Roman" w:cs="Times New Roman"/>
          <w:szCs w:val="24"/>
        </w:rPr>
        <w:t xml:space="preserve">Projektowane rozporządzenie stanowi wykonanie delegacji zawartej w art. 13 ustawy </w:t>
      </w:r>
      <w:r w:rsidRPr="001E60A8">
        <w:rPr>
          <w:rFonts w:ascii="Times New Roman" w:hAnsi="Times New Roman" w:cs="Times New Roman"/>
          <w:szCs w:val="24"/>
        </w:rPr>
        <w:br/>
        <w:t xml:space="preserve">z dnia 6 grudnia 2018 r. o Krajowym Rejestrze Zadłużonych (Dz. U. z 2019 r. poz. 55, 912, 1214 i 1802 oraz z 2020 r. poz. 1747), </w:t>
      </w:r>
      <w:r w:rsidRPr="001E60A8">
        <w:rPr>
          <w:rFonts w:ascii="Times New Roman" w:hAnsi="Times New Roman" w:cs="Times New Roman"/>
          <w:iCs/>
          <w:szCs w:val="24"/>
        </w:rPr>
        <w:t>zwanej dalej „ustawą”</w:t>
      </w:r>
      <w:r w:rsidRPr="001E60A8">
        <w:rPr>
          <w:rFonts w:ascii="Times New Roman" w:hAnsi="Times New Roman" w:cs="Times New Roman"/>
          <w:szCs w:val="24"/>
        </w:rPr>
        <w:t>. Zgodnie z tym przepisem Minister Sprawiedliwości określi, w drodze rozporządzenia, sposób przetwarzania danych zawartych w Krajowym Rejestrze Zadłużonych, w tym również danych, o których mowa w art. 11 ust. 1 ustawy mając na uwadze potrzebę zapewnienia czytelności oraz przejrzystości danych prezentowanych w Rejestrze, łatwość jego użytkowania oraz konieczność zapewniania bezpieczeństwa przetwarzanych danych.</w:t>
      </w:r>
    </w:p>
    <w:p w14:paraId="120A7867" w14:textId="78F58AF6" w:rsidR="008F4360" w:rsidRPr="00D77AEC" w:rsidRDefault="008F4360" w:rsidP="00D77A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7AEC">
        <w:rPr>
          <w:rFonts w:ascii="Times New Roman" w:hAnsi="Times New Roman" w:cs="Times New Roman"/>
          <w:sz w:val="24"/>
          <w:szCs w:val="24"/>
        </w:rPr>
        <w:t xml:space="preserve">W § 1 </w:t>
      </w:r>
      <w:r w:rsidR="009842C6" w:rsidRPr="00D77AEC">
        <w:rPr>
          <w:rFonts w:ascii="Times New Roman" w:hAnsi="Times New Roman" w:cs="Times New Roman"/>
          <w:sz w:val="24"/>
          <w:szCs w:val="24"/>
        </w:rPr>
        <w:t>rozporządzenia</w:t>
      </w:r>
      <w:r w:rsidRPr="00D77AEC">
        <w:rPr>
          <w:rFonts w:ascii="Times New Roman" w:hAnsi="Times New Roman" w:cs="Times New Roman"/>
          <w:sz w:val="24"/>
          <w:szCs w:val="24"/>
        </w:rPr>
        <w:t xml:space="preserve"> </w:t>
      </w:r>
      <w:r w:rsidR="001E60A8">
        <w:rPr>
          <w:rFonts w:ascii="Times New Roman" w:hAnsi="Times New Roman" w:cs="Times New Roman"/>
          <w:sz w:val="24"/>
          <w:szCs w:val="24"/>
        </w:rPr>
        <w:t xml:space="preserve">określa zakres przedmiotowy rozporządzenia. </w:t>
      </w:r>
    </w:p>
    <w:p w14:paraId="36B9C263" w14:textId="77777777" w:rsidR="008F4360" w:rsidRPr="00D77AEC" w:rsidRDefault="008F4360" w:rsidP="00D77AEC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iCs/>
          <w:szCs w:val="24"/>
        </w:rPr>
      </w:pPr>
      <w:r w:rsidRPr="001E60A8">
        <w:rPr>
          <w:rFonts w:ascii="Times New Roman" w:hAnsi="Times New Roman" w:cs="Times New Roman"/>
          <w:szCs w:val="24"/>
        </w:rPr>
        <w:t>W § 2</w:t>
      </w:r>
      <w:r w:rsidRPr="00D77AEC">
        <w:rPr>
          <w:rFonts w:ascii="Times New Roman" w:hAnsi="Times New Roman" w:cs="Times New Roman"/>
          <w:szCs w:val="24"/>
        </w:rPr>
        <w:t xml:space="preserve"> określono sposób zamieszczania danych w Rejestrze. Zasadą jest, że dane będą zamieszczane w Rejestrze za pośrednictwem Systemu teleinformatycznego. Przy czym projekt przewiduje również możliwość zamieszczania danych bezpośrednio przez system teleinformatyczny organu uprawnionego do zamieszczania danych określonych w art. 7 i 8 ustawy.</w:t>
      </w:r>
      <w:r w:rsidRPr="001E60A8">
        <w:rPr>
          <w:rFonts w:ascii="Times New Roman" w:hAnsi="Times New Roman" w:cs="Times New Roman"/>
          <w:szCs w:val="24"/>
        </w:rPr>
        <w:t xml:space="preserve"> </w:t>
      </w:r>
      <w:r w:rsidRPr="001E60A8">
        <w:rPr>
          <w:rFonts w:ascii="Times New Roman" w:hAnsi="Times New Roman" w:cs="Times New Roman"/>
          <w:iCs/>
          <w:szCs w:val="24"/>
        </w:rPr>
        <w:t xml:space="preserve">Celem tej regulacji jest umożliwienie zamieszania danych w Rejestrze w </w:t>
      </w:r>
      <w:r w:rsidRPr="00D77AEC">
        <w:rPr>
          <w:rFonts w:ascii="Times New Roman" w:hAnsi="Times New Roman" w:cs="Times New Roman"/>
          <w:iCs/>
          <w:szCs w:val="24"/>
        </w:rPr>
        <w:t>sposób automatyczny poprzez przesył danych z systemu teleinformatycznego organu uprawnionego do zamieszczania tych danych, jeżeli zaistnieją techniczne możliwości w tym zakresie.</w:t>
      </w:r>
    </w:p>
    <w:p w14:paraId="0F6327EF" w14:textId="38EA3DD2" w:rsidR="003910CF" w:rsidRPr="001E60A8" w:rsidRDefault="009842C6" w:rsidP="00D77AEC">
      <w:pPr>
        <w:pStyle w:val="ARTartustawynprozporzdzeni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>Organem</w:t>
      </w:r>
      <w:r w:rsidR="003910CF" w:rsidRPr="00D77AEC">
        <w:rPr>
          <w:rFonts w:ascii="Times New Roman" w:hAnsi="Times New Roman" w:cs="Times New Roman"/>
          <w:szCs w:val="24"/>
        </w:rPr>
        <w:t xml:space="preserve"> uprawnionym do </w:t>
      </w:r>
      <w:r w:rsidRPr="00D77AEC">
        <w:rPr>
          <w:rFonts w:ascii="Times New Roman" w:hAnsi="Times New Roman" w:cs="Times New Roman"/>
          <w:szCs w:val="24"/>
        </w:rPr>
        <w:t>zamieszczania</w:t>
      </w:r>
      <w:r w:rsidR="003910CF" w:rsidRPr="00D77AEC">
        <w:rPr>
          <w:rFonts w:ascii="Times New Roman" w:hAnsi="Times New Roman" w:cs="Times New Roman"/>
          <w:szCs w:val="24"/>
        </w:rPr>
        <w:t xml:space="preserve"> danych określonych w art. 7 i 8 ustawy jest w szczególności</w:t>
      </w:r>
      <w:r w:rsidR="005B21A2" w:rsidRPr="00D77AEC">
        <w:rPr>
          <w:rFonts w:ascii="Times New Roman" w:hAnsi="Times New Roman" w:cs="Times New Roman"/>
          <w:szCs w:val="24"/>
        </w:rPr>
        <w:t xml:space="preserve"> komornik sądowy, sąd, Szef Krajowej Administracji Skarbowej, naczelnik urzędu skarbowego, dyrektor oddziału Zakładu Ubezpieczeń Społecznych oraz organ, który wypłacił świadczenia przyznawane w przypadku bezskuteczności egzekucji alimentów.</w:t>
      </w:r>
    </w:p>
    <w:p w14:paraId="69FFB8BD" w14:textId="7EE0F1EE" w:rsidR="008F4360" w:rsidRPr="00D77AEC" w:rsidRDefault="008F4360" w:rsidP="00D77AEC">
      <w:pPr>
        <w:pStyle w:val="ARTartustawynprozporzdzenia"/>
        <w:spacing w:before="0"/>
        <w:ind w:firstLine="709"/>
        <w:rPr>
          <w:rFonts w:ascii="Times New Roman" w:hAnsi="Times New Roman" w:cs="Times New Roman"/>
          <w:szCs w:val="24"/>
        </w:rPr>
      </w:pPr>
      <w:r w:rsidRPr="001E60A8">
        <w:rPr>
          <w:rFonts w:ascii="Times New Roman" w:hAnsi="Times New Roman" w:cs="Times New Roman"/>
          <w:szCs w:val="24"/>
        </w:rPr>
        <w:t xml:space="preserve">W § </w:t>
      </w:r>
      <w:r w:rsidRPr="00D77AEC">
        <w:rPr>
          <w:rFonts w:ascii="Times New Roman" w:hAnsi="Times New Roman" w:cs="Times New Roman"/>
          <w:szCs w:val="24"/>
        </w:rPr>
        <w:t xml:space="preserve">3 określono miejsce udostępniania danych zawartych w Rejestrze oraz kryteria wyszukiwania tych danych. Zgodnie z projektowanym § 3 ust. 1 </w:t>
      </w:r>
      <w:r w:rsidR="009842C6" w:rsidRPr="00D77AEC">
        <w:rPr>
          <w:rFonts w:ascii="Times New Roman" w:hAnsi="Times New Roman" w:cs="Times New Roman"/>
          <w:szCs w:val="24"/>
        </w:rPr>
        <w:t xml:space="preserve">w Biuletynie Informacji Publicznej </w:t>
      </w:r>
      <w:r w:rsidRPr="00D77AEC">
        <w:rPr>
          <w:rFonts w:ascii="Times New Roman" w:hAnsi="Times New Roman" w:cs="Times New Roman"/>
          <w:szCs w:val="24"/>
        </w:rPr>
        <w:t xml:space="preserve">na stronie podmiotowej urzędu obsługującego Ministra Sprawiedliwości można zapoznać się z danymi ujawnionymi w Rejestrze. </w:t>
      </w:r>
      <w:r w:rsidRPr="001E60A8">
        <w:rPr>
          <w:rFonts w:ascii="Times New Roman" w:hAnsi="Times New Roman" w:cs="Times New Roman"/>
          <w:szCs w:val="24"/>
        </w:rPr>
        <w:t xml:space="preserve">Przepis ten realizuje zasadę jawności Rejestru. Zasada ta </w:t>
      </w:r>
      <w:r w:rsidR="000E6B8D" w:rsidRPr="001E60A8">
        <w:rPr>
          <w:rFonts w:ascii="Times New Roman" w:hAnsi="Times New Roman" w:cs="Times New Roman"/>
          <w:szCs w:val="24"/>
        </w:rPr>
        <w:t xml:space="preserve">została </w:t>
      </w:r>
      <w:r w:rsidRPr="001E60A8">
        <w:rPr>
          <w:rFonts w:ascii="Times New Roman" w:hAnsi="Times New Roman" w:cs="Times New Roman"/>
          <w:szCs w:val="24"/>
        </w:rPr>
        <w:t xml:space="preserve">przez ustawodawcę wyrażona w art. 4 ustawy. Zgodnie z tym przepisem każdy ma prawo zapoznać się z danymi ujawnionymi w Rejestrze oraz danymi objętymi treścią obwieszczeń za pośrednictwem sieci Internet. Dla realizacji funkcji Rejestru istotne jest takie określenie kryteriów wyszukiwania </w:t>
      </w:r>
      <w:r w:rsidRPr="001E60A8">
        <w:rPr>
          <w:rFonts w:ascii="Times New Roman" w:hAnsi="Times New Roman" w:cs="Times New Roman"/>
          <w:bCs/>
          <w:szCs w:val="24"/>
        </w:rPr>
        <w:t>danych ujawnionych w</w:t>
      </w:r>
      <w:r w:rsidRPr="00D77AEC">
        <w:rPr>
          <w:rFonts w:ascii="Times New Roman" w:hAnsi="Times New Roman" w:cs="Times New Roman"/>
          <w:szCs w:val="24"/>
        </w:rPr>
        <w:t xml:space="preserve"> Rejestrze, aby – po pierwsze dostęp do danych był łatwy, po drugie – wyszukanie miało charakter pewny. </w:t>
      </w:r>
    </w:p>
    <w:p w14:paraId="125F1E5A" w14:textId="16AE2D53" w:rsidR="008F4360" w:rsidRPr="00D77AEC" w:rsidRDefault="008F4360" w:rsidP="00D77AEC">
      <w:pPr>
        <w:pStyle w:val="ARTartustawynprozporzdzenia"/>
        <w:spacing w:before="0"/>
        <w:ind w:firstLine="709"/>
        <w:rPr>
          <w:rFonts w:ascii="Times New Roman" w:hAnsi="Times New Roman" w:cs="Times New Roman"/>
          <w:bCs/>
          <w:szCs w:val="24"/>
        </w:rPr>
      </w:pPr>
      <w:r w:rsidRPr="001E60A8">
        <w:rPr>
          <w:rFonts w:ascii="Times New Roman" w:hAnsi="Times New Roman" w:cs="Times New Roman"/>
          <w:szCs w:val="24"/>
        </w:rPr>
        <w:t xml:space="preserve">W stosunku do </w:t>
      </w:r>
      <w:r w:rsidRPr="001E60A8">
        <w:rPr>
          <w:rFonts w:ascii="Times New Roman" w:hAnsi="Times New Roman" w:cs="Times New Roman"/>
          <w:bCs/>
          <w:szCs w:val="24"/>
        </w:rPr>
        <w:t>osób fizycznych, które nie</w:t>
      </w:r>
      <w:r w:rsidR="000E6B8D">
        <w:rPr>
          <w:rFonts w:ascii="Times New Roman" w:hAnsi="Times New Roman" w:cs="Times New Roman"/>
          <w:bCs/>
          <w:szCs w:val="24"/>
        </w:rPr>
        <w:t xml:space="preserve"> </w:t>
      </w:r>
      <w:r w:rsidRPr="001E60A8">
        <w:rPr>
          <w:rFonts w:ascii="Times New Roman" w:hAnsi="Times New Roman" w:cs="Times New Roman"/>
          <w:bCs/>
          <w:szCs w:val="24"/>
        </w:rPr>
        <w:t xml:space="preserve">prowadzą działalności gospodarczej kryterium wyszukiwania </w:t>
      </w:r>
      <w:bookmarkStart w:id="0" w:name="_Hlk55546074"/>
      <w:r w:rsidRPr="001E60A8">
        <w:rPr>
          <w:rFonts w:ascii="Times New Roman" w:hAnsi="Times New Roman" w:cs="Times New Roman"/>
          <w:bCs/>
          <w:szCs w:val="24"/>
        </w:rPr>
        <w:t xml:space="preserve">danych ujawnionych </w:t>
      </w:r>
      <w:bookmarkEnd w:id="0"/>
      <w:r w:rsidRPr="001E60A8">
        <w:rPr>
          <w:rFonts w:ascii="Times New Roman" w:hAnsi="Times New Roman" w:cs="Times New Roman"/>
          <w:bCs/>
          <w:szCs w:val="24"/>
        </w:rPr>
        <w:t xml:space="preserve">w Rejestrze w zakresie postępowania </w:t>
      </w:r>
      <w:r w:rsidRPr="001E60A8">
        <w:rPr>
          <w:rFonts w:ascii="Times New Roman" w:hAnsi="Times New Roman" w:cs="Times New Roman"/>
          <w:bCs/>
          <w:szCs w:val="24"/>
        </w:rPr>
        <w:lastRenderedPageBreak/>
        <w:t xml:space="preserve">upadłościowego, restrukturyzacyjnego oraz bezskuteczności egzekucji jest numer Powszechnego Elektronicznego Systemu </w:t>
      </w:r>
      <w:r w:rsidRPr="00D77AEC">
        <w:rPr>
          <w:rFonts w:ascii="Times New Roman" w:hAnsi="Times New Roman" w:cs="Times New Roman"/>
          <w:bCs/>
          <w:szCs w:val="24"/>
        </w:rPr>
        <w:t>Ewidencji Ludności (PESEL), numer identyfikacji podatkowej (NIP)</w:t>
      </w:r>
      <w:r w:rsidRPr="00D77AEC">
        <w:rPr>
          <w:rFonts w:ascii="Times New Roman" w:hAnsi="Times New Roman" w:cs="Times New Roman"/>
          <w:bCs/>
          <w:color w:val="FF0000"/>
          <w:szCs w:val="24"/>
        </w:rPr>
        <w:t xml:space="preserve"> </w:t>
      </w:r>
      <w:r w:rsidRPr="00D77AEC">
        <w:rPr>
          <w:rFonts w:ascii="Times New Roman" w:hAnsi="Times New Roman" w:cs="Times New Roman"/>
          <w:bCs/>
          <w:szCs w:val="24"/>
        </w:rPr>
        <w:t>albo sygnatura akt sprawy.</w:t>
      </w:r>
    </w:p>
    <w:p w14:paraId="661C278D" w14:textId="2B9A8E50" w:rsidR="008F4360" w:rsidRPr="00D77AEC" w:rsidRDefault="008F4360" w:rsidP="00D77AEC">
      <w:pPr>
        <w:pStyle w:val="ARTartustawynprozporzdzenia"/>
        <w:spacing w:before="0"/>
        <w:ind w:firstLine="709"/>
        <w:rPr>
          <w:rFonts w:ascii="Times New Roman" w:hAnsi="Times New Roman" w:cs="Times New Roman"/>
          <w:bCs/>
          <w:szCs w:val="24"/>
        </w:rPr>
      </w:pPr>
      <w:r w:rsidRPr="00D77AEC">
        <w:rPr>
          <w:rFonts w:ascii="Times New Roman" w:hAnsi="Times New Roman" w:cs="Times New Roman"/>
          <w:szCs w:val="24"/>
        </w:rPr>
        <w:t xml:space="preserve">W stosunku do </w:t>
      </w:r>
      <w:r w:rsidRPr="00D77AEC">
        <w:rPr>
          <w:rFonts w:ascii="Times New Roman" w:hAnsi="Times New Roman" w:cs="Times New Roman"/>
          <w:bCs/>
          <w:szCs w:val="24"/>
        </w:rPr>
        <w:t>osób fizycznych, które prowadzą działalność gospodarczą kryterium wyszukiwania danych ujawnionych w Rejestrze w zakresie postępowania upadłościowego, restrukturyzacyjnego oraz bezskuteczności egzekucji jest imię i nazwisko, firma, numer PESEL, NIP</w:t>
      </w:r>
      <w:r w:rsidRPr="00D77AEC">
        <w:rPr>
          <w:rFonts w:ascii="Times New Roman" w:hAnsi="Times New Roman" w:cs="Times New Roman"/>
          <w:bCs/>
          <w:color w:val="FF0000"/>
          <w:szCs w:val="24"/>
        </w:rPr>
        <w:t xml:space="preserve"> </w:t>
      </w:r>
      <w:r w:rsidRPr="00D77AEC">
        <w:rPr>
          <w:rFonts w:ascii="Times New Roman" w:hAnsi="Times New Roman" w:cs="Times New Roman"/>
          <w:bCs/>
          <w:szCs w:val="24"/>
        </w:rPr>
        <w:t xml:space="preserve">albo sygnatura akt sprawy. W stosunku do tych podmiotów rozszerzenie kryterium wyszukiwania danych ujawnionych w Rejestrze jest uzasadnione tym, że podmioty te w obrocie gospodarczym występują pod imieniem i nazwiskiem oraz </w:t>
      </w:r>
      <w:r w:rsidR="000D26E6" w:rsidRPr="00D77AEC">
        <w:rPr>
          <w:rFonts w:ascii="Times New Roman" w:hAnsi="Times New Roman" w:cs="Times New Roman"/>
          <w:bCs/>
          <w:szCs w:val="24"/>
        </w:rPr>
        <w:t>firmą</w:t>
      </w:r>
      <w:r w:rsidRPr="00D77AEC">
        <w:rPr>
          <w:rFonts w:ascii="Times New Roman" w:hAnsi="Times New Roman" w:cs="Times New Roman"/>
          <w:bCs/>
          <w:szCs w:val="24"/>
        </w:rPr>
        <w:t xml:space="preserve">. Jeżeli Rejestr ma wzmocnić bezpieczeństwo obrotu gospodarczego to w stosunku do tych podmiotów dostęp do ujawnionych danych w Rejestrze powinien być możliwy przy zastosowaniu wskazanych kryteriów. </w:t>
      </w:r>
    </w:p>
    <w:p w14:paraId="612649A7" w14:textId="63524FD4" w:rsidR="008F4360" w:rsidRPr="00D77AEC" w:rsidRDefault="008F4360" w:rsidP="00D77AEC">
      <w:pPr>
        <w:pStyle w:val="ARTartustawynprozporzdzenia"/>
        <w:spacing w:before="0"/>
        <w:ind w:firstLine="709"/>
        <w:rPr>
          <w:rFonts w:ascii="Times New Roman" w:hAnsi="Times New Roman" w:cs="Times New Roman"/>
          <w:bCs/>
          <w:szCs w:val="24"/>
        </w:rPr>
      </w:pPr>
      <w:r w:rsidRPr="00D77AEC">
        <w:rPr>
          <w:rFonts w:ascii="Times New Roman" w:hAnsi="Times New Roman" w:cs="Times New Roman"/>
          <w:szCs w:val="24"/>
        </w:rPr>
        <w:t>W stosunku do</w:t>
      </w:r>
      <w:r w:rsidRPr="00D77AEC">
        <w:rPr>
          <w:rFonts w:ascii="Times New Roman" w:hAnsi="Times New Roman" w:cs="Times New Roman"/>
          <w:bCs/>
          <w:szCs w:val="24"/>
        </w:rPr>
        <w:t xml:space="preserve"> podmiotów niebędących osobami fizycznymi kryterium wyszukiwania danych ujawnionych w Rejestrze w zakresie postępowania upadłościowego, restrukturyzacyjnego oraz bezskuteczności egzekucji jest nazwa lub firma, numer w Krajowym Rejestrze Sądowym (KRS), NIP albo sygnatura akt sprawy.</w:t>
      </w:r>
    </w:p>
    <w:p w14:paraId="14E4680F" w14:textId="77777777" w:rsidR="008F4360" w:rsidRPr="00D77AEC" w:rsidRDefault="008F4360" w:rsidP="00D77AEC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D77AEC">
        <w:rPr>
          <w:rFonts w:ascii="Times New Roman" w:hAnsi="Times New Roman" w:cs="Times New Roman"/>
          <w:bCs/>
          <w:sz w:val="24"/>
          <w:szCs w:val="24"/>
        </w:rPr>
        <w:t xml:space="preserve">Jeżeli dane zawarte w Rejestrze dotyczą składnika i stanu masy upadłości </w:t>
      </w:r>
      <w:r w:rsidRPr="00D77A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kryterium wyszukiwania </w:t>
      </w:r>
      <w:r w:rsidRPr="00D77AEC">
        <w:rPr>
          <w:rFonts w:ascii="Times New Roman" w:hAnsi="Times New Roman" w:cs="Times New Roman"/>
          <w:bCs/>
          <w:sz w:val="24"/>
          <w:szCs w:val="24"/>
        </w:rPr>
        <w:t>zostało rozszerzone o</w:t>
      </w:r>
      <w:r w:rsidRPr="00D77AEC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typ składnika masy upadłości, część opisu bądź nazwy składnika masy upadłości, wartość oszacowania, status składnika masy upadłości, numer składnika masy upadłości ze spisu inwentarza</w:t>
      </w:r>
      <w:r w:rsidRPr="00D77AEC">
        <w:rPr>
          <w:rFonts w:ascii="Times New Roman" w:hAnsi="Times New Roman" w:cs="Times New Roman"/>
          <w:bCs/>
          <w:iCs/>
          <w:sz w:val="24"/>
          <w:szCs w:val="24"/>
        </w:rPr>
        <w:t xml:space="preserve"> oraz </w:t>
      </w:r>
      <w:r w:rsidRPr="00D77AEC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wskazanie podmiotu pełniącego funkcję syndyka masy upadłości.</w:t>
      </w:r>
      <w:r w:rsidRPr="00D77AEC">
        <w:rPr>
          <w:rFonts w:ascii="Times New Roman" w:hAnsi="Times New Roman" w:cs="Times New Roman"/>
          <w:bCs/>
          <w:iCs/>
          <w:sz w:val="24"/>
          <w:szCs w:val="24"/>
        </w:rPr>
        <w:t xml:space="preserve"> Powyższe rozwiązanie realizuje założenie ustawy w zakresie</w:t>
      </w:r>
      <w:r w:rsidRPr="00D77AEC">
        <w:rPr>
          <w:rFonts w:ascii="Times New Roman" w:hAnsi="Times New Roman" w:cs="Times New Roman"/>
          <w:sz w:val="24"/>
          <w:szCs w:val="24"/>
        </w:rPr>
        <w:t xml:space="preserve"> transparentności zarządzania majątkiem upadłego oraz zwiększa efektywność sprzedaży prowadzonej przez syndyka masy upadłości, bowiem ustawa wprowadza rozwiązanie, zgodnie z którym, syndyk masy upadłości dokonując sprzedaży składników tej masy winien niezwłocznie ujawniać sprzedaż w Rejestrze. Oznacza to, że syndyk masy upadłości lub osoby, które na zlecenie jego zajmują się likwidacją masy upadłości powinny dokonując sprzedaży rejestrować fakt sprzedaży w Rejestrze. Obowiązek taki jest odzwierciedleniem na gruncie postępowania upadłościowego działań rynkowych systemów sprzedażowych, które opierają się na założeniu, że każdorazowy fakt sprzedaży jest odnotowywany w systemie magazynowym. Takie rozwiązanie pozwoli wierzycielom na bieżące śledzenie postępów likwidacji masy upadłości, a potencjalnym nabywcom zagwarantuje dostęp do zawsze aktualnych informacji o składnikach majątku przeznaczonych do sprzedaży.</w:t>
      </w:r>
    </w:p>
    <w:p w14:paraId="1978B981" w14:textId="67CD5DC4" w:rsidR="008F4360" w:rsidRPr="00D77AEC" w:rsidRDefault="008F4360" w:rsidP="00D77AEC">
      <w:pPr>
        <w:pStyle w:val="ARTartustawynprozporzdzeni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 xml:space="preserve">W stosunku do </w:t>
      </w:r>
      <w:r w:rsidRPr="00D77AEC">
        <w:rPr>
          <w:rFonts w:ascii="Times New Roman" w:hAnsi="Times New Roman" w:cs="Times New Roman"/>
          <w:bCs/>
          <w:szCs w:val="24"/>
        </w:rPr>
        <w:t>osób fizycznych, które są dłużnikami alimentacyjnymi, kryterium wyszukiwania danych ujawnionych w Rejestrze jest numer PESEL.</w:t>
      </w:r>
    </w:p>
    <w:p w14:paraId="47714A3A" w14:textId="77777777" w:rsidR="008F4360" w:rsidRPr="00D77AEC" w:rsidRDefault="008F4360" w:rsidP="00D77AE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AEC">
        <w:rPr>
          <w:rFonts w:ascii="Times New Roman" w:hAnsi="Times New Roman" w:cs="Times New Roman"/>
          <w:sz w:val="24"/>
          <w:szCs w:val="24"/>
        </w:rPr>
        <w:lastRenderedPageBreak/>
        <w:t xml:space="preserve">W projekcie przyjęto rozwiązanie, że w sytuacji </w:t>
      </w:r>
      <w:r w:rsidRPr="00D77A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braku numeru PESEL kryterium wyszukiwania (czyli inną daną umożliwiającą identyfikację osoby fizycznej, której dane zostały ujawnione w Rejestrze) jest numer paszportu i oznaczenie państwa wystawiającego paszport albo numer karty pobytu w Rzeczypospolitej Polskiej albo zagraniczny numer identyfikacji lub identyfikacji podatkowej. Natomiast w stosunku do podmiotu niebędącego sobą fizyczną przyjęto rozwiązanie, że w przypadku braku numeru KRS kryterium wyszukiwania (czyli inną daną umożliwiającą identyfikację tego podmiotu, którego dane zostały ujawnione w Rejestrze) jest numer w zagranicznym rejestrze albo zagraniczny numer identyfikacji lub identyfikacji podatkowej.</w:t>
      </w:r>
    </w:p>
    <w:p w14:paraId="60396E08" w14:textId="77777777" w:rsidR="008F4360" w:rsidRPr="00D77AEC" w:rsidRDefault="008F4360" w:rsidP="00D77AE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A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Zgodnie z art. 2 ust. 2 ustawy, </w:t>
      </w:r>
      <w:r w:rsidRPr="00D77AEC">
        <w:rPr>
          <w:rFonts w:ascii="Times New Roman" w:hAnsi="Times New Roman" w:cs="Times New Roman"/>
          <w:sz w:val="24"/>
          <w:szCs w:val="24"/>
        </w:rPr>
        <w:t xml:space="preserve">jeżeli przepis szczególny tak stanowi, w Rejestrze dokonuje się również obwieszczeń dotyczących informacji o postępowaniach upadłościowych oraz restrukturyzacyjnych. W konsekwencji w § 4 projektowanego rozporządzenia uregulowano, że </w:t>
      </w:r>
      <w:r w:rsidRPr="00D77AEC">
        <w:rPr>
          <w:rFonts w:ascii="Times New Roman" w:eastAsia="Times New Roman" w:hAnsi="Times New Roman" w:cs="Times New Roman"/>
          <w:sz w:val="24"/>
          <w:szCs w:val="24"/>
          <w:lang w:eastAsia="pl-PL"/>
        </w:rPr>
        <w:t>obwieszczeń w Rejestrze dokonuje się za pośrednictwem Systemu teleinformatycznego</w:t>
      </w:r>
      <w:r w:rsidRPr="00D77AEC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</w:t>
      </w:r>
    </w:p>
    <w:p w14:paraId="163F1661" w14:textId="6234902E" w:rsidR="008F4360" w:rsidRPr="00D77AEC" w:rsidRDefault="008F4360" w:rsidP="00D77AEC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>W § 5 ust. 1 określono sposób przekazywania do celów statystycznych</w:t>
      </w:r>
      <w:r w:rsidR="000D26E6" w:rsidRPr="00D77AEC">
        <w:rPr>
          <w:rFonts w:ascii="Times New Roman" w:hAnsi="Times New Roman" w:cs="Times New Roman"/>
          <w:szCs w:val="24"/>
        </w:rPr>
        <w:t xml:space="preserve"> danych, których ujawniania zaprzestano</w:t>
      </w:r>
      <w:r w:rsidRPr="001E60A8">
        <w:rPr>
          <w:rFonts w:ascii="Times New Roman" w:hAnsi="Times New Roman" w:cs="Times New Roman"/>
          <w:szCs w:val="24"/>
        </w:rPr>
        <w:t xml:space="preserve"> poprzez wskazanie podmiotu, który w ramach Ministerstwa Sprawiedliwości opracowuje dane w celu dalszego udostępnienia w celach statystycznych. </w:t>
      </w:r>
      <w:r w:rsidR="00617190">
        <w:rPr>
          <w:rFonts w:ascii="Times New Roman" w:hAnsi="Times New Roman" w:cs="Times New Roman"/>
          <w:szCs w:val="24"/>
        </w:rPr>
        <w:br/>
      </w:r>
      <w:r w:rsidRPr="001E60A8">
        <w:rPr>
          <w:rFonts w:ascii="Times New Roman" w:hAnsi="Times New Roman" w:cs="Times New Roman"/>
          <w:szCs w:val="24"/>
        </w:rPr>
        <w:t xml:space="preserve">W ust. 2 określono sposób, w jaki ww. dane będą przekazywane komórce Ministerstwa Sprawiedliwości oraz zakres czynności poprzedzających przekazanie danych do celów statystycznych (kontrola kompletności i jakości danych). </w:t>
      </w:r>
    </w:p>
    <w:p w14:paraId="0D4A492E" w14:textId="3E7BD095" w:rsidR="008F4360" w:rsidRPr="00D77AEC" w:rsidRDefault="008F4360" w:rsidP="00D77AEC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>W § 6 ust. 1 projektowanego rozporządzenia określono warunki, tryb i sposób przekazywania danych</w:t>
      </w:r>
      <w:r w:rsidR="000D26E6" w:rsidRPr="00D77AEC">
        <w:rPr>
          <w:rFonts w:ascii="Times New Roman" w:hAnsi="Times New Roman" w:cs="Times New Roman"/>
          <w:szCs w:val="24"/>
        </w:rPr>
        <w:t>,</w:t>
      </w:r>
      <w:r w:rsidRPr="00D77AEC">
        <w:rPr>
          <w:rFonts w:ascii="Times New Roman" w:hAnsi="Times New Roman" w:cs="Times New Roman"/>
          <w:szCs w:val="24"/>
        </w:rPr>
        <w:t xml:space="preserve"> </w:t>
      </w:r>
      <w:r w:rsidR="000D26E6" w:rsidRPr="00D77AEC">
        <w:rPr>
          <w:rFonts w:ascii="Times New Roman" w:hAnsi="Times New Roman" w:cs="Times New Roman"/>
          <w:szCs w:val="24"/>
        </w:rPr>
        <w:t>których ujawniania zaprzestano</w:t>
      </w:r>
      <w:r w:rsidR="000D26E6" w:rsidRPr="001E60A8">
        <w:rPr>
          <w:rFonts w:ascii="Times New Roman" w:hAnsi="Times New Roman" w:cs="Times New Roman"/>
          <w:szCs w:val="24"/>
        </w:rPr>
        <w:t xml:space="preserve"> </w:t>
      </w:r>
      <w:r w:rsidRPr="001E60A8">
        <w:rPr>
          <w:rFonts w:ascii="Times New Roman" w:hAnsi="Times New Roman" w:cs="Times New Roman"/>
          <w:szCs w:val="24"/>
        </w:rPr>
        <w:t>do badań naukowych. Wskazano, że dane te są udostępniane</w:t>
      </w:r>
      <w:r w:rsidRPr="00D77AEC">
        <w:rPr>
          <w:rFonts w:ascii="Times New Roman" w:hAnsi="Times New Roman" w:cs="Times New Roman"/>
          <w:szCs w:val="24"/>
        </w:rPr>
        <w:t xml:space="preserve"> wyłącznie na wniosek oraz przekazywane przez Ministra Sprawiedliwości</w:t>
      </w:r>
      <w:r w:rsidR="00D77AEC">
        <w:rPr>
          <w:rFonts w:ascii="Times New Roman" w:hAnsi="Times New Roman" w:cs="Times New Roman"/>
          <w:szCs w:val="24"/>
        </w:rPr>
        <w:t>, gdyż z</w:t>
      </w:r>
      <w:r w:rsidRPr="00D77AEC">
        <w:rPr>
          <w:rFonts w:ascii="Times New Roman" w:hAnsi="Times New Roman" w:cs="Times New Roman"/>
          <w:szCs w:val="24"/>
        </w:rPr>
        <w:t xml:space="preserve">godnie z art. 1 ustawy to Minister Sprawiedliwości prowadzi Rejestr. </w:t>
      </w:r>
      <w:r w:rsidR="00D77AEC">
        <w:rPr>
          <w:rFonts w:ascii="Times New Roman" w:hAnsi="Times New Roman" w:cs="Times New Roman"/>
          <w:szCs w:val="24"/>
        </w:rPr>
        <w:t>Natomiast</w:t>
      </w:r>
      <w:r w:rsidRPr="00D77AEC">
        <w:rPr>
          <w:rFonts w:ascii="Times New Roman" w:hAnsi="Times New Roman" w:cs="Times New Roman"/>
          <w:szCs w:val="24"/>
        </w:rPr>
        <w:t xml:space="preserve"> art. 12 ust. 2 ustawy </w:t>
      </w:r>
      <w:r w:rsidR="00D77AEC">
        <w:rPr>
          <w:rFonts w:ascii="Times New Roman" w:hAnsi="Times New Roman" w:cs="Times New Roman"/>
          <w:szCs w:val="24"/>
        </w:rPr>
        <w:t xml:space="preserve">stanowi, że </w:t>
      </w:r>
      <w:r w:rsidR="00D77AEC" w:rsidRPr="00D77AEC">
        <w:rPr>
          <w:rFonts w:ascii="Times New Roman" w:hAnsi="Times New Roman" w:cs="Times New Roman"/>
          <w:szCs w:val="24"/>
        </w:rPr>
        <w:t>Minister Sprawiedliwości jest administratorem danych zgromadzonych w Rejestrze oraz danych objętych treścią obwieszczeń.</w:t>
      </w:r>
      <w:r w:rsidR="00D77AEC" w:rsidRPr="00D77AEC" w:rsidDel="00D77AEC">
        <w:rPr>
          <w:rFonts w:ascii="Times New Roman" w:hAnsi="Times New Roman" w:cs="Times New Roman"/>
          <w:szCs w:val="24"/>
        </w:rPr>
        <w:t xml:space="preserve"> </w:t>
      </w:r>
      <w:r w:rsidRPr="00D77AEC">
        <w:rPr>
          <w:rFonts w:ascii="Times New Roman" w:hAnsi="Times New Roman" w:cs="Times New Roman"/>
          <w:szCs w:val="24"/>
        </w:rPr>
        <w:t xml:space="preserve"> </w:t>
      </w:r>
    </w:p>
    <w:p w14:paraId="75E61730" w14:textId="77777777" w:rsidR="002F704C" w:rsidRPr="00D77AEC" w:rsidRDefault="002F704C" w:rsidP="00D77AEC">
      <w:pPr>
        <w:pStyle w:val="ARTartustawynprozporzdzeni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>Przekazanie danych powinno nastąpić w terminie 30 dni od dnia otrzymania wniosku</w:t>
      </w:r>
      <w:r w:rsidRPr="001E60A8">
        <w:rPr>
          <w:rFonts w:ascii="Times New Roman" w:hAnsi="Times New Roman" w:cs="Times New Roman"/>
          <w:szCs w:val="24"/>
        </w:rPr>
        <w:t xml:space="preserve">. Przy czym jest to termin o charakterze </w:t>
      </w:r>
      <w:r w:rsidRPr="00D77AEC">
        <w:rPr>
          <w:rFonts w:ascii="Times New Roman" w:hAnsi="Times New Roman" w:cs="Times New Roman"/>
          <w:szCs w:val="24"/>
        </w:rPr>
        <w:t>instrukcyjnym.</w:t>
      </w:r>
    </w:p>
    <w:p w14:paraId="17149675" w14:textId="7945A1FF" w:rsidR="008F4360" w:rsidRPr="00D77AEC" w:rsidRDefault="008F4360" w:rsidP="00D77AEC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 xml:space="preserve">W </w:t>
      </w:r>
      <w:r w:rsidR="00D77AEC" w:rsidRPr="00B21D35">
        <w:rPr>
          <w:rFonts w:ascii="Times New Roman" w:hAnsi="Times New Roman" w:cs="Times New Roman"/>
          <w:szCs w:val="24"/>
        </w:rPr>
        <w:t>§ 6</w:t>
      </w:r>
      <w:r w:rsidR="00D77AEC">
        <w:rPr>
          <w:rFonts w:ascii="Times New Roman" w:hAnsi="Times New Roman" w:cs="Times New Roman"/>
          <w:szCs w:val="24"/>
        </w:rPr>
        <w:t xml:space="preserve"> </w:t>
      </w:r>
      <w:r w:rsidRPr="00D77AEC">
        <w:rPr>
          <w:rFonts w:ascii="Times New Roman" w:hAnsi="Times New Roman" w:cs="Times New Roman"/>
          <w:szCs w:val="24"/>
        </w:rPr>
        <w:t xml:space="preserve">ust. 2 określono szczegółowe wymagania formalne dla wniosku o przekazanie danych do celów naukowych. Zgodnie z tym przepisem wniosek musi zawierać zwięzły opis celów badawczych oraz programu badań, zakres żądania danych wraz </w:t>
      </w:r>
      <w:r w:rsidRPr="00D77AEC">
        <w:rPr>
          <w:rFonts w:ascii="Times New Roman" w:hAnsi="Times New Roman" w:cs="Times New Roman"/>
          <w:szCs w:val="24"/>
        </w:rPr>
        <w:br/>
        <w:t xml:space="preserve">z uzasadnieniem oraz informacje umożliwiające wyszukanie żądanych danych w zbiorze. Powyższe warunki przekazywania danych do badań naukowych pozwolą na weryfikację czy żądanie danych faktycznie następuje do celów naukowych oraz czy zakres żądanych danych pokrywa się z zakresem prowadzonych badań. </w:t>
      </w:r>
    </w:p>
    <w:p w14:paraId="0BDCD076" w14:textId="2EFDBEA5" w:rsidR="002F704C" w:rsidRPr="00D77AEC" w:rsidRDefault="002F704C" w:rsidP="00D77AE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r w:rsidRPr="00D77AEC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Zgodnie z ust. 3 odmowa udostępnienia </w:t>
      </w:r>
      <w:r w:rsidRPr="00D77AEC">
        <w:rPr>
          <w:rFonts w:ascii="Times New Roman" w:hAnsi="Times New Roman" w:cs="Times New Roman"/>
          <w:sz w:val="24"/>
          <w:szCs w:val="24"/>
        </w:rPr>
        <w:t>danych, których ujawniania zaprzestano do badań naukowych</w:t>
      </w:r>
      <w:r w:rsidRPr="00D77AEC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 wymaga uzasadnienia.</w:t>
      </w:r>
    </w:p>
    <w:p w14:paraId="7F39F925" w14:textId="158C18F8" w:rsidR="002F704C" w:rsidRPr="00617190" w:rsidRDefault="002F704C" w:rsidP="0061719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r w:rsidRPr="00D77AE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Zgodnie § 7 </w:t>
      </w:r>
      <w:r w:rsidRPr="00D77AEC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przekazanie danych, </w:t>
      </w:r>
      <w:r w:rsidRPr="00D77AEC">
        <w:rPr>
          <w:rFonts w:ascii="Times New Roman" w:hAnsi="Times New Roman" w:cs="Times New Roman"/>
          <w:sz w:val="24"/>
          <w:szCs w:val="24"/>
        </w:rPr>
        <w:t>danych, których ujawniania zaprzestano może nastąpić</w:t>
      </w:r>
      <w:r w:rsidRPr="00D77AE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po pozbawieniu tych danych cech identyfikujących osobę.</w:t>
      </w:r>
    </w:p>
    <w:p w14:paraId="6E17F254" w14:textId="77777777" w:rsidR="008F4360" w:rsidRPr="00D77AEC" w:rsidRDefault="008F4360" w:rsidP="00D77AEC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1E60A8">
        <w:rPr>
          <w:rFonts w:ascii="Times New Roman" w:hAnsi="Times New Roman" w:cs="Times New Roman"/>
          <w:szCs w:val="24"/>
        </w:rPr>
        <w:t>Z uwagi na to, że ustawa wchodzi w życie z dniem 1 lipca 2021 r. koniecznym jest, aby z tą datą weszło w życie przedmiotowe rozporządzenie.</w:t>
      </w:r>
    </w:p>
    <w:p w14:paraId="27B88451" w14:textId="77777777" w:rsidR="008F4360" w:rsidRPr="00D77AEC" w:rsidRDefault="008F4360" w:rsidP="00D77AEC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 xml:space="preserve">Rozporządzenie nie wykonuje prawa Unii Europejskiej. </w:t>
      </w:r>
    </w:p>
    <w:p w14:paraId="6CB8DE61" w14:textId="5787839A" w:rsidR="008F4360" w:rsidRPr="00D77AEC" w:rsidRDefault="008F4360" w:rsidP="00D77AEC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 xml:space="preserve">Rozporządzenie nie zawiera przepisów technicznych, a zatem nie podlega notyfikacji zgodnie z trybem przewidzianym w rozporządzeniu Rady Ministrów z dnia 23 grudnia </w:t>
      </w:r>
      <w:r w:rsidRPr="00D77AEC">
        <w:rPr>
          <w:rFonts w:ascii="Times New Roman" w:hAnsi="Times New Roman" w:cs="Times New Roman"/>
          <w:szCs w:val="24"/>
        </w:rPr>
        <w:br/>
        <w:t xml:space="preserve">2002 r. w sprawie sposobu funkcjonowania krajowego systemu notyfikacji norm i aktów prawnych (Dz. U. poz. 2039 oraz z 2004 r. poz. 597). Projekt rozporządzenia został zamieszczony w Biuletynie Informacji Publicznej na stronach Rządowego Centrum Legislacji, stosownie do postanowień art. 5 ustawy z dnia 7 lipca 2005 r. o działalności lobbingowej w procesie stanowienia prawa (Dz. U. z 2017 r. poz. 248). </w:t>
      </w:r>
    </w:p>
    <w:p w14:paraId="0B382FF8" w14:textId="77777777" w:rsidR="008F4360" w:rsidRPr="00D77AEC" w:rsidRDefault="008F4360" w:rsidP="00D77AEC">
      <w:pPr>
        <w:pStyle w:val="ARTartustawynprozporzdzeni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>Projekt nie podlega zaopiniowaniu przez właściwe instytucje i organy Unii Europejskiej ani przez Europejski Bank Centralny.</w:t>
      </w:r>
    </w:p>
    <w:p w14:paraId="0594F2F9" w14:textId="77777777" w:rsidR="008F4360" w:rsidRPr="00D77AEC" w:rsidRDefault="008F4360" w:rsidP="00D77A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E39DE93" w14:textId="77777777" w:rsidR="00526B50" w:rsidRPr="00D77AEC" w:rsidRDefault="00526B50" w:rsidP="00D77A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26B50" w:rsidRPr="00D77A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72B98" w14:textId="77777777" w:rsidR="005B21A2" w:rsidRDefault="005B21A2" w:rsidP="005B21A2">
      <w:pPr>
        <w:spacing w:after="0" w:line="240" w:lineRule="auto"/>
      </w:pPr>
      <w:r>
        <w:separator/>
      </w:r>
    </w:p>
  </w:endnote>
  <w:endnote w:type="continuationSeparator" w:id="0">
    <w:p w14:paraId="549CCDB5" w14:textId="77777777" w:rsidR="005B21A2" w:rsidRDefault="005B21A2" w:rsidP="005B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C7602" w14:textId="77777777" w:rsidR="005B21A2" w:rsidRDefault="005B21A2" w:rsidP="005B21A2">
      <w:pPr>
        <w:spacing w:after="0" w:line="240" w:lineRule="auto"/>
      </w:pPr>
      <w:r>
        <w:separator/>
      </w:r>
    </w:p>
  </w:footnote>
  <w:footnote w:type="continuationSeparator" w:id="0">
    <w:p w14:paraId="7B125FB3" w14:textId="77777777" w:rsidR="005B21A2" w:rsidRDefault="005B21A2" w:rsidP="005B21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360"/>
    <w:rsid w:val="000D26E6"/>
    <w:rsid w:val="000E6B8D"/>
    <w:rsid w:val="001E60A8"/>
    <w:rsid w:val="002F704C"/>
    <w:rsid w:val="003910CF"/>
    <w:rsid w:val="00526B50"/>
    <w:rsid w:val="005B21A2"/>
    <w:rsid w:val="00617190"/>
    <w:rsid w:val="008F4360"/>
    <w:rsid w:val="009842C6"/>
    <w:rsid w:val="00A16086"/>
    <w:rsid w:val="00D7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FD4E6"/>
  <w15:chartTrackingRefBased/>
  <w15:docId w15:val="{EC00DD0E-27BB-43BB-A7B5-73690DDE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3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8F4360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8F4360"/>
    <w:rPr>
      <w:bCs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9"/>
    <w:qFormat/>
    <w:rsid w:val="008F4360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F4360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4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36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21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21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21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1304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Wołowski Przemysław  (DLPC)</cp:lastModifiedBy>
  <cp:revision>3</cp:revision>
  <dcterms:created xsi:type="dcterms:W3CDTF">2021-03-11T07:08:00Z</dcterms:created>
  <dcterms:modified xsi:type="dcterms:W3CDTF">2021-03-20T09:54:00Z</dcterms:modified>
</cp:coreProperties>
</file>