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63" w:rsidRPr="00FF6E94" w:rsidRDefault="00372963" w:rsidP="00FF6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6E94">
        <w:rPr>
          <w:rFonts w:ascii="Times New Roman" w:hAnsi="Times New Roman"/>
          <w:b/>
          <w:sz w:val="24"/>
          <w:szCs w:val="24"/>
          <w:lang w:val="uk-UA"/>
        </w:rPr>
        <w:t>Рецензія на підручник</w:t>
      </w:r>
    </w:p>
    <w:p w:rsidR="00372963" w:rsidRPr="00C71753" w:rsidRDefault="00372963" w:rsidP="00FF6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71753">
        <w:rPr>
          <w:rFonts w:ascii="Times New Roman" w:hAnsi="Times New Roman"/>
          <w:b/>
          <w:sz w:val="24"/>
          <w:szCs w:val="24"/>
          <w:lang w:val="pl-PL"/>
        </w:rPr>
        <w:t>Maciej Przybyliński, Lech Moryksiewich</w:t>
      </w:r>
    </w:p>
    <w:p w:rsidR="00372963" w:rsidRPr="00C71753" w:rsidRDefault="00372963" w:rsidP="00FF6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71753">
        <w:rPr>
          <w:rFonts w:ascii="Times New Roman" w:hAnsi="Times New Roman"/>
          <w:b/>
          <w:sz w:val="24"/>
          <w:szCs w:val="24"/>
          <w:lang w:val="pl-PL"/>
        </w:rPr>
        <w:t>Poznać przeszłość, zrozumieć dziś. Dzieje najnowsze 1918-2006.</w:t>
      </w:r>
    </w:p>
    <w:p w:rsidR="00372963" w:rsidRPr="00C71753" w:rsidRDefault="00372963" w:rsidP="00FF6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71753">
        <w:rPr>
          <w:rFonts w:ascii="Times New Roman" w:hAnsi="Times New Roman"/>
          <w:b/>
          <w:sz w:val="24"/>
          <w:szCs w:val="24"/>
          <w:lang w:val="pl-PL"/>
        </w:rPr>
        <w:t>Podręcznik do historii dla klasy III szkół ponadgimnazjalnych – zakres rozszerzony. Część 2.– Warszawa, 2015.</w:t>
      </w:r>
    </w:p>
    <w:p w:rsidR="00372963" w:rsidRPr="00C71753" w:rsidRDefault="00372963" w:rsidP="00FF6E94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Природно, що автори поданого підручника, що має розширені рамки та призначеного для післягімназійного класу, мали достатньо місця для зображення та аналізу історичних подій новітньої історії, та в цілому достатньо вдало використали це.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Підручник вирізняється науково ґрунтовними методологічними засадами, що базуються на ліберальних цінностях, у центрі яких – людський вимір історії. Автори спонукають читача до усвідомлення важливості людського життя, людських прав і свобод, особливої ролі демократичного, вільного вибору у розвитку країн та народів. Наприклад, на с.10 підкреслено негуманний характер війн, що призводить до страждань, смертей та каліцтву мільйонів людей. Виклад подій минулого достатньо персоніфікований, що полягає, зокрема, у зображенні важливих постатей, які «обертають колесо історії», та водночас подаються долі пересічних людей, у яких відображаються важливі історичні події та явища. 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Позитивно вражає велика кількість якісних та детальних карт у підручнику, надання їм цілих розворотів книги, що робить фактично непотрібним використання атласів.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Запропоновані авторами численні діаграми, таблиці дозволяють читачеві узагальнити багатих фактичний матеріал.</w:t>
      </w:r>
    </w:p>
    <w:p w:rsidR="00372963" w:rsidRDefault="00372963" w:rsidP="001E6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1E6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Підручник пропонує чудову, можна сказати – зразкову роботу з історичними джерелами. Система роботи з ними передбачає:</w:t>
      </w:r>
    </w:p>
    <w:p w:rsidR="00372963" w:rsidRDefault="00372963" w:rsidP="001E6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сам текст джерела, обсяг якого дозволяє вчителю запропонувати учням роботу з усім документом, що дозволяє зрозуміти контекст, або з його фрагментами;</w:t>
      </w:r>
    </w:p>
    <w:p w:rsidR="00372963" w:rsidRDefault="00372963" w:rsidP="001E6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інформацію про автора джерела;</w:t>
      </w:r>
    </w:p>
    <w:p w:rsidR="00372963" w:rsidRDefault="00372963" w:rsidP="001E6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2AE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коротка характеристика історичних умов, за яких народився певний документ;</w:t>
      </w:r>
    </w:p>
    <w:p w:rsidR="00372963" w:rsidRDefault="00372963" w:rsidP="001E6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коректно сформульовані питання до джерела;</w:t>
      </w:r>
    </w:p>
    <w:p w:rsidR="00372963" w:rsidRPr="00902AEF" w:rsidRDefault="00372963" w:rsidP="001E6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посилання на першоджерело.</w:t>
      </w:r>
    </w:p>
    <w:p w:rsidR="00372963" w:rsidRDefault="00372963" w:rsidP="00D5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D5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Чимало уваги приділяється питанням культури та повсякденного життя, для чого використовується величезний ілюстративний матеріал.</w:t>
      </w:r>
    </w:p>
    <w:p w:rsidR="00372963" w:rsidRDefault="00372963" w:rsidP="00BF21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BF21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Традиційно для польського підручникотворення є широке використання ілюстрацій, що здебільше мають змістовний характер, супроводжуються не «глухими», а розлогими підписами та питаннями. Щоправда, деякі ілюстрації так само традиційно мають суб’єктивне емоційне забарвлення, спрямоване на однозначну пропольську глорифікацію боротьби з українцями за Львів (с.37).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Велика увага приділяється формуванню у учнів понятійного апарату; дефініції формулюються науково, та водночас доступно для читача. Разом із тим, деякі визначення понять потребують уточнення. Наприклад, у визначенні центрально-керованої економіки (</w:t>
      </w:r>
      <w:r w:rsidRPr="00C314A8">
        <w:rPr>
          <w:rFonts w:ascii="Times New Roman" w:hAnsi="Times New Roman"/>
          <w:sz w:val="24"/>
          <w:szCs w:val="24"/>
          <w:lang w:val="uk-UA"/>
        </w:rPr>
        <w:t>gospodarka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14A8">
        <w:rPr>
          <w:rFonts w:ascii="Times New Roman" w:hAnsi="Times New Roman"/>
          <w:sz w:val="24"/>
          <w:szCs w:val="24"/>
          <w:lang w:val="uk-UA"/>
        </w:rPr>
        <w:t>centralniesterowana</w:t>
      </w:r>
      <w:r>
        <w:rPr>
          <w:rFonts w:ascii="Times New Roman" w:hAnsi="Times New Roman"/>
          <w:sz w:val="24"/>
          <w:szCs w:val="24"/>
          <w:lang w:val="uk-UA"/>
        </w:rPr>
        <w:t xml:space="preserve">, с.30) недостатньо чітко сформульований плановий характер такої економіки та механізми складання таких планів); сутність певних явищ, суспільно-політичних структур тощо розкриваються абсолютно недостатньо, незважаючи на їх велику роль в історії Польщі та польсько-українських відносин, наприклад – Української Повстанської Армії (с.101). Інколи складається враження,що автори намагаються уникнути більш детальної характеристики драматичних подій польсько-української історії – українського національного руху та його передумов. 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Позитивним є заперечення авторами поширених міфів щодо «колаборантського характеру» УПА від її створення у 1942 р. та зауваження про мету УПА та націоналістичного руху – створення Української національної держави (с.101). Натомість трагічні події Волинської трагедії 1943 р. зображуються однобоко, з надаванням інформації щодо знищення українцями поляків на Волині без з’ясування історичних передумов українсько-польського міжнаціонального конфлікту, з інформуванням про виключно «оборонні» дії поляків та АК. Також поза увагою авторів залишилась доля інших національних спільнот (євреїв та ін.) у цьому братовбивчому конфлікті.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Разом із тим, вважаю позитивним відсутність характеристики Волинської трагедії як «геноциду, подібного Голокосту», що трапляється в роботах польських авторів.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Також позитивним є звернення авторів до з’ясування мотивів українців, які вступали до лав дивізії СС «Галичина» (с.101).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Варто зазначити, що українцям, «українському питанню» в підручнику приділяється значно менше місця, ніж іншим національним спільнотам. Наприклад, у підрозділі підручника «національне питання» після Першої світової війни описанню «українського питання» приділено лише 2 речення, в одному з яких зазначається, що у Волинському та Станіславському воєводствах у межах Другої Речі Посполитої українське населення складало до 70 % (с.48).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Натомість у цьому ж підрозділі ситуації з єврейським населенням приділено майже пів сторінки, що є в останньому випадку позитивним, та абсолютно непропорційним по відношенню до зображенню української спільноти, яка відігравала значну роль в польській історії.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Так само, зображуючи події Другої світової війни, у тому числі – на українських теренах, автори не приділяють жодної уваги українським чинникам цієї війни – як на її початку, так і на зламі у 1943 р. (с.78-89). Це, на наш погляд, унеможливлює розуміння читачем сутності подальших подій на українських землях у повоєнний період та до сьогодення включно.</w:t>
      </w:r>
    </w:p>
    <w:p w:rsidR="00372963" w:rsidRDefault="00372963" w:rsidP="00893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893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підручнику багато матеріалу присвячено «єврейському питанню», трагедії Голокосту. Особливо важливим є зображення єврейського опору нацистському геноциду, а також реакції польського суспільства на Шоа, подвигу Праведників народів світу.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0C2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Наявність гарно організованої системи питань і завдань є чудовим зразком досконалого методичного апарату. Дуже вдалою методичною знахідкою нам видається запропонований авторами виклад «історичних спорів» (наприклад – на с.125), що спонукає учнів до творчого ставлення до історії, навчає критичному мисленню, виробленню власної, аргументованої оцінки історичних подій та явищ.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Таким чином, поданий підручник є в цілому сучасним, методично досконалим джерелом пізнання історії.</w:t>
      </w:r>
    </w:p>
    <w:p w:rsidR="00372963" w:rsidRPr="008B295C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Проте очевидно, історії країн-сусідів автори підручників мають приділяти найбільшу увагу.</w:t>
      </w: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963" w:rsidRPr="00BB7F05" w:rsidRDefault="00372963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B7F05">
        <w:rPr>
          <w:rFonts w:ascii="Times New Roman" w:hAnsi="Times New Roman"/>
          <w:i/>
          <w:sz w:val="24"/>
          <w:lang w:val="uk-UA"/>
        </w:rPr>
        <w:t>Ігор Щупак,кандидат історичних наук, учитель-методист, директор Українського інституту вивчення Голокосту «Ткума»,</w:t>
      </w:r>
      <w:r>
        <w:rPr>
          <w:rFonts w:ascii="Times New Roman" w:hAnsi="Times New Roman"/>
          <w:i/>
          <w:sz w:val="24"/>
          <w:lang w:val="uk-UA"/>
        </w:rPr>
        <w:t xml:space="preserve"> </w:t>
      </w:r>
      <w:r w:rsidRPr="00BB7F05">
        <w:rPr>
          <w:rFonts w:ascii="Times New Roman" w:hAnsi="Times New Roman"/>
          <w:i/>
          <w:sz w:val="24"/>
          <w:lang w:val="uk-UA"/>
        </w:rPr>
        <w:t>Музею «Пам’ять єврейського народу та Голокост в Україні» (Дніпропетровськ), головний редактор</w:t>
      </w:r>
      <w:r>
        <w:rPr>
          <w:rFonts w:ascii="Times New Roman" w:hAnsi="Times New Roman"/>
          <w:i/>
          <w:sz w:val="24"/>
          <w:lang w:val="uk-UA"/>
        </w:rPr>
        <w:t xml:space="preserve"> </w:t>
      </w:r>
      <w:r w:rsidRPr="00BB7F05">
        <w:rPr>
          <w:rFonts w:ascii="Times New Roman" w:hAnsi="Times New Roman"/>
          <w:i/>
          <w:sz w:val="24"/>
          <w:lang w:val="uk-UA"/>
        </w:rPr>
        <w:t>Видавництва «Прем’єр» (Запоріжжя)</w:t>
      </w:r>
    </w:p>
    <w:sectPr w:rsidR="00372963" w:rsidRPr="00BB7F05" w:rsidSect="00BB7F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BB"/>
    <w:multiLevelType w:val="hybridMultilevel"/>
    <w:tmpl w:val="08BC845E"/>
    <w:lvl w:ilvl="0" w:tplc="56E4BA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49D"/>
    <w:rsid w:val="00047C2D"/>
    <w:rsid w:val="000A349D"/>
    <w:rsid w:val="000A7CFC"/>
    <w:rsid w:val="000C2909"/>
    <w:rsid w:val="0010569E"/>
    <w:rsid w:val="001E69A6"/>
    <w:rsid w:val="002030FA"/>
    <w:rsid w:val="0023236A"/>
    <w:rsid w:val="00372963"/>
    <w:rsid w:val="004F221C"/>
    <w:rsid w:val="005A7830"/>
    <w:rsid w:val="00654C48"/>
    <w:rsid w:val="006C249A"/>
    <w:rsid w:val="007E60C6"/>
    <w:rsid w:val="008938DE"/>
    <w:rsid w:val="008B295C"/>
    <w:rsid w:val="00902AEF"/>
    <w:rsid w:val="009350B4"/>
    <w:rsid w:val="00985C6A"/>
    <w:rsid w:val="00AA5619"/>
    <w:rsid w:val="00AF1521"/>
    <w:rsid w:val="00B33C31"/>
    <w:rsid w:val="00B716BF"/>
    <w:rsid w:val="00BB7F05"/>
    <w:rsid w:val="00BF21FD"/>
    <w:rsid w:val="00C314A8"/>
    <w:rsid w:val="00C71753"/>
    <w:rsid w:val="00CA08ED"/>
    <w:rsid w:val="00D03434"/>
    <w:rsid w:val="00D50196"/>
    <w:rsid w:val="00D7162A"/>
    <w:rsid w:val="00EA51F0"/>
    <w:rsid w:val="00F52F54"/>
    <w:rsid w:val="00F66906"/>
    <w:rsid w:val="00F940AA"/>
    <w:rsid w:val="00F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4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923</Words>
  <Characters>5262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Егор</cp:lastModifiedBy>
  <cp:revision>31</cp:revision>
  <dcterms:created xsi:type="dcterms:W3CDTF">2015-09-29T22:15:00Z</dcterms:created>
  <dcterms:modified xsi:type="dcterms:W3CDTF">2015-09-30T03:58:00Z</dcterms:modified>
</cp:coreProperties>
</file>